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660"/>
        <w:gridCol w:w="6379"/>
      </w:tblGrid>
      <w:tr w:rsidR="00D735FF" w:rsidRPr="00050881" w:rsidTr="000156D1">
        <w:trPr>
          <w:trHeight w:val="756"/>
        </w:trPr>
        <w:tc>
          <w:tcPr>
            <w:tcW w:w="2660" w:type="dxa"/>
            <w:vAlign w:val="center"/>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Submission to:</w:t>
            </w:r>
          </w:p>
        </w:tc>
        <w:tc>
          <w:tcPr>
            <w:tcW w:w="6379" w:type="dxa"/>
            <w:vAlign w:val="center"/>
          </w:tcPr>
          <w:p w:rsidR="00D735FF" w:rsidRPr="00583EC7" w:rsidRDefault="009D2BC0" w:rsidP="00C04619">
            <w:pPr>
              <w:pStyle w:val="Header"/>
              <w:rPr>
                <w:rFonts w:ascii="Arial" w:hAnsi="Arial" w:cs="Arial"/>
                <w:sz w:val="28"/>
                <w:szCs w:val="28"/>
              </w:rPr>
            </w:pPr>
            <w:r w:rsidRPr="00583EC7">
              <w:rPr>
                <w:rFonts w:ascii="Arial" w:hAnsi="Arial" w:cs="Arial"/>
                <w:sz w:val="28"/>
                <w:szCs w:val="28"/>
              </w:rPr>
              <w:t>Business Regulation and Competition Working Group</w:t>
            </w:r>
            <w:r w:rsidR="00B751A7" w:rsidRPr="00583EC7">
              <w:rPr>
                <w:rFonts w:ascii="Arial" w:hAnsi="Arial" w:cs="Arial"/>
                <w:sz w:val="28"/>
                <w:szCs w:val="28"/>
              </w:rPr>
              <w:t xml:space="preserve"> </w:t>
            </w:r>
          </w:p>
        </w:tc>
      </w:tr>
      <w:tr w:rsidR="00D735FF" w:rsidRPr="00050881" w:rsidTr="000156D1">
        <w:trPr>
          <w:trHeight w:val="756"/>
        </w:trPr>
        <w:tc>
          <w:tcPr>
            <w:tcW w:w="2660" w:type="dxa"/>
            <w:vAlign w:val="center"/>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Title:</w:t>
            </w:r>
          </w:p>
        </w:tc>
        <w:tc>
          <w:tcPr>
            <w:tcW w:w="6379" w:type="dxa"/>
            <w:vAlign w:val="center"/>
          </w:tcPr>
          <w:p w:rsidR="00D735FF" w:rsidRPr="00583EC7" w:rsidRDefault="009D2BC0" w:rsidP="00C04619">
            <w:pPr>
              <w:pStyle w:val="Header"/>
              <w:rPr>
                <w:rFonts w:ascii="Arial" w:hAnsi="Arial" w:cs="Arial"/>
                <w:sz w:val="28"/>
                <w:szCs w:val="28"/>
              </w:rPr>
            </w:pPr>
            <w:r w:rsidRPr="00583EC7">
              <w:rPr>
                <w:rFonts w:ascii="Arial" w:hAnsi="Arial" w:cs="Arial"/>
                <w:sz w:val="28"/>
                <w:szCs w:val="28"/>
              </w:rPr>
              <w:t>Future COAG Regulatory Reform Agenda Stakeholder Consultation Paper</w:t>
            </w:r>
          </w:p>
        </w:tc>
      </w:tr>
      <w:tr w:rsidR="00D735FF" w:rsidRPr="00050881" w:rsidTr="000156D1">
        <w:trPr>
          <w:trHeight w:val="756"/>
        </w:trPr>
        <w:tc>
          <w:tcPr>
            <w:tcW w:w="2660" w:type="dxa"/>
            <w:vAlign w:val="center"/>
          </w:tcPr>
          <w:p w:rsidR="00D735FF" w:rsidRPr="00583EC7" w:rsidRDefault="00D735FF" w:rsidP="00C04619">
            <w:pPr>
              <w:pStyle w:val="Header"/>
              <w:rPr>
                <w:rFonts w:ascii="Arial" w:hAnsi="Arial" w:cs="Arial"/>
                <w:b/>
                <w:sz w:val="28"/>
                <w:szCs w:val="28"/>
              </w:rPr>
            </w:pPr>
            <w:r w:rsidRPr="00583EC7">
              <w:rPr>
                <w:rFonts w:ascii="Arial" w:hAnsi="Arial" w:cs="Arial"/>
                <w:b/>
                <w:sz w:val="28"/>
                <w:szCs w:val="28"/>
              </w:rPr>
              <w:t>Date:</w:t>
            </w:r>
          </w:p>
        </w:tc>
        <w:tc>
          <w:tcPr>
            <w:tcW w:w="6379" w:type="dxa"/>
            <w:vAlign w:val="center"/>
          </w:tcPr>
          <w:p w:rsidR="00D735FF" w:rsidRPr="00583EC7" w:rsidRDefault="00151950" w:rsidP="00C04619">
            <w:pPr>
              <w:pStyle w:val="Header"/>
              <w:rPr>
                <w:rFonts w:ascii="Arial" w:hAnsi="Arial" w:cs="Arial"/>
                <w:sz w:val="28"/>
                <w:szCs w:val="28"/>
              </w:rPr>
            </w:pPr>
            <w:r>
              <w:rPr>
                <w:rFonts w:ascii="Arial" w:hAnsi="Arial" w:cs="Arial"/>
                <w:sz w:val="28"/>
                <w:szCs w:val="28"/>
              </w:rPr>
              <w:t>21</w:t>
            </w:r>
            <w:r w:rsidR="00F26CFA">
              <w:rPr>
                <w:rFonts w:ascii="Arial" w:hAnsi="Arial" w:cs="Arial"/>
                <w:sz w:val="28"/>
                <w:szCs w:val="28"/>
              </w:rPr>
              <w:t xml:space="preserve"> October 2011 </w:t>
            </w:r>
          </w:p>
        </w:tc>
      </w:tr>
    </w:tbl>
    <w:p w:rsidR="00D735FF" w:rsidRPr="00050881" w:rsidRDefault="00D735FF" w:rsidP="00C04619">
      <w:pPr>
        <w:pStyle w:val="Header"/>
        <w:rPr>
          <w:rFonts w:ascii="Arial" w:hAnsi="Arial" w:cs="Arial"/>
          <w:sz w:val="20"/>
          <w:szCs w:val="20"/>
        </w:rPr>
      </w:pPr>
    </w:p>
    <w:p w:rsidR="00D735FF" w:rsidRPr="00050881" w:rsidRDefault="00D735FF" w:rsidP="00C04619">
      <w:pPr>
        <w:pStyle w:val="Header"/>
        <w:rPr>
          <w:rFonts w:ascii="Arial" w:hAnsi="Arial" w:cs="Arial"/>
          <w:sz w:val="20"/>
          <w:szCs w:val="20"/>
        </w:rPr>
      </w:pPr>
    </w:p>
    <w:p w:rsidR="00576ED0" w:rsidRPr="00050881" w:rsidRDefault="00576ED0" w:rsidP="00C04619">
      <w:pPr>
        <w:pStyle w:val="Header"/>
        <w:rPr>
          <w:rFonts w:ascii="Arial" w:hAnsi="Arial" w:cs="Arial"/>
          <w:sz w:val="20"/>
          <w:szCs w:val="20"/>
        </w:rPr>
      </w:pPr>
    </w:p>
    <w:p w:rsidR="00576ED0" w:rsidRPr="00050881" w:rsidRDefault="00576ED0" w:rsidP="00C04619">
      <w:pPr>
        <w:rPr>
          <w:rFonts w:ascii="Arial" w:hAnsi="Arial" w:cs="Arial"/>
          <w:sz w:val="20"/>
          <w:szCs w:val="20"/>
          <w:lang w:val="en-GB"/>
        </w:rPr>
        <w:sectPr w:rsidR="00576ED0" w:rsidRPr="00050881"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050881" w:rsidRDefault="00576ED0"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050881" w:rsidRDefault="0035493A" w:rsidP="00C04619">
      <w:pPr>
        <w:rPr>
          <w:rFonts w:ascii="Arial" w:hAnsi="Arial" w:cs="Arial"/>
          <w:sz w:val="20"/>
          <w:szCs w:val="20"/>
        </w:rPr>
      </w:pPr>
    </w:p>
    <w:p w:rsidR="0035493A" w:rsidRPr="00D73280" w:rsidRDefault="003B74E4" w:rsidP="00C04619">
      <w:pPr>
        <w:rPr>
          <w:rFonts w:ascii="Arial" w:hAnsi="Arial" w:cs="Arial"/>
          <w:b/>
          <w:color w:val="000064"/>
          <w:sz w:val="28"/>
          <w:szCs w:val="28"/>
        </w:rPr>
      </w:pPr>
      <w:r w:rsidRPr="00D73280">
        <w:rPr>
          <w:rFonts w:ascii="Arial" w:hAnsi="Arial" w:cs="Arial"/>
          <w:b/>
          <w:color w:val="000064"/>
          <w:sz w:val="28"/>
          <w:szCs w:val="28"/>
        </w:rPr>
        <w:t>Contents</w:t>
      </w:r>
    </w:p>
    <w:p w:rsidR="00576ED0" w:rsidRPr="00050881" w:rsidRDefault="00576ED0" w:rsidP="00C04619">
      <w:pPr>
        <w:rPr>
          <w:rFonts w:ascii="Arial" w:hAnsi="Arial" w:cs="Arial"/>
          <w:sz w:val="20"/>
          <w:szCs w:val="20"/>
        </w:rPr>
      </w:pPr>
    </w:p>
    <w:p w:rsidR="009B0520" w:rsidRPr="00050881" w:rsidRDefault="009B0520" w:rsidP="00C04619">
      <w:pPr>
        <w:rPr>
          <w:rFonts w:ascii="Arial" w:hAnsi="Arial" w:cs="Arial"/>
          <w:sz w:val="20"/>
          <w:szCs w:val="20"/>
        </w:rPr>
      </w:pPr>
    </w:p>
    <w:p w:rsidR="00C04619" w:rsidRDefault="00F105BF" w:rsidP="00C04619">
      <w:pPr>
        <w:pStyle w:val="TOC1"/>
        <w:rPr>
          <w:rFonts w:asciiTheme="minorHAnsi" w:eastAsiaTheme="minorEastAsia" w:hAnsiTheme="minorHAnsi" w:cstheme="minorBidi"/>
          <w:b w:val="0"/>
          <w:sz w:val="22"/>
          <w:szCs w:val="22"/>
          <w:lang w:eastAsia="en-AU"/>
        </w:rPr>
      </w:pPr>
      <w:r w:rsidRPr="00F105BF">
        <w:rPr>
          <w:rFonts w:cs="Arial"/>
        </w:rPr>
        <w:fldChar w:fldCharType="begin"/>
      </w:r>
      <w:r w:rsidR="0035493A" w:rsidRPr="00050881">
        <w:rPr>
          <w:rFonts w:cs="Arial"/>
        </w:rPr>
        <w:instrText xml:space="preserve"> TOC \o "1-2" \t "ATA Heading 2,2" </w:instrText>
      </w:r>
      <w:r w:rsidRPr="00F105BF">
        <w:rPr>
          <w:rFonts w:cs="Arial"/>
        </w:rPr>
        <w:fldChar w:fldCharType="separate"/>
      </w:r>
      <w:r w:rsidR="00C04619" w:rsidRPr="00A143F2">
        <w:t>1.</w:t>
      </w:r>
      <w:r w:rsidR="00C04619">
        <w:rPr>
          <w:rFonts w:asciiTheme="minorHAnsi" w:eastAsiaTheme="minorEastAsia" w:hAnsiTheme="minorHAnsi" w:cstheme="minorBidi"/>
          <w:b w:val="0"/>
          <w:sz w:val="22"/>
          <w:szCs w:val="22"/>
          <w:lang w:eastAsia="en-AU"/>
        </w:rPr>
        <w:tab/>
      </w:r>
      <w:r w:rsidR="00C04619">
        <w:t>Introduction</w:t>
      </w:r>
      <w:r w:rsidR="00C04619">
        <w:tab/>
      </w:r>
      <w:r>
        <w:fldChar w:fldCharType="begin"/>
      </w:r>
      <w:r w:rsidR="00C04619">
        <w:instrText xml:space="preserve"> PAGEREF _Toc306890888 \h </w:instrText>
      </w:r>
      <w:r>
        <w:fldChar w:fldCharType="separate"/>
      </w:r>
      <w:r w:rsidR="000C01AC">
        <w:t>3</w:t>
      </w:r>
      <w:r>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2.</w:t>
      </w:r>
      <w:r>
        <w:rPr>
          <w:rFonts w:asciiTheme="minorHAnsi" w:eastAsiaTheme="minorEastAsia" w:hAnsiTheme="minorHAnsi" w:cstheme="minorBidi"/>
          <w:b w:val="0"/>
          <w:sz w:val="22"/>
          <w:szCs w:val="22"/>
          <w:lang w:eastAsia="en-AU"/>
        </w:rPr>
        <w:tab/>
      </w:r>
      <w:r>
        <w:t>Australian Trucking Association</w:t>
      </w:r>
      <w:r>
        <w:tab/>
      </w:r>
      <w:r w:rsidR="00F105BF">
        <w:fldChar w:fldCharType="begin"/>
      </w:r>
      <w:r>
        <w:instrText xml:space="preserve"> PAGEREF _Toc306890889 \h </w:instrText>
      </w:r>
      <w:r w:rsidR="00F105BF">
        <w:fldChar w:fldCharType="separate"/>
      </w:r>
      <w:r w:rsidR="000C01AC">
        <w:t>3</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3.</w:t>
      </w:r>
      <w:r>
        <w:rPr>
          <w:rFonts w:asciiTheme="minorHAnsi" w:eastAsiaTheme="minorEastAsia" w:hAnsiTheme="minorHAnsi" w:cstheme="minorBidi"/>
          <w:b w:val="0"/>
          <w:sz w:val="22"/>
          <w:szCs w:val="22"/>
          <w:lang w:eastAsia="en-AU"/>
        </w:rPr>
        <w:tab/>
      </w:r>
      <w:r>
        <w:t>Recommendations</w:t>
      </w:r>
      <w:r>
        <w:tab/>
      </w:r>
      <w:r w:rsidR="00F105BF">
        <w:fldChar w:fldCharType="begin"/>
      </w:r>
      <w:r>
        <w:instrText xml:space="preserve"> PAGEREF _Toc306890890 \h </w:instrText>
      </w:r>
      <w:r w:rsidR="00F105BF">
        <w:fldChar w:fldCharType="separate"/>
      </w:r>
      <w:r w:rsidR="000C01AC">
        <w:t>4</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4.</w:t>
      </w:r>
      <w:r>
        <w:rPr>
          <w:rFonts w:asciiTheme="minorHAnsi" w:eastAsiaTheme="minorEastAsia" w:hAnsiTheme="minorHAnsi" w:cstheme="minorBidi"/>
          <w:b w:val="0"/>
          <w:sz w:val="22"/>
          <w:szCs w:val="22"/>
          <w:lang w:eastAsia="en-AU"/>
        </w:rPr>
        <w:tab/>
      </w:r>
      <w:r>
        <w:t>COAG principles</w:t>
      </w:r>
      <w:r>
        <w:tab/>
      </w:r>
      <w:r w:rsidR="00F105BF">
        <w:fldChar w:fldCharType="begin"/>
      </w:r>
      <w:r>
        <w:instrText xml:space="preserve"> PAGEREF _Toc306890891 \h </w:instrText>
      </w:r>
      <w:r w:rsidR="00F105BF">
        <w:fldChar w:fldCharType="separate"/>
      </w:r>
      <w:r w:rsidR="000C01AC">
        <w:t>5</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5.</w:t>
      </w:r>
      <w:r>
        <w:rPr>
          <w:rFonts w:asciiTheme="minorHAnsi" w:eastAsiaTheme="minorEastAsia" w:hAnsiTheme="minorHAnsi" w:cstheme="minorBidi"/>
          <w:b w:val="0"/>
          <w:sz w:val="22"/>
          <w:szCs w:val="22"/>
          <w:lang w:eastAsia="en-AU"/>
        </w:rPr>
        <w:tab/>
      </w:r>
      <w:r>
        <w:t>Effects of restrictive regulation on the heavy vehicle industry</w:t>
      </w:r>
      <w:r>
        <w:tab/>
      </w:r>
      <w:r w:rsidR="00F105BF">
        <w:fldChar w:fldCharType="begin"/>
      </w:r>
      <w:r>
        <w:instrText xml:space="preserve"> PAGEREF _Toc306890892 \h </w:instrText>
      </w:r>
      <w:r w:rsidR="00F105BF">
        <w:fldChar w:fldCharType="separate"/>
      </w:r>
      <w:r w:rsidR="000C01AC">
        <w:t>5</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6.</w:t>
      </w:r>
      <w:r>
        <w:rPr>
          <w:rFonts w:asciiTheme="minorHAnsi" w:eastAsiaTheme="minorEastAsia" w:hAnsiTheme="minorHAnsi" w:cstheme="minorBidi"/>
          <w:b w:val="0"/>
          <w:sz w:val="22"/>
          <w:szCs w:val="22"/>
          <w:lang w:eastAsia="en-AU"/>
        </w:rPr>
        <w:tab/>
      </w:r>
      <w:r>
        <w:t>Improving sectoral competitiveness: how the industry interacts</w:t>
      </w:r>
      <w:r>
        <w:tab/>
      </w:r>
      <w:r w:rsidR="00F105BF">
        <w:fldChar w:fldCharType="begin"/>
      </w:r>
      <w:r>
        <w:instrText xml:space="preserve"> PAGEREF _Toc306890893 \h </w:instrText>
      </w:r>
      <w:r w:rsidR="00F105BF">
        <w:fldChar w:fldCharType="separate"/>
      </w:r>
      <w:r w:rsidR="000C01AC">
        <w:t>6</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7.</w:t>
      </w:r>
      <w:r>
        <w:rPr>
          <w:rFonts w:asciiTheme="minorHAnsi" w:eastAsiaTheme="minorEastAsia" w:hAnsiTheme="minorHAnsi" w:cstheme="minorBidi"/>
          <w:b w:val="0"/>
          <w:sz w:val="22"/>
          <w:szCs w:val="22"/>
          <w:lang w:eastAsia="en-AU"/>
        </w:rPr>
        <w:tab/>
      </w:r>
      <w:r>
        <w:t>Industry regulation</w:t>
      </w:r>
      <w:r>
        <w:tab/>
      </w:r>
      <w:r w:rsidR="00F105BF">
        <w:fldChar w:fldCharType="begin"/>
      </w:r>
      <w:r>
        <w:instrText xml:space="preserve"> PAGEREF _Toc306890894 \h </w:instrText>
      </w:r>
      <w:r w:rsidR="00F105BF">
        <w:fldChar w:fldCharType="separate"/>
      </w:r>
      <w:r w:rsidR="000C01AC">
        <w:t>6</w:t>
      </w:r>
      <w:r w:rsidR="00F105BF">
        <w:fldChar w:fldCharType="end"/>
      </w:r>
    </w:p>
    <w:p w:rsidR="00C04619" w:rsidRPr="00C04619" w:rsidRDefault="00C04619" w:rsidP="00C04619">
      <w:pPr>
        <w:pStyle w:val="TOC1"/>
        <w:rPr>
          <w:rFonts w:asciiTheme="minorHAnsi" w:eastAsiaTheme="minorEastAsia" w:hAnsiTheme="minorHAnsi" w:cstheme="minorBidi"/>
          <w:b w:val="0"/>
          <w:sz w:val="22"/>
          <w:szCs w:val="22"/>
          <w:lang w:eastAsia="en-AU"/>
        </w:rPr>
      </w:pPr>
      <w:r w:rsidRPr="00C04619">
        <w:rPr>
          <w:b w:val="0"/>
        </w:rPr>
        <w:t>7.1.</w:t>
      </w:r>
      <w:r w:rsidRPr="00C04619">
        <w:rPr>
          <w:rFonts w:asciiTheme="minorHAnsi" w:eastAsiaTheme="minorEastAsia" w:hAnsiTheme="minorHAnsi" w:cstheme="minorBidi"/>
          <w:b w:val="0"/>
          <w:sz w:val="22"/>
          <w:szCs w:val="22"/>
          <w:lang w:eastAsia="en-AU"/>
        </w:rPr>
        <w:tab/>
      </w:r>
      <w:r w:rsidRPr="00C04619">
        <w:rPr>
          <w:b w:val="0"/>
        </w:rPr>
        <w:t xml:space="preserve"> Heavy vehicle regulation in the service sector</w:t>
      </w:r>
      <w:r w:rsidRPr="00C04619">
        <w:rPr>
          <w:b w:val="0"/>
        </w:rPr>
        <w:tab/>
      </w:r>
      <w:r w:rsidR="00F105BF" w:rsidRPr="00C04619">
        <w:rPr>
          <w:b w:val="0"/>
        </w:rPr>
        <w:fldChar w:fldCharType="begin"/>
      </w:r>
      <w:r w:rsidRPr="00C04619">
        <w:rPr>
          <w:b w:val="0"/>
        </w:rPr>
        <w:instrText xml:space="preserve"> PAGEREF _Toc306890895 \h </w:instrText>
      </w:r>
      <w:r w:rsidR="00F105BF" w:rsidRPr="00C04619">
        <w:rPr>
          <w:b w:val="0"/>
        </w:rPr>
      </w:r>
      <w:r w:rsidR="00F105BF" w:rsidRPr="00C04619">
        <w:rPr>
          <w:b w:val="0"/>
        </w:rPr>
        <w:fldChar w:fldCharType="separate"/>
      </w:r>
      <w:r w:rsidR="000C01AC">
        <w:rPr>
          <w:b w:val="0"/>
        </w:rPr>
        <w:t>7</w:t>
      </w:r>
      <w:r w:rsidR="00F105BF" w:rsidRPr="00C04619">
        <w:rPr>
          <w:b w:val="0"/>
        </w:rPr>
        <w:fldChar w:fldCharType="end"/>
      </w:r>
    </w:p>
    <w:p w:rsidR="00C04619" w:rsidRPr="00C04619" w:rsidRDefault="00C04619" w:rsidP="00C04619">
      <w:pPr>
        <w:pStyle w:val="TOC1"/>
        <w:rPr>
          <w:rFonts w:asciiTheme="minorHAnsi" w:eastAsiaTheme="minorEastAsia" w:hAnsiTheme="minorHAnsi" w:cstheme="minorBidi"/>
          <w:b w:val="0"/>
          <w:sz w:val="22"/>
          <w:szCs w:val="22"/>
          <w:lang w:eastAsia="en-AU"/>
        </w:rPr>
      </w:pPr>
      <w:r w:rsidRPr="00C04619">
        <w:rPr>
          <w:b w:val="0"/>
        </w:rPr>
        <w:t>7.2</w:t>
      </w:r>
      <w:r w:rsidRPr="00C04619">
        <w:rPr>
          <w:rFonts w:asciiTheme="minorHAnsi" w:eastAsiaTheme="minorEastAsia" w:hAnsiTheme="minorHAnsi" w:cstheme="minorBidi"/>
          <w:b w:val="0"/>
          <w:sz w:val="22"/>
          <w:szCs w:val="22"/>
          <w:lang w:eastAsia="en-AU"/>
        </w:rPr>
        <w:tab/>
      </w:r>
      <w:r w:rsidRPr="00C04619">
        <w:rPr>
          <w:b w:val="0"/>
        </w:rPr>
        <w:t xml:space="preserve"> Heavy vehicle regulation in the resources sector</w:t>
      </w:r>
      <w:r w:rsidRPr="00C04619">
        <w:rPr>
          <w:b w:val="0"/>
        </w:rPr>
        <w:tab/>
      </w:r>
      <w:r w:rsidR="00F105BF" w:rsidRPr="00C04619">
        <w:rPr>
          <w:b w:val="0"/>
        </w:rPr>
        <w:fldChar w:fldCharType="begin"/>
      </w:r>
      <w:r w:rsidRPr="00C04619">
        <w:rPr>
          <w:b w:val="0"/>
        </w:rPr>
        <w:instrText xml:space="preserve"> PAGEREF _Toc306890896 \h </w:instrText>
      </w:r>
      <w:r w:rsidR="00F105BF" w:rsidRPr="00C04619">
        <w:rPr>
          <w:b w:val="0"/>
        </w:rPr>
      </w:r>
      <w:r w:rsidR="00F105BF" w:rsidRPr="00C04619">
        <w:rPr>
          <w:b w:val="0"/>
        </w:rPr>
        <w:fldChar w:fldCharType="separate"/>
      </w:r>
      <w:r w:rsidR="000C01AC">
        <w:rPr>
          <w:b w:val="0"/>
        </w:rPr>
        <w:t>8</w:t>
      </w:r>
      <w:r w:rsidR="00F105BF" w:rsidRPr="00C04619">
        <w:rPr>
          <w:b w:val="0"/>
        </w:rPr>
        <w:fldChar w:fldCharType="end"/>
      </w:r>
    </w:p>
    <w:p w:rsidR="00C04619" w:rsidRPr="00C04619" w:rsidRDefault="00C04619" w:rsidP="00C04619">
      <w:pPr>
        <w:pStyle w:val="TOC1"/>
        <w:rPr>
          <w:rFonts w:asciiTheme="minorHAnsi" w:eastAsiaTheme="minorEastAsia" w:hAnsiTheme="minorHAnsi" w:cstheme="minorBidi"/>
          <w:b w:val="0"/>
          <w:sz w:val="22"/>
          <w:szCs w:val="22"/>
          <w:lang w:eastAsia="en-AU"/>
        </w:rPr>
      </w:pPr>
      <w:r w:rsidRPr="00C04619">
        <w:rPr>
          <w:b w:val="0"/>
        </w:rPr>
        <w:t xml:space="preserve">7.3 </w:t>
      </w:r>
      <w:r w:rsidRPr="00C04619">
        <w:rPr>
          <w:rFonts w:asciiTheme="minorHAnsi" w:eastAsiaTheme="minorEastAsia" w:hAnsiTheme="minorHAnsi" w:cstheme="minorBidi"/>
          <w:b w:val="0"/>
          <w:sz w:val="22"/>
          <w:szCs w:val="22"/>
          <w:lang w:eastAsia="en-AU"/>
        </w:rPr>
        <w:tab/>
      </w:r>
      <w:r w:rsidRPr="00C04619">
        <w:rPr>
          <w:b w:val="0"/>
        </w:rPr>
        <w:t xml:space="preserve"> Heavy vehicle regulation in the primary product sector</w:t>
      </w:r>
      <w:r w:rsidRPr="00C04619">
        <w:rPr>
          <w:b w:val="0"/>
        </w:rPr>
        <w:tab/>
      </w:r>
      <w:r w:rsidR="00F105BF" w:rsidRPr="00C04619">
        <w:rPr>
          <w:b w:val="0"/>
        </w:rPr>
        <w:fldChar w:fldCharType="begin"/>
      </w:r>
      <w:r w:rsidRPr="00C04619">
        <w:rPr>
          <w:b w:val="0"/>
        </w:rPr>
        <w:instrText xml:space="preserve"> PAGEREF _Toc306890897 \h </w:instrText>
      </w:r>
      <w:r w:rsidR="00F105BF" w:rsidRPr="00C04619">
        <w:rPr>
          <w:b w:val="0"/>
        </w:rPr>
      </w:r>
      <w:r w:rsidR="00F105BF" w:rsidRPr="00C04619">
        <w:rPr>
          <w:b w:val="0"/>
        </w:rPr>
        <w:fldChar w:fldCharType="separate"/>
      </w:r>
      <w:r w:rsidR="000C01AC">
        <w:rPr>
          <w:b w:val="0"/>
        </w:rPr>
        <w:t>8</w:t>
      </w:r>
      <w:r w:rsidR="00F105BF" w:rsidRPr="00C04619">
        <w:rPr>
          <w:b w:val="0"/>
        </w:rPr>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8.</w:t>
      </w:r>
      <w:r>
        <w:rPr>
          <w:rFonts w:asciiTheme="minorHAnsi" w:eastAsiaTheme="minorEastAsia" w:hAnsiTheme="minorHAnsi" w:cstheme="minorBidi"/>
          <w:b w:val="0"/>
          <w:sz w:val="22"/>
          <w:szCs w:val="22"/>
          <w:lang w:eastAsia="en-AU"/>
        </w:rPr>
        <w:tab/>
      </w:r>
      <w:r>
        <w:t>The National Heavy Vehicle Regulator.</w:t>
      </w:r>
      <w:r>
        <w:tab/>
      </w:r>
      <w:r w:rsidR="00F105BF">
        <w:fldChar w:fldCharType="begin"/>
      </w:r>
      <w:r>
        <w:instrText xml:space="preserve"> PAGEREF _Toc306890898 \h </w:instrText>
      </w:r>
      <w:r w:rsidR="00F105BF">
        <w:fldChar w:fldCharType="separate"/>
      </w:r>
      <w:r w:rsidR="000C01AC">
        <w:t>9</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rsidRPr="00A143F2">
        <w:t>9.</w:t>
      </w:r>
      <w:r>
        <w:rPr>
          <w:rFonts w:asciiTheme="minorHAnsi" w:eastAsiaTheme="minorEastAsia" w:hAnsiTheme="minorHAnsi" w:cstheme="minorBidi"/>
          <w:b w:val="0"/>
          <w:sz w:val="22"/>
          <w:szCs w:val="22"/>
          <w:lang w:eastAsia="en-AU"/>
        </w:rPr>
        <w:tab/>
      </w:r>
      <w:r>
        <w:t>Conclusion</w:t>
      </w:r>
      <w:r>
        <w:tab/>
      </w:r>
      <w:r w:rsidR="00F105BF">
        <w:fldChar w:fldCharType="begin"/>
      </w:r>
      <w:r>
        <w:instrText xml:space="preserve"> PAGEREF _Toc306890899 \h </w:instrText>
      </w:r>
      <w:r w:rsidR="00F105BF">
        <w:fldChar w:fldCharType="separate"/>
      </w:r>
      <w:r w:rsidR="000C01AC">
        <w:t>9</w:t>
      </w:r>
      <w:r w:rsidR="00F105BF">
        <w:fldChar w:fldCharType="end"/>
      </w:r>
    </w:p>
    <w:p w:rsidR="00C04619" w:rsidRDefault="00C04619" w:rsidP="00C04619">
      <w:pPr>
        <w:pStyle w:val="TOC1"/>
        <w:rPr>
          <w:rFonts w:asciiTheme="minorHAnsi" w:eastAsiaTheme="minorEastAsia" w:hAnsiTheme="minorHAnsi" w:cstheme="minorBidi"/>
          <w:b w:val="0"/>
          <w:sz w:val="22"/>
          <w:szCs w:val="22"/>
          <w:lang w:eastAsia="en-AU"/>
        </w:rPr>
      </w:pPr>
      <w:r>
        <w:t>APPENDIX A: The ATA and Barkwood Consulting Pty Ltd Truck Impact Chart</w:t>
      </w:r>
      <w:r>
        <w:tab/>
      </w:r>
      <w:r w:rsidR="00F105BF">
        <w:fldChar w:fldCharType="begin"/>
      </w:r>
      <w:r>
        <w:instrText xml:space="preserve"> PAGEREF _Toc306890900 \h </w:instrText>
      </w:r>
      <w:r w:rsidR="00F105BF">
        <w:fldChar w:fldCharType="separate"/>
      </w:r>
      <w:r w:rsidR="000C01AC">
        <w:t>10</w:t>
      </w:r>
      <w:r w:rsidR="00F105BF">
        <w:fldChar w:fldCharType="end"/>
      </w:r>
    </w:p>
    <w:p w:rsidR="00241C15" w:rsidRPr="00050881" w:rsidRDefault="00F105BF" w:rsidP="00C04619">
      <w:pPr>
        <w:tabs>
          <w:tab w:val="right" w:leader="dot" w:pos="9645"/>
        </w:tabs>
        <w:rPr>
          <w:rFonts w:ascii="Arial" w:hAnsi="Arial" w:cs="Arial"/>
          <w:sz w:val="20"/>
          <w:szCs w:val="20"/>
        </w:rPr>
      </w:pPr>
      <w:r w:rsidRPr="00050881">
        <w:rPr>
          <w:rFonts w:ascii="Arial" w:hAnsi="Arial" w:cs="Arial"/>
          <w:sz w:val="20"/>
          <w:szCs w:val="20"/>
        </w:rPr>
        <w:fldChar w:fldCharType="end"/>
      </w:r>
    </w:p>
    <w:p w:rsidR="00576ED0" w:rsidRPr="00050881" w:rsidRDefault="00576ED0" w:rsidP="00C04619">
      <w:pPr>
        <w:rPr>
          <w:rFonts w:ascii="Arial" w:hAnsi="Arial" w:cs="Arial"/>
          <w:sz w:val="20"/>
          <w:szCs w:val="20"/>
        </w:rPr>
      </w:pPr>
      <w:r w:rsidRPr="00050881">
        <w:rPr>
          <w:rFonts w:ascii="Arial" w:hAnsi="Arial" w:cs="Arial"/>
          <w:sz w:val="20"/>
          <w:szCs w:val="20"/>
        </w:rPr>
        <w:br w:type="page"/>
      </w:r>
    </w:p>
    <w:p w:rsidR="00576ED0" w:rsidRPr="00D73280" w:rsidRDefault="00576ED0" w:rsidP="00C04619">
      <w:pPr>
        <w:pStyle w:val="Heading1"/>
      </w:pPr>
      <w:bookmarkStart w:id="0" w:name="_Toc306890888"/>
      <w:r w:rsidRPr="00D73280">
        <w:lastRenderedPageBreak/>
        <w:t>Introduction</w:t>
      </w:r>
      <w:bookmarkEnd w:id="0"/>
    </w:p>
    <w:p w:rsidR="00D17563" w:rsidRPr="00050881" w:rsidRDefault="00D17563" w:rsidP="00C04619">
      <w:pPr>
        <w:rPr>
          <w:rFonts w:ascii="Arial" w:hAnsi="Arial" w:cs="Arial"/>
          <w:sz w:val="20"/>
          <w:szCs w:val="20"/>
        </w:rPr>
      </w:pPr>
    </w:p>
    <w:p w:rsidR="00C2750C" w:rsidRPr="00050881" w:rsidRDefault="00E06474" w:rsidP="00C04619">
      <w:pPr>
        <w:rPr>
          <w:rFonts w:ascii="Arial" w:hAnsi="Arial" w:cs="Arial"/>
          <w:sz w:val="20"/>
          <w:szCs w:val="20"/>
        </w:rPr>
      </w:pPr>
      <w:r w:rsidRPr="00050881">
        <w:rPr>
          <w:rFonts w:ascii="Arial" w:hAnsi="Arial" w:cs="Arial"/>
          <w:sz w:val="20"/>
          <w:szCs w:val="20"/>
        </w:rPr>
        <w:t>The heavy vehicle industry has long called for consistent, productivity promoting</w:t>
      </w:r>
      <w:r w:rsidR="004D43D2">
        <w:rPr>
          <w:rFonts w:ascii="Arial" w:hAnsi="Arial" w:cs="Arial"/>
          <w:sz w:val="20"/>
          <w:szCs w:val="20"/>
        </w:rPr>
        <w:t xml:space="preserve"> and</w:t>
      </w:r>
      <w:r w:rsidRPr="00050881">
        <w:rPr>
          <w:rFonts w:ascii="Arial" w:hAnsi="Arial" w:cs="Arial"/>
          <w:sz w:val="20"/>
          <w:szCs w:val="20"/>
        </w:rPr>
        <w:t xml:space="preserve"> targeted regulation. W</w:t>
      </w:r>
      <w:r w:rsidR="00C2750C" w:rsidRPr="00050881">
        <w:rPr>
          <w:rFonts w:ascii="Arial" w:hAnsi="Arial" w:cs="Arial"/>
          <w:sz w:val="20"/>
          <w:szCs w:val="20"/>
        </w:rPr>
        <w:t xml:space="preserve">ith the heavy vehicle industry </w:t>
      </w:r>
      <w:r w:rsidR="00372153">
        <w:rPr>
          <w:rFonts w:ascii="Arial" w:hAnsi="Arial" w:cs="Arial"/>
          <w:sz w:val="20"/>
          <w:szCs w:val="20"/>
        </w:rPr>
        <w:t>supporting</w:t>
      </w:r>
      <w:r w:rsidRPr="00050881">
        <w:rPr>
          <w:rFonts w:ascii="Arial" w:hAnsi="Arial" w:cs="Arial"/>
          <w:sz w:val="20"/>
          <w:szCs w:val="20"/>
        </w:rPr>
        <w:t xml:space="preserve"> many different industries in </w:t>
      </w:r>
      <w:r w:rsidR="001F5CDF" w:rsidRPr="00050881">
        <w:rPr>
          <w:rFonts w:ascii="Arial" w:hAnsi="Arial" w:cs="Arial"/>
          <w:sz w:val="20"/>
          <w:szCs w:val="20"/>
        </w:rPr>
        <w:t>Australia, i</w:t>
      </w:r>
      <w:r w:rsidR="003958D9" w:rsidRPr="00050881">
        <w:rPr>
          <w:rFonts w:ascii="Arial" w:hAnsi="Arial" w:cs="Arial"/>
          <w:sz w:val="20"/>
          <w:szCs w:val="20"/>
        </w:rPr>
        <w:t xml:space="preserve">t cannot be underestimated how important </w:t>
      </w:r>
      <w:r w:rsidR="00C2750C" w:rsidRPr="00050881">
        <w:rPr>
          <w:rFonts w:ascii="Arial" w:hAnsi="Arial" w:cs="Arial"/>
          <w:sz w:val="20"/>
          <w:szCs w:val="20"/>
        </w:rPr>
        <w:t>removing unnecessary regulation</w:t>
      </w:r>
      <w:r w:rsidR="001F5CDF" w:rsidRPr="00050881">
        <w:rPr>
          <w:rFonts w:ascii="Arial" w:hAnsi="Arial" w:cs="Arial"/>
          <w:sz w:val="20"/>
          <w:szCs w:val="20"/>
        </w:rPr>
        <w:t>,</w:t>
      </w:r>
      <w:r w:rsidR="00C2750C" w:rsidRPr="00050881">
        <w:rPr>
          <w:rFonts w:ascii="Arial" w:hAnsi="Arial" w:cs="Arial"/>
          <w:sz w:val="20"/>
          <w:szCs w:val="20"/>
        </w:rPr>
        <w:t xml:space="preserve"> which has considerable impacts on the productive capabilities of the industry</w:t>
      </w:r>
      <w:r w:rsidR="001F5CDF" w:rsidRPr="00050881">
        <w:rPr>
          <w:rFonts w:ascii="Arial" w:hAnsi="Arial" w:cs="Arial"/>
          <w:sz w:val="20"/>
          <w:szCs w:val="20"/>
        </w:rPr>
        <w:t>, is for the nation</w:t>
      </w:r>
      <w:r w:rsidR="00C2750C" w:rsidRPr="00050881">
        <w:rPr>
          <w:rFonts w:ascii="Arial" w:hAnsi="Arial" w:cs="Arial"/>
          <w:sz w:val="20"/>
          <w:szCs w:val="20"/>
        </w:rPr>
        <w:t>.</w:t>
      </w:r>
    </w:p>
    <w:p w:rsidR="003958D9" w:rsidRPr="00050881" w:rsidRDefault="003958D9" w:rsidP="00C04619">
      <w:pPr>
        <w:rPr>
          <w:rFonts w:ascii="Arial" w:hAnsi="Arial" w:cs="Arial"/>
          <w:sz w:val="20"/>
          <w:szCs w:val="20"/>
        </w:rPr>
      </w:pPr>
    </w:p>
    <w:p w:rsidR="00C2750C" w:rsidRPr="00050881" w:rsidRDefault="00C2750C" w:rsidP="00C04619">
      <w:pPr>
        <w:rPr>
          <w:rFonts w:ascii="Arial" w:hAnsi="Arial" w:cs="Arial"/>
          <w:sz w:val="20"/>
          <w:szCs w:val="20"/>
        </w:rPr>
      </w:pPr>
      <w:r w:rsidRPr="00050881">
        <w:rPr>
          <w:rFonts w:ascii="Arial" w:hAnsi="Arial" w:cs="Arial"/>
          <w:sz w:val="20"/>
          <w:szCs w:val="20"/>
        </w:rPr>
        <w:t xml:space="preserve">Recently </w:t>
      </w:r>
      <w:r w:rsidR="00F85530" w:rsidRPr="00050881">
        <w:rPr>
          <w:rFonts w:ascii="Arial" w:hAnsi="Arial" w:cs="Arial"/>
          <w:sz w:val="20"/>
          <w:szCs w:val="20"/>
        </w:rPr>
        <w:t xml:space="preserve">the </w:t>
      </w:r>
      <w:r w:rsidRPr="00050881">
        <w:rPr>
          <w:rFonts w:ascii="Arial" w:hAnsi="Arial" w:cs="Arial"/>
          <w:sz w:val="20"/>
          <w:szCs w:val="20"/>
        </w:rPr>
        <w:t>Minister</w:t>
      </w:r>
      <w:r w:rsidR="00F85530" w:rsidRPr="00050881">
        <w:rPr>
          <w:rFonts w:ascii="Arial" w:hAnsi="Arial" w:cs="Arial"/>
          <w:sz w:val="20"/>
          <w:szCs w:val="20"/>
        </w:rPr>
        <w:t xml:space="preserve"> for Infrastructure and Transport </w:t>
      </w:r>
      <w:r w:rsidRPr="00050881">
        <w:rPr>
          <w:rFonts w:ascii="Arial" w:hAnsi="Arial" w:cs="Arial"/>
          <w:sz w:val="20"/>
          <w:szCs w:val="20"/>
        </w:rPr>
        <w:t>stated:</w:t>
      </w:r>
    </w:p>
    <w:p w:rsidR="00C2750C" w:rsidRPr="00050881" w:rsidRDefault="00C2750C" w:rsidP="00C04619">
      <w:pPr>
        <w:rPr>
          <w:rFonts w:ascii="Arial" w:hAnsi="Arial" w:cs="Arial"/>
          <w:sz w:val="20"/>
          <w:szCs w:val="20"/>
        </w:rPr>
      </w:pPr>
    </w:p>
    <w:p w:rsidR="005A18D7" w:rsidRPr="005A18D7" w:rsidRDefault="00C2750C" w:rsidP="00C04619">
      <w:pPr>
        <w:rPr>
          <w:rFonts w:ascii="Arial" w:hAnsi="Arial" w:cs="Arial"/>
          <w:i/>
          <w:sz w:val="20"/>
          <w:szCs w:val="20"/>
        </w:rPr>
      </w:pPr>
      <w:r w:rsidRPr="00050881">
        <w:rPr>
          <w:rFonts w:ascii="Arial" w:hAnsi="Arial" w:cs="Arial"/>
          <w:sz w:val="20"/>
          <w:szCs w:val="20"/>
        </w:rPr>
        <w:t>"</w:t>
      </w:r>
      <w:r w:rsidRPr="00050881">
        <w:rPr>
          <w:rFonts w:ascii="Arial" w:hAnsi="Arial" w:cs="Arial"/>
          <w:i/>
          <w:sz w:val="20"/>
          <w:szCs w:val="20"/>
        </w:rPr>
        <w:t>You are the people who keep this country moving. You are the people who keep our towns and cities connected. You are the people who move goods from the farm gate to the factories, to the shops and the ports. It is not an exaggeration to say that the future prosperity of this country rests squarely on the shoulders of your industry. Because it is your industry that will be called on to meet and service the growth in interstate and international trade. Our international trade alone is scheduled to double by 2030, and triple by 2050."</w:t>
      </w:r>
      <w:r w:rsidRPr="00050881">
        <w:rPr>
          <w:rFonts w:ascii="Arial" w:hAnsi="Arial" w:cs="Arial"/>
          <w:i/>
          <w:sz w:val="20"/>
          <w:szCs w:val="20"/>
          <w:vertAlign w:val="superscript"/>
        </w:rPr>
        <w:footnoteReference w:id="1"/>
      </w:r>
    </w:p>
    <w:p w:rsidR="005A18D7" w:rsidRPr="002D5D45" w:rsidRDefault="005A18D7" w:rsidP="00C04619">
      <w:pPr>
        <w:rPr>
          <w:rFonts w:ascii="Arial" w:hAnsi="Arial" w:cs="Arial"/>
          <w:sz w:val="20"/>
          <w:szCs w:val="20"/>
        </w:rPr>
      </w:pPr>
    </w:p>
    <w:p w:rsidR="003958D9" w:rsidRPr="00050881" w:rsidRDefault="007E257F" w:rsidP="00C04619">
      <w:pPr>
        <w:rPr>
          <w:rFonts w:ascii="Arial" w:hAnsi="Arial" w:cs="Arial"/>
          <w:sz w:val="20"/>
          <w:szCs w:val="20"/>
        </w:rPr>
      </w:pPr>
      <w:r w:rsidRPr="002D5D45">
        <w:rPr>
          <w:rFonts w:ascii="Arial" w:hAnsi="Arial" w:cs="Arial"/>
          <w:sz w:val="20"/>
          <w:szCs w:val="20"/>
        </w:rPr>
        <w:t>E</w:t>
      </w:r>
      <w:r w:rsidR="003958D9" w:rsidRPr="002D5D45">
        <w:rPr>
          <w:rFonts w:ascii="Arial" w:hAnsi="Arial" w:cs="Arial"/>
          <w:sz w:val="20"/>
          <w:szCs w:val="20"/>
        </w:rPr>
        <w:t xml:space="preserve">xamples of regulation </w:t>
      </w:r>
      <w:r w:rsidR="00C23789">
        <w:rPr>
          <w:rFonts w:ascii="Arial" w:hAnsi="Arial" w:cs="Arial"/>
          <w:sz w:val="20"/>
          <w:szCs w:val="20"/>
        </w:rPr>
        <w:t>which</w:t>
      </w:r>
      <w:r w:rsidR="003958D9" w:rsidRPr="002D5D45">
        <w:rPr>
          <w:rFonts w:ascii="Arial" w:hAnsi="Arial" w:cs="Arial"/>
          <w:sz w:val="20"/>
          <w:szCs w:val="20"/>
        </w:rPr>
        <w:t xml:space="preserve"> limit the provision of a seamless national economy</w:t>
      </w:r>
      <w:r w:rsidRPr="002D5D45">
        <w:rPr>
          <w:rFonts w:ascii="Arial" w:hAnsi="Arial" w:cs="Arial"/>
          <w:sz w:val="20"/>
          <w:szCs w:val="20"/>
        </w:rPr>
        <w:t xml:space="preserve"> for</w:t>
      </w:r>
      <w:r w:rsidRPr="00050881">
        <w:rPr>
          <w:rFonts w:ascii="Arial" w:hAnsi="Arial" w:cs="Arial"/>
          <w:sz w:val="20"/>
          <w:szCs w:val="20"/>
        </w:rPr>
        <w:t xml:space="preserve"> the </w:t>
      </w:r>
      <w:r w:rsidR="009F3DF5" w:rsidRPr="00050881">
        <w:rPr>
          <w:rFonts w:ascii="Arial" w:hAnsi="Arial" w:cs="Arial"/>
          <w:sz w:val="20"/>
          <w:szCs w:val="20"/>
        </w:rPr>
        <w:t>industry</w:t>
      </w:r>
      <w:r w:rsidR="003958D9" w:rsidRPr="00050881">
        <w:rPr>
          <w:rFonts w:ascii="Arial" w:hAnsi="Arial" w:cs="Arial"/>
          <w:sz w:val="20"/>
          <w:szCs w:val="20"/>
        </w:rPr>
        <w:t xml:space="preserve"> include:</w:t>
      </w:r>
    </w:p>
    <w:p w:rsidR="00CB04F8" w:rsidRPr="00050881" w:rsidRDefault="00CB04F8" w:rsidP="00C04619">
      <w:pPr>
        <w:rPr>
          <w:rFonts w:ascii="Arial" w:hAnsi="Arial" w:cs="Arial"/>
          <w:sz w:val="20"/>
          <w:szCs w:val="20"/>
        </w:rPr>
      </w:pPr>
    </w:p>
    <w:p w:rsidR="003958D9" w:rsidRPr="00050881" w:rsidRDefault="003958D9" w:rsidP="00C04619">
      <w:pPr>
        <w:pStyle w:val="ListParagraph"/>
        <w:numPr>
          <w:ilvl w:val="0"/>
          <w:numId w:val="3"/>
        </w:numPr>
        <w:spacing w:after="0"/>
        <w:rPr>
          <w:rFonts w:ascii="Arial" w:hAnsi="Arial" w:cs="Arial"/>
          <w:sz w:val="20"/>
          <w:szCs w:val="20"/>
        </w:rPr>
      </w:pPr>
      <w:r w:rsidRPr="00050881">
        <w:rPr>
          <w:rFonts w:ascii="Arial" w:hAnsi="Arial" w:cs="Arial"/>
          <w:sz w:val="20"/>
          <w:szCs w:val="20"/>
        </w:rPr>
        <w:t>Restrictions on access – due to load mass or length of heavy vehicle</w:t>
      </w:r>
      <w:r w:rsidR="004E3959" w:rsidRPr="00050881">
        <w:rPr>
          <w:rFonts w:ascii="Arial" w:hAnsi="Arial" w:cs="Arial"/>
          <w:sz w:val="20"/>
          <w:szCs w:val="20"/>
        </w:rPr>
        <w:t>.</w:t>
      </w:r>
    </w:p>
    <w:p w:rsidR="003958D9" w:rsidRPr="00050881" w:rsidRDefault="003958D9" w:rsidP="00C04619">
      <w:pPr>
        <w:pStyle w:val="ListParagraph"/>
        <w:numPr>
          <w:ilvl w:val="0"/>
          <w:numId w:val="3"/>
        </w:numPr>
        <w:spacing w:after="0"/>
        <w:rPr>
          <w:rFonts w:ascii="Arial" w:hAnsi="Arial" w:cs="Arial"/>
          <w:sz w:val="20"/>
          <w:szCs w:val="20"/>
        </w:rPr>
      </w:pPr>
      <w:r w:rsidRPr="00050881">
        <w:rPr>
          <w:rFonts w:ascii="Arial" w:hAnsi="Arial" w:cs="Arial"/>
          <w:sz w:val="20"/>
          <w:szCs w:val="20"/>
        </w:rPr>
        <w:t>Permits –</w:t>
      </w:r>
      <w:r w:rsidR="006724CC" w:rsidRPr="00050881">
        <w:rPr>
          <w:rFonts w:ascii="Arial" w:hAnsi="Arial" w:cs="Arial"/>
          <w:sz w:val="20"/>
          <w:szCs w:val="20"/>
        </w:rPr>
        <w:t xml:space="preserve"> </w:t>
      </w:r>
      <w:r w:rsidRPr="00050881">
        <w:rPr>
          <w:rFonts w:ascii="Arial" w:hAnsi="Arial" w:cs="Arial"/>
          <w:sz w:val="20"/>
          <w:szCs w:val="20"/>
        </w:rPr>
        <w:t>used to regulate access, they can apply to carrying dangerous goods</w:t>
      </w:r>
      <w:r w:rsidR="000875E7">
        <w:rPr>
          <w:rFonts w:ascii="Arial" w:hAnsi="Arial" w:cs="Arial"/>
          <w:sz w:val="20"/>
          <w:szCs w:val="20"/>
        </w:rPr>
        <w:t>, first and last mile access</w:t>
      </w:r>
      <w:r w:rsidRPr="00050881">
        <w:rPr>
          <w:rFonts w:ascii="Arial" w:hAnsi="Arial" w:cs="Arial"/>
          <w:sz w:val="20"/>
          <w:szCs w:val="20"/>
        </w:rPr>
        <w:t xml:space="preserve"> or </w:t>
      </w:r>
      <w:r w:rsidR="00C2750C" w:rsidRPr="00050881">
        <w:rPr>
          <w:rFonts w:ascii="Arial" w:hAnsi="Arial" w:cs="Arial"/>
          <w:sz w:val="20"/>
          <w:szCs w:val="20"/>
        </w:rPr>
        <w:t xml:space="preserve">other certain </w:t>
      </w:r>
      <w:r w:rsidR="004E3959" w:rsidRPr="00050881">
        <w:rPr>
          <w:rFonts w:ascii="Arial" w:hAnsi="Arial" w:cs="Arial"/>
          <w:sz w:val="20"/>
          <w:szCs w:val="20"/>
        </w:rPr>
        <w:t>items.</w:t>
      </w:r>
      <w:r w:rsidR="00C2750C" w:rsidRPr="00050881">
        <w:rPr>
          <w:rFonts w:ascii="Arial" w:hAnsi="Arial" w:cs="Arial"/>
          <w:sz w:val="20"/>
          <w:szCs w:val="20"/>
        </w:rPr>
        <w:t xml:space="preserve"> </w:t>
      </w:r>
    </w:p>
    <w:p w:rsidR="00F37828" w:rsidRPr="00050881" w:rsidRDefault="007E257F" w:rsidP="00C04619">
      <w:pPr>
        <w:pStyle w:val="ListParagraph"/>
        <w:numPr>
          <w:ilvl w:val="0"/>
          <w:numId w:val="3"/>
        </w:numPr>
        <w:spacing w:after="0"/>
        <w:rPr>
          <w:rFonts w:ascii="Arial" w:hAnsi="Arial" w:cs="Arial"/>
          <w:sz w:val="20"/>
          <w:szCs w:val="20"/>
        </w:rPr>
      </w:pPr>
      <w:r w:rsidRPr="00050881">
        <w:rPr>
          <w:rFonts w:ascii="Arial" w:hAnsi="Arial" w:cs="Arial"/>
          <w:sz w:val="20"/>
          <w:szCs w:val="20"/>
        </w:rPr>
        <w:t xml:space="preserve">Lack of external review of access decisions. </w:t>
      </w:r>
    </w:p>
    <w:p w:rsidR="00C81D29" w:rsidRDefault="00C81D29" w:rsidP="00C04619">
      <w:pPr>
        <w:rPr>
          <w:rFonts w:ascii="Arial" w:hAnsi="Arial" w:cs="Arial"/>
          <w:sz w:val="20"/>
          <w:szCs w:val="20"/>
        </w:rPr>
      </w:pPr>
    </w:p>
    <w:p w:rsidR="00F37828" w:rsidRPr="00050881" w:rsidRDefault="00F37828" w:rsidP="00C04619">
      <w:pPr>
        <w:rPr>
          <w:rFonts w:ascii="Arial" w:hAnsi="Arial" w:cs="Arial"/>
          <w:sz w:val="20"/>
          <w:szCs w:val="20"/>
        </w:rPr>
      </w:pPr>
      <w:r w:rsidRPr="00050881">
        <w:rPr>
          <w:rFonts w:ascii="Arial" w:hAnsi="Arial" w:cs="Arial"/>
          <w:sz w:val="20"/>
          <w:szCs w:val="20"/>
        </w:rPr>
        <w:t xml:space="preserve">COAG’s desire for a seamless national </w:t>
      </w:r>
      <w:r w:rsidRPr="00955AD3">
        <w:rPr>
          <w:rFonts w:ascii="Arial" w:hAnsi="Arial" w:cs="Arial"/>
          <w:sz w:val="20"/>
          <w:szCs w:val="20"/>
        </w:rPr>
        <w:t>economy</w:t>
      </w:r>
      <w:r w:rsidR="00E46F71" w:rsidRPr="00955AD3">
        <w:rPr>
          <w:rFonts w:ascii="Arial" w:hAnsi="Arial" w:cs="Arial"/>
          <w:b/>
          <w:sz w:val="20"/>
          <w:szCs w:val="20"/>
        </w:rPr>
        <w:t xml:space="preserve"> </w:t>
      </w:r>
      <w:r w:rsidR="00E46F71" w:rsidRPr="002D5D45">
        <w:rPr>
          <w:rFonts w:ascii="Arial" w:hAnsi="Arial" w:cs="Arial"/>
          <w:sz w:val="20"/>
          <w:szCs w:val="20"/>
        </w:rPr>
        <w:t>means</w:t>
      </w:r>
      <w:r w:rsidR="00E46F71" w:rsidRPr="00050881">
        <w:rPr>
          <w:rFonts w:ascii="Arial" w:hAnsi="Arial" w:cs="Arial"/>
          <w:sz w:val="20"/>
          <w:szCs w:val="20"/>
        </w:rPr>
        <w:t xml:space="preserve"> they should </w:t>
      </w:r>
      <w:r w:rsidRPr="00050881">
        <w:rPr>
          <w:rFonts w:ascii="Arial" w:hAnsi="Arial" w:cs="Arial"/>
          <w:sz w:val="20"/>
          <w:szCs w:val="20"/>
        </w:rPr>
        <w:t>focus attentio</w:t>
      </w:r>
      <w:r w:rsidR="00CB04F8" w:rsidRPr="00050881">
        <w:rPr>
          <w:rFonts w:ascii="Arial" w:hAnsi="Arial" w:cs="Arial"/>
          <w:sz w:val="20"/>
          <w:szCs w:val="20"/>
        </w:rPr>
        <w:t xml:space="preserve">n on the heavy vehicle </w:t>
      </w:r>
      <w:r w:rsidR="00E46F71" w:rsidRPr="00050881">
        <w:rPr>
          <w:rFonts w:ascii="Arial" w:hAnsi="Arial" w:cs="Arial"/>
          <w:sz w:val="20"/>
          <w:szCs w:val="20"/>
        </w:rPr>
        <w:t>industry</w:t>
      </w:r>
      <w:r w:rsidRPr="00050881">
        <w:rPr>
          <w:rFonts w:ascii="Arial" w:hAnsi="Arial" w:cs="Arial"/>
          <w:sz w:val="20"/>
          <w:szCs w:val="20"/>
        </w:rPr>
        <w:t xml:space="preserve"> </w:t>
      </w:r>
      <w:r w:rsidR="004E3959" w:rsidRPr="00050881">
        <w:rPr>
          <w:rFonts w:ascii="Arial" w:hAnsi="Arial" w:cs="Arial"/>
          <w:sz w:val="20"/>
          <w:szCs w:val="20"/>
        </w:rPr>
        <w:t xml:space="preserve">even thought </w:t>
      </w:r>
      <w:r w:rsidRPr="00050881">
        <w:rPr>
          <w:rFonts w:ascii="Arial" w:hAnsi="Arial" w:cs="Arial"/>
          <w:sz w:val="20"/>
          <w:szCs w:val="20"/>
        </w:rPr>
        <w:t>there are renewed talks for rail to play a larger part in the freight task</w:t>
      </w:r>
      <w:r w:rsidR="006724CC" w:rsidRPr="00050881">
        <w:rPr>
          <w:rFonts w:ascii="Arial" w:hAnsi="Arial" w:cs="Arial"/>
          <w:sz w:val="20"/>
          <w:szCs w:val="20"/>
        </w:rPr>
        <w:t>;</w:t>
      </w:r>
      <w:r w:rsidRPr="00050881">
        <w:rPr>
          <w:rFonts w:ascii="Arial" w:hAnsi="Arial" w:cs="Arial"/>
          <w:sz w:val="20"/>
          <w:szCs w:val="20"/>
        </w:rPr>
        <w:t xml:space="preserve"> the viability of rail will take many</w:t>
      </w:r>
      <w:r w:rsidR="004E3959" w:rsidRPr="00050881">
        <w:rPr>
          <w:rFonts w:ascii="Arial" w:hAnsi="Arial" w:cs="Arial"/>
          <w:sz w:val="20"/>
          <w:szCs w:val="20"/>
        </w:rPr>
        <w:t xml:space="preserve"> more years to</w:t>
      </w:r>
      <w:r w:rsidR="00C2750C" w:rsidRPr="00050881">
        <w:rPr>
          <w:rFonts w:ascii="Arial" w:hAnsi="Arial" w:cs="Arial"/>
          <w:sz w:val="20"/>
          <w:szCs w:val="20"/>
        </w:rPr>
        <w:t xml:space="preserve"> </w:t>
      </w:r>
      <w:r w:rsidR="004E3959" w:rsidRPr="00050881">
        <w:rPr>
          <w:rFonts w:ascii="Arial" w:hAnsi="Arial" w:cs="Arial"/>
          <w:sz w:val="20"/>
          <w:szCs w:val="20"/>
        </w:rPr>
        <w:t>be as productive and efficient as the road freight</w:t>
      </w:r>
      <w:r w:rsidR="000875E7">
        <w:rPr>
          <w:rFonts w:ascii="Arial" w:hAnsi="Arial" w:cs="Arial"/>
          <w:sz w:val="20"/>
          <w:szCs w:val="20"/>
        </w:rPr>
        <w:t xml:space="preserve"> </w:t>
      </w:r>
      <w:r w:rsidR="004E3959" w:rsidRPr="00050881">
        <w:rPr>
          <w:rFonts w:ascii="Arial" w:hAnsi="Arial" w:cs="Arial"/>
          <w:sz w:val="20"/>
          <w:szCs w:val="20"/>
        </w:rPr>
        <w:t xml:space="preserve">industry </w:t>
      </w:r>
      <w:r w:rsidR="000875E7">
        <w:rPr>
          <w:rFonts w:ascii="Arial" w:hAnsi="Arial" w:cs="Arial"/>
          <w:sz w:val="20"/>
          <w:szCs w:val="20"/>
        </w:rPr>
        <w:t>currently</w:t>
      </w:r>
      <w:r w:rsidR="000875E7" w:rsidRPr="00050881">
        <w:rPr>
          <w:rFonts w:ascii="Arial" w:hAnsi="Arial" w:cs="Arial"/>
          <w:sz w:val="20"/>
          <w:szCs w:val="20"/>
        </w:rPr>
        <w:t xml:space="preserve"> </w:t>
      </w:r>
      <w:r w:rsidR="004E3959" w:rsidRPr="00050881">
        <w:rPr>
          <w:rFonts w:ascii="Arial" w:hAnsi="Arial" w:cs="Arial"/>
          <w:sz w:val="20"/>
          <w:szCs w:val="20"/>
        </w:rPr>
        <w:t>is</w:t>
      </w:r>
      <w:r w:rsidR="00C2750C" w:rsidRPr="00050881">
        <w:rPr>
          <w:rFonts w:ascii="Arial" w:hAnsi="Arial" w:cs="Arial"/>
          <w:sz w:val="20"/>
          <w:szCs w:val="20"/>
        </w:rPr>
        <w:t>. I</w:t>
      </w:r>
      <w:r w:rsidRPr="00050881">
        <w:rPr>
          <w:rFonts w:ascii="Arial" w:hAnsi="Arial" w:cs="Arial"/>
          <w:sz w:val="20"/>
          <w:szCs w:val="20"/>
        </w:rPr>
        <w:t>n the mean time</w:t>
      </w:r>
      <w:r w:rsidR="004E3959" w:rsidRPr="00050881">
        <w:rPr>
          <w:rFonts w:ascii="Arial" w:hAnsi="Arial" w:cs="Arial"/>
          <w:sz w:val="20"/>
          <w:szCs w:val="20"/>
        </w:rPr>
        <w:t>,</w:t>
      </w:r>
      <w:r w:rsidRPr="00050881">
        <w:rPr>
          <w:rFonts w:ascii="Arial" w:hAnsi="Arial" w:cs="Arial"/>
          <w:sz w:val="20"/>
          <w:szCs w:val="20"/>
        </w:rPr>
        <w:t xml:space="preserve"> improving the productivity possibilities </w:t>
      </w:r>
      <w:r w:rsidR="000E408F" w:rsidRPr="00050881">
        <w:rPr>
          <w:rFonts w:ascii="Arial" w:hAnsi="Arial" w:cs="Arial"/>
          <w:sz w:val="20"/>
          <w:szCs w:val="20"/>
        </w:rPr>
        <w:t>of</w:t>
      </w:r>
      <w:r w:rsidR="000875E7">
        <w:rPr>
          <w:rFonts w:ascii="Arial" w:hAnsi="Arial" w:cs="Arial"/>
          <w:sz w:val="20"/>
          <w:szCs w:val="20"/>
        </w:rPr>
        <w:t xml:space="preserve"> the</w:t>
      </w:r>
      <w:r w:rsidR="000E408F" w:rsidRPr="00050881">
        <w:rPr>
          <w:rFonts w:ascii="Arial" w:hAnsi="Arial" w:cs="Arial"/>
          <w:sz w:val="20"/>
          <w:szCs w:val="20"/>
        </w:rPr>
        <w:t xml:space="preserve"> road </w:t>
      </w:r>
      <w:r w:rsidR="009F3DF5" w:rsidRPr="00050881">
        <w:rPr>
          <w:rFonts w:ascii="Arial" w:hAnsi="Arial" w:cs="Arial"/>
          <w:sz w:val="20"/>
          <w:szCs w:val="20"/>
        </w:rPr>
        <w:t>freight industry</w:t>
      </w:r>
      <w:r w:rsidRPr="00050881">
        <w:rPr>
          <w:rFonts w:ascii="Arial" w:hAnsi="Arial" w:cs="Arial"/>
          <w:sz w:val="20"/>
          <w:szCs w:val="20"/>
        </w:rPr>
        <w:t xml:space="preserve"> should be the governments focus</w:t>
      </w:r>
      <w:r w:rsidR="00583EC7">
        <w:rPr>
          <w:rFonts w:ascii="Arial" w:hAnsi="Arial" w:cs="Arial"/>
          <w:sz w:val="20"/>
          <w:szCs w:val="20"/>
        </w:rPr>
        <w:t>. T</w:t>
      </w:r>
      <w:r w:rsidRPr="00050881">
        <w:rPr>
          <w:rFonts w:ascii="Arial" w:hAnsi="Arial" w:cs="Arial"/>
          <w:sz w:val="20"/>
          <w:szCs w:val="20"/>
        </w:rPr>
        <w:t>he industry is fully prepared to access productivity gains,</w:t>
      </w:r>
      <w:r w:rsidR="000875E7">
        <w:rPr>
          <w:rFonts w:ascii="Arial" w:hAnsi="Arial" w:cs="Arial"/>
          <w:sz w:val="20"/>
          <w:szCs w:val="20"/>
        </w:rPr>
        <w:t xml:space="preserve"> however,</w:t>
      </w:r>
      <w:r w:rsidRPr="00050881">
        <w:rPr>
          <w:rFonts w:ascii="Arial" w:hAnsi="Arial" w:cs="Arial"/>
          <w:sz w:val="20"/>
          <w:szCs w:val="20"/>
        </w:rPr>
        <w:t xml:space="preserve"> it is being </w:t>
      </w:r>
      <w:r w:rsidR="00E16AED" w:rsidRPr="00050881">
        <w:rPr>
          <w:rFonts w:ascii="Arial" w:hAnsi="Arial" w:cs="Arial"/>
          <w:sz w:val="20"/>
          <w:szCs w:val="20"/>
        </w:rPr>
        <w:t>reined</w:t>
      </w:r>
      <w:r w:rsidRPr="00050881">
        <w:rPr>
          <w:rFonts w:ascii="Arial" w:hAnsi="Arial" w:cs="Arial"/>
          <w:sz w:val="20"/>
          <w:szCs w:val="20"/>
        </w:rPr>
        <w:t xml:space="preserve"> in</w:t>
      </w:r>
      <w:r w:rsidR="00E16AED" w:rsidRPr="00050881">
        <w:rPr>
          <w:rFonts w:ascii="Arial" w:hAnsi="Arial" w:cs="Arial"/>
          <w:sz w:val="20"/>
          <w:szCs w:val="20"/>
        </w:rPr>
        <w:t xml:space="preserve"> by</w:t>
      </w:r>
      <w:r w:rsidRPr="00050881">
        <w:rPr>
          <w:rFonts w:ascii="Arial" w:hAnsi="Arial" w:cs="Arial"/>
          <w:sz w:val="20"/>
          <w:szCs w:val="20"/>
        </w:rPr>
        <w:t xml:space="preserve"> </w:t>
      </w:r>
      <w:r w:rsidR="00E16AED" w:rsidRPr="00050881">
        <w:rPr>
          <w:rFonts w:ascii="Arial" w:hAnsi="Arial" w:cs="Arial"/>
          <w:sz w:val="20"/>
          <w:szCs w:val="20"/>
        </w:rPr>
        <w:t>restrictive regulation and poor decision making by local governments</w:t>
      </w:r>
      <w:r w:rsidR="000E408F" w:rsidRPr="00050881">
        <w:rPr>
          <w:rFonts w:ascii="Arial" w:hAnsi="Arial" w:cs="Arial"/>
          <w:sz w:val="20"/>
          <w:szCs w:val="20"/>
        </w:rPr>
        <w:t xml:space="preserve"> and road agencies</w:t>
      </w:r>
      <w:r w:rsidR="00E16AED" w:rsidRPr="00050881">
        <w:rPr>
          <w:rFonts w:ascii="Arial" w:hAnsi="Arial" w:cs="Arial"/>
          <w:sz w:val="20"/>
          <w:szCs w:val="20"/>
        </w:rPr>
        <w:t xml:space="preserve">. </w:t>
      </w:r>
    </w:p>
    <w:p w:rsidR="00C81D29" w:rsidRPr="00050881" w:rsidRDefault="00C81D29" w:rsidP="00C04619">
      <w:pPr>
        <w:pStyle w:val="BodyText2"/>
        <w:rPr>
          <w:b w:val="0"/>
          <w:color w:val="000000" w:themeColor="text1"/>
          <w:sz w:val="20"/>
        </w:rPr>
      </w:pPr>
    </w:p>
    <w:p w:rsidR="00865F30" w:rsidRDefault="00C81D29" w:rsidP="00C04619">
      <w:pPr>
        <w:rPr>
          <w:rFonts w:ascii="Arial" w:hAnsi="Arial" w:cs="Arial"/>
          <w:sz w:val="20"/>
          <w:szCs w:val="20"/>
        </w:rPr>
      </w:pPr>
      <w:r w:rsidRPr="00050881">
        <w:rPr>
          <w:rFonts w:ascii="Arial" w:hAnsi="Arial" w:cs="Arial"/>
          <w:sz w:val="20"/>
          <w:szCs w:val="20"/>
        </w:rPr>
        <w:t>Various programs industry has created have improved the productivity and safety of the fleet. For e</w:t>
      </w:r>
      <w:r w:rsidR="000875E7">
        <w:rPr>
          <w:rFonts w:ascii="Arial" w:hAnsi="Arial" w:cs="Arial"/>
          <w:sz w:val="20"/>
          <w:szCs w:val="20"/>
        </w:rPr>
        <w:t>xample, the Truck Safe programs</w:t>
      </w:r>
      <w:r w:rsidRPr="00050881">
        <w:rPr>
          <w:rFonts w:ascii="Arial" w:hAnsi="Arial" w:cs="Arial"/>
          <w:sz w:val="20"/>
          <w:szCs w:val="20"/>
        </w:rPr>
        <w:t xml:space="preserve"> outcome is that its members are twice as safe as non accredited operators</w:t>
      </w:r>
      <w:r w:rsidRPr="009D56D7">
        <w:rPr>
          <w:rStyle w:val="FootnoteReference"/>
          <w:rFonts w:ascii="Arial" w:hAnsi="Arial" w:cs="Arial"/>
          <w:sz w:val="20"/>
          <w:szCs w:val="20"/>
        </w:rPr>
        <w:footnoteReference w:id="2"/>
      </w:r>
      <w:r w:rsidRPr="009D56D7">
        <w:rPr>
          <w:rFonts w:ascii="Arial" w:hAnsi="Arial" w:cs="Arial"/>
          <w:sz w:val="20"/>
          <w:szCs w:val="20"/>
        </w:rPr>
        <w:t xml:space="preserve">. </w:t>
      </w:r>
      <w:r w:rsidR="009D56D7">
        <w:rPr>
          <w:rFonts w:ascii="Arial" w:hAnsi="Arial" w:cs="Arial"/>
          <w:sz w:val="20"/>
          <w:szCs w:val="20"/>
        </w:rPr>
        <w:t xml:space="preserve">COAG </w:t>
      </w:r>
      <w:r w:rsidRPr="009D56D7">
        <w:rPr>
          <w:rFonts w:ascii="Arial" w:hAnsi="Arial" w:cs="Arial"/>
          <w:sz w:val="20"/>
          <w:szCs w:val="20"/>
        </w:rPr>
        <w:t xml:space="preserve">should </w:t>
      </w:r>
      <w:r w:rsidR="00955AD3" w:rsidRPr="009D56D7">
        <w:rPr>
          <w:rFonts w:ascii="Arial" w:hAnsi="Arial" w:cs="Arial"/>
          <w:sz w:val="20"/>
          <w:szCs w:val="20"/>
        </w:rPr>
        <w:t>support</w:t>
      </w:r>
      <w:r w:rsidR="00865F30">
        <w:rPr>
          <w:rFonts w:ascii="Arial" w:hAnsi="Arial" w:cs="Arial"/>
          <w:sz w:val="20"/>
          <w:szCs w:val="20"/>
        </w:rPr>
        <w:t xml:space="preserve"> safety promoting programs like Truck Safe, as </w:t>
      </w:r>
      <w:r w:rsidR="00884504">
        <w:rPr>
          <w:rFonts w:ascii="Arial" w:hAnsi="Arial" w:cs="Arial"/>
          <w:sz w:val="20"/>
          <w:szCs w:val="20"/>
        </w:rPr>
        <w:t>encouraging</w:t>
      </w:r>
      <w:r w:rsidR="00865F30">
        <w:rPr>
          <w:rFonts w:ascii="Arial" w:hAnsi="Arial" w:cs="Arial"/>
          <w:sz w:val="20"/>
          <w:szCs w:val="20"/>
        </w:rPr>
        <w:t xml:space="preserve"> </w:t>
      </w:r>
      <w:r w:rsidR="000875E7">
        <w:rPr>
          <w:rFonts w:ascii="Arial" w:hAnsi="Arial" w:cs="Arial"/>
          <w:sz w:val="20"/>
          <w:szCs w:val="20"/>
        </w:rPr>
        <w:t>this</w:t>
      </w:r>
      <w:r w:rsidR="00865F30">
        <w:rPr>
          <w:rFonts w:ascii="Arial" w:hAnsi="Arial" w:cs="Arial"/>
          <w:sz w:val="20"/>
          <w:szCs w:val="20"/>
        </w:rPr>
        <w:t xml:space="preserve"> leads</w:t>
      </w:r>
      <w:r w:rsidR="00884504">
        <w:rPr>
          <w:rFonts w:ascii="Arial" w:hAnsi="Arial" w:cs="Arial"/>
          <w:sz w:val="20"/>
          <w:szCs w:val="20"/>
        </w:rPr>
        <w:t xml:space="preserve"> to better operator</w:t>
      </w:r>
      <w:r w:rsidR="00865F30">
        <w:rPr>
          <w:rFonts w:ascii="Arial" w:hAnsi="Arial" w:cs="Arial"/>
          <w:sz w:val="20"/>
          <w:szCs w:val="20"/>
        </w:rPr>
        <w:t xml:space="preserve"> compliance and well </w:t>
      </w:r>
      <w:r w:rsidR="000875E7">
        <w:rPr>
          <w:rFonts w:ascii="Arial" w:hAnsi="Arial" w:cs="Arial"/>
          <w:sz w:val="20"/>
          <w:szCs w:val="20"/>
        </w:rPr>
        <w:t xml:space="preserve">maintained and safe </w:t>
      </w:r>
      <w:r w:rsidR="00865F30">
        <w:rPr>
          <w:rFonts w:ascii="Arial" w:hAnsi="Arial" w:cs="Arial"/>
          <w:sz w:val="20"/>
          <w:szCs w:val="20"/>
        </w:rPr>
        <w:t xml:space="preserve">heavy vehicles. </w:t>
      </w:r>
    </w:p>
    <w:p w:rsidR="00865F30" w:rsidRPr="00050881" w:rsidRDefault="00865F30" w:rsidP="00C04619">
      <w:pPr>
        <w:rPr>
          <w:rFonts w:ascii="Arial" w:hAnsi="Arial" w:cs="Arial"/>
          <w:sz w:val="20"/>
          <w:szCs w:val="20"/>
        </w:rPr>
      </w:pPr>
    </w:p>
    <w:p w:rsidR="00C81D29" w:rsidRPr="00050881" w:rsidRDefault="00C81D29" w:rsidP="00C04619">
      <w:pPr>
        <w:rPr>
          <w:rFonts w:ascii="Arial" w:hAnsi="Arial" w:cs="Arial"/>
          <w:sz w:val="20"/>
          <w:szCs w:val="20"/>
        </w:rPr>
      </w:pPr>
      <w:r w:rsidRPr="00050881">
        <w:rPr>
          <w:rFonts w:ascii="Arial" w:hAnsi="Arial" w:cs="Arial"/>
          <w:sz w:val="20"/>
          <w:szCs w:val="20"/>
        </w:rPr>
        <w:t xml:space="preserve">While industry strives to make its performance more efficient, the government’s regulators may have very different views of what regulation is to achieve. It is understandable why local governments would not want triple road trains operating in population dense areas; however, there are many routes which should be accessible to more productive, safer and longer vehicles (such as B-doubles and B-triples), which are currently not </w:t>
      </w:r>
      <w:r w:rsidR="000875E7">
        <w:rPr>
          <w:rFonts w:ascii="Arial" w:hAnsi="Arial" w:cs="Arial"/>
          <w:sz w:val="20"/>
          <w:szCs w:val="20"/>
        </w:rPr>
        <w:t>available to</w:t>
      </w:r>
      <w:r w:rsidRPr="00050881">
        <w:rPr>
          <w:rFonts w:ascii="Arial" w:hAnsi="Arial" w:cs="Arial"/>
          <w:sz w:val="20"/>
          <w:szCs w:val="20"/>
        </w:rPr>
        <w:t xml:space="preserve"> these vehicles. </w:t>
      </w:r>
    </w:p>
    <w:p w:rsidR="00C81D29" w:rsidRPr="00050881" w:rsidRDefault="00C81D29" w:rsidP="00C04619">
      <w:pPr>
        <w:rPr>
          <w:rFonts w:ascii="Arial" w:hAnsi="Arial" w:cs="Arial"/>
          <w:sz w:val="20"/>
          <w:szCs w:val="20"/>
        </w:rPr>
      </w:pPr>
    </w:p>
    <w:p w:rsidR="00C81D29" w:rsidRPr="00050881" w:rsidRDefault="000875E7" w:rsidP="00C04619">
      <w:pPr>
        <w:rPr>
          <w:rFonts w:ascii="Arial" w:hAnsi="Arial" w:cs="Arial"/>
          <w:sz w:val="20"/>
          <w:szCs w:val="20"/>
        </w:rPr>
      </w:pPr>
      <w:r>
        <w:rPr>
          <w:rFonts w:ascii="Arial" w:hAnsi="Arial" w:cs="Arial"/>
          <w:sz w:val="20"/>
          <w:szCs w:val="20"/>
        </w:rPr>
        <w:t>The costs associated with oppressive</w:t>
      </w:r>
      <w:r w:rsidR="00C81D29" w:rsidRPr="00050881">
        <w:rPr>
          <w:rFonts w:ascii="Arial" w:hAnsi="Arial" w:cs="Arial"/>
          <w:sz w:val="20"/>
          <w:szCs w:val="20"/>
        </w:rPr>
        <w:t xml:space="preserve"> regulation do not only affect operators of heavy vehicles. As the industry is a service provider, costs are likely to be passed onto client businesses and therefore</w:t>
      </w:r>
      <w:r w:rsidR="00674463">
        <w:rPr>
          <w:rFonts w:ascii="Arial" w:hAnsi="Arial" w:cs="Arial"/>
          <w:sz w:val="20"/>
          <w:szCs w:val="20"/>
        </w:rPr>
        <w:t>,</w:t>
      </w:r>
      <w:r w:rsidR="00C81D29" w:rsidRPr="00050881">
        <w:rPr>
          <w:rFonts w:ascii="Arial" w:hAnsi="Arial" w:cs="Arial"/>
          <w:sz w:val="20"/>
          <w:szCs w:val="20"/>
        </w:rPr>
        <w:t xml:space="preserve"> the end consumers of the good. </w:t>
      </w:r>
      <w:r w:rsidR="00C81D29">
        <w:rPr>
          <w:rFonts w:ascii="Arial" w:hAnsi="Arial" w:cs="Arial"/>
          <w:sz w:val="20"/>
          <w:szCs w:val="20"/>
        </w:rPr>
        <w:t>P</w:t>
      </w:r>
      <w:r w:rsidR="00C81D29" w:rsidRPr="00050881">
        <w:rPr>
          <w:rFonts w:ascii="Arial" w:hAnsi="Arial" w:cs="Arial"/>
          <w:sz w:val="20"/>
          <w:szCs w:val="20"/>
        </w:rPr>
        <w:t>laces that are difficult to access or costly admittance areas</w:t>
      </w:r>
      <w:r w:rsidR="00C81D29">
        <w:rPr>
          <w:rFonts w:ascii="Arial" w:hAnsi="Arial" w:cs="Arial"/>
          <w:sz w:val="20"/>
          <w:szCs w:val="20"/>
        </w:rPr>
        <w:t xml:space="preserve"> are</w:t>
      </w:r>
      <w:r w:rsidR="00C81D29" w:rsidRPr="00050881">
        <w:rPr>
          <w:rFonts w:ascii="Arial" w:hAnsi="Arial" w:cs="Arial"/>
          <w:sz w:val="20"/>
          <w:szCs w:val="20"/>
        </w:rPr>
        <w:t xml:space="preserve"> less viable for businesses and likely to make the local government, where the restrictions apply, limited in the potential </w:t>
      </w:r>
      <w:r w:rsidR="00C81D29">
        <w:rPr>
          <w:rFonts w:ascii="Arial" w:hAnsi="Arial" w:cs="Arial"/>
          <w:sz w:val="20"/>
          <w:szCs w:val="20"/>
        </w:rPr>
        <w:t xml:space="preserve">for </w:t>
      </w:r>
      <w:r w:rsidR="00C81D29" w:rsidRPr="00050881">
        <w:rPr>
          <w:rFonts w:ascii="Arial" w:hAnsi="Arial" w:cs="Arial"/>
          <w:sz w:val="20"/>
          <w:szCs w:val="20"/>
        </w:rPr>
        <w:t>growth in the community, as a direct result of restricting heavy vehicle access</w:t>
      </w:r>
      <w:r w:rsidR="00C81D29" w:rsidRPr="00050881">
        <w:rPr>
          <w:rStyle w:val="FootnoteReference"/>
          <w:rFonts w:ascii="Arial" w:hAnsi="Arial" w:cs="Arial"/>
          <w:sz w:val="20"/>
          <w:szCs w:val="20"/>
        </w:rPr>
        <w:footnoteReference w:id="3"/>
      </w:r>
      <w:r w:rsidR="00C81D29" w:rsidRPr="00050881">
        <w:rPr>
          <w:rFonts w:ascii="Arial" w:hAnsi="Arial" w:cs="Arial"/>
          <w:sz w:val="20"/>
          <w:szCs w:val="20"/>
        </w:rPr>
        <w:t xml:space="preserve">. There is no doubt that productive heavy vehicle access promotes economic growth in local government areas. </w:t>
      </w:r>
    </w:p>
    <w:p w:rsidR="00A832A0" w:rsidRDefault="00A832A0" w:rsidP="00C04619">
      <w:pPr>
        <w:rPr>
          <w:rFonts w:ascii="Arial" w:hAnsi="Arial" w:cs="Arial"/>
          <w:sz w:val="20"/>
          <w:szCs w:val="20"/>
        </w:rPr>
      </w:pPr>
    </w:p>
    <w:p w:rsidR="00C04619" w:rsidRPr="00050881" w:rsidRDefault="00C04619" w:rsidP="00C04619">
      <w:pPr>
        <w:rPr>
          <w:rFonts w:ascii="Arial" w:hAnsi="Arial" w:cs="Arial"/>
          <w:sz w:val="20"/>
          <w:szCs w:val="20"/>
        </w:rPr>
      </w:pPr>
    </w:p>
    <w:p w:rsidR="00576ED0" w:rsidRPr="00D73280" w:rsidRDefault="00576ED0" w:rsidP="00C04619">
      <w:pPr>
        <w:pStyle w:val="Heading1"/>
      </w:pPr>
      <w:bookmarkStart w:id="1" w:name="_Toc306890889"/>
      <w:r w:rsidRPr="00D73280">
        <w:t>Australian Trucking Association</w:t>
      </w:r>
      <w:bookmarkEnd w:id="1"/>
    </w:p>
    <w:p w:rsidR="004008C7" w:rsidRPr="00050881" w:rsidRDefault="004008C7" w:rsidP="00C04619">
      <w:pPr>
        <w:pStyle w:val="BodyText2"/>
        <w:rPr>
          <w:b w:val="0"/>
          <w:sz w:val="20"/>
        </w:rPr>
      </w:pPr>
    </w:p>
    <w:p w:rsidR="004008C7" w:rsidRPr="00050881" w:rsidRDefault="004008C7" w:rsidP="00C04619">
      <w:pPr>
        <w:pStyle w:val="BodyText2"/>
        <w:rPr>
          <w:b w:val="0"/>
          <w:sz w:val="20"/>
        </w:rPr>
      </w:pPr>
      <w:r w:rsidRPr="00050881">
        <w:rPr>
          <w:b w:val="0"/>
          <w:sz w:val="20"/>
        </w:rPr>
        <w:t>The Australian Trucking Association (ATA) is the peak body that represents the trucking industry. Its members include the state and sect</w:t>
      </w:r>
      <w:r w:rsidR="00A05C28" w:rsidRPr="00050881">
        <w:rPr>
          <w:b w:val="0"/>
          <w:sz w:val="20"/>
        </w:rPr>
        <w:t>or based trucking associations</w:t>
      </w:r>
      <w:r w:rsidRPr="00050881">
        <w:rPr>
          <w:b w:val="0"/>
          <w:sz w:val="20"/>
        </w:rPr>
        <w:t>, some of the nation’s largest transport companies, and businesses with leading expertise in truck technology.</w:t>
      </w:r>
    </w:p>
    <w:p w:rsidR="005D6E23" w:rsidRPr="00050881" w:rsidRDefault="005D6E23" w:rsidP="00C04619">
      <w:pPr>
        <w:rPr>
          <w:rFonts w:ascii="Arial" w:hAnsi="Arial" w:cs="Arial"/>
          <w:sz w:val="20"/>
          <w:szCs w:val="20"/>
        </w:rPr>
      </w:pPr>
    </w:p>
    <w:p w:rsidR="00E03E14" w:rsidRDefault="00E03E14" w:rsidP="00C04619">
      <w:pPr>
        <w:rPr>
          <w:rFonts w:ascii="Arial" w:hAnsi="Arial" w:cs="Arial"/>
          <w:sz w:val="20"/>
          <w:szCs w:val="20"/>
        </w:rPr>
      </w:pPr>
      <w:r>
        <w:rPr>
          <w:rFonts w:ascii="Arial" w:hAnsi="Arial" w:cs="Arial"/>
          <w:sz w:val="20"/>
          <w:szCs w:val="20"/>
        </w:rPr>
        <w:br w:type="page"/>
      </w:r>
    </w:p>
    <w:p w:rsidR="006104D6" w:rsidRPr="00050881" w:rsidRDefault="006104D6" w:rsidP="00C04619">
      <w:pPr>
        <w:rPr>
          <w:rFonts w:ascii="Arial" w:hAnsi="Arial" w:cs="Arial"/>
          <w:sz w:val="20"/>
          <w:szCs w:val="20"/>
        </w:rPr>
      </w:pPr>
    </w:p>
    <w:p w:rsidR="00D73280" w:rsidRPr="00E03E14" w:rsidRDefault="00907971" w:rsidP="00C04619">
      <w:pPr>
        <w:pStyle w:val="Heading1"/>
      </w:pPr>
      <w:bookmarkStart w:id="2" w:name="_Toc306890890"/>
      <w:r w:rsidRPr="00D73280">
        <w:t>Recommendations</w:t>
      </w:r>
      <w:bookmarkEnd w:id="2"/>
    </w:p>
    <w:p w:rsidR="000C01AC" w:rsidRDefault="00F105BF">
      <w:pPr>
        <w:pStyle w:val="TOC1"/>
        <w:rPr>
          <w:rFonts w:asciiTheme="minorHAnsi" w:eastAsiaTheme="minorEastAsia" w:hAnsiTheme="minorHAnsi" w:cstheme="minorBidi"/>
          <w:b w:val="0"/>
          <w:sz w:val="22"/>
          <w:szCs w:val="22"/>
          <w:lang w:eastAsia="en-AU"/>
        </w:rPr>
      </w:pPr>
      <w:r w:rsidRPr="00F105BF">
        <w:rPr>
          <w:rFonts w:cs="Arial"/>
        </w:rPr>
        <w:fldChar w:fldCharType="begin"/>
      </w:r>
      <w:r w:rsidR="00907971" w:rsidRPr="00050881">
        <w:rPr>
          <w:rFonts w:cs="Arial"/>
        </w:rPr>
        <w:instrText xml:space="preserve"> TOC \n \p " " \t "Recommendation Style,1,Recommendation Style 2,2,Recommendation Style 3,3" </w:instrText>
      </w:r>
      <w:r w:rsidRPr="00F105BF">
        <w:rPr>
          <w:rFonts w:cs="Arial"/>
        </w:rPr>
        <w:fldChar w:fldCharType="separate"/>
      </w:r>
      <w:r w:rsidR="000C01AC" w:rsidRPr="00D84E39">
        <w:rPr>
          <w:color w:val="000000" w:themeColor="text1"/>
        </w:rPr>
        <w:t>Recommendation 1</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the COAG principles of national regulation should be used broadly on any reform which takes place, as consistent regulation which facilitates productivity is needed in order to create a national seamless economy.</w:t>
      </w:r>
    </w:p>
    <w:p w:rsidR="000C01AC" w:rsidRDefault="000C01AC">
      <w:pPr>
        <w:pStyle w:val="TOC1"/>
        <w:rPr>
          <w:rFonts w:asciiTheme="minorHAnsi" w:eastAsiaTheme="minorEastAsia" w:hAnsiTheme="minorHAnsi" w:cstheme="minorBidi"/>
          <w:b w:val="0"/>
          <w:sz w:val="22"/>
          <w:szCs w:val="22"/>
          <w:lang w:eastAsia="en-AU"/>
        </w:rPr>
      </w:pPr>
      <w:r w:rsidRPr="00D84E39">
        <w:t>Recommendation 2</w:t>
      </w:r>
    </w:p>
    <w:p w:rsidR="000C01AC" w:rsidRDefault="000C01AC">
      <w:pPr>
        <w:pStyle w:val="TOC1"/>
        <w:rPr>
          <w:rFonts w:asciiTheme="minorHAnsi" w:eastAsiaTheme="minorEastAsia" w:hAnsiTheme="minorHAnsi" w:cstheme="minorBidi"/>
          <w:b w:val="0"/>
          <w:sz w:val="22"/>
          <w:szCs w:val="22"/>
          <w:lang w:eastAsia="en-AU"/>
        </w:rPr>
      </w:pPr>
      <w:r>
        <w:t>The Business Regulation Competition Working Group (BRCWG) encourages the National Heavy Vehicle Regulator (NHVR) to allow the opportunity to seek external review of access decisions made by local government by including this in the national harmonisation of legislation.</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3</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that the BRCWG should use the heavy vehicle industry as an example of where harmonised national regulation would lead to an increase in productivity.</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4</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local government decisions which seek to restrict productivity should be reviewed and, where indentified, reversed.</w:t>
      </w:r>
    </w:p>
    <w:p w:rsidR="000C01AC" w:rsidRDefault="000C01AC">
      <w:pPr>
        <w:pStyle w:val="TOC1"/>
        <w:rPr>
          <w:rFonts w:asciiTheme="minorHAnsi" w:eastAsiaTheme="minorEastAsia" w:hAnsiTheme="minorHAnsi" w:cstheme="minorBidi"/>
          <w:b w:val="0"/>
          <w:sz w:val="22"/>
          <w:szCs w:val="22"/>
          <w:lang w:eastAsia="en-AU"/>
        </w:rPr>
      </w:pPr>
      <w:r w:rsidRPr="00D84E39">
        <w:t>Recommendation 5</w:t>
      </w:r>
    </w:p>
    <w:p w:rsidR="000C01AC" w:rsidRDefault="000C01AC">
      <w:pPr>
        <w:pStyle w:val="TOC1"/>
        <w:rPr>
          <w:rFonts w:asciiTheme="minorHAnsi" w:eastAsiaTheme="minorEastAsia" w:hAnsiTheme="minorHAnsi" w:cstheme="minorBidi"/>
          <w:b w:val="0"/>
          <w:sz w:val="22"/>
          <w:szCs w:val="22"/>
          <w:lang w:eastAsia="en-AU"/>
        </w:rPr>
      </w:pPr>
      <w:r>
        <w:t>We recommend the BRCWG note COAG should not progress with mass distance location pricing</w:t>
      </w:r>
      <w:r w:rsidRPr="00D84E39">
        <w:rPr>
          <w:color w:val="000000" w:themeColor="text1"/>
        </w:rPr>
        <w:t>.</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6</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COAG review its principle that there should be no-cross subsidisation between vehicle classes. This principle has led to productivity, safety and efficiency losses in the industry.</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7</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that logistics should be able to react as flexibly as possible to demands in order to be optimally efficient. This requires regulations that facilitate productivity and include external review of access decisions to promote good judgment.</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8</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regulation should be standardised on best practice to make sure it is as effective as possible.</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Recommendation 9</w:t>
      </w:r>
    </w:p>
    <w:p w:rsidR="000C01AC" w:rsidRDefault="000C01AC">
      <w:pPr>
        <w:pStyle w:val="TOC1"/>
        <w:rPr>
          <w:rFonts w:asciiTheme="minorHAnsi" w:eastAsiaTheme="minorEastAsia" w:hAnsiTheme="minorHAnsi" w:cstheme="minorBidi"/>
          <w:b w:val="0"/>
          <w:sz w:val="22"/>
          <w:szCs w:val="22"/>
          <w:lang w:eastAsia="en-AU"/>
        </w:rPr>
      </w:pPr>
      <w:r w:rsidRPr="00D84E39">
        <w:rPr>
          <w:color w:val="000000" w:themeColor="text1"/>
        </w:rPr>
        <w:t>The ATA recommends the BRCWG focus on the outcome of the NHVR to ensure regulatory uniformity is achieved, with a national law that facilitates productivity, innovation and sound accountable decision making.</w:t>
      </w:r>
    </w:p>
    <w:p w:rsidR="00907060" w:rsidRDefault="00F105BF" w:rsidP="00C04619">
      <w:pPr>
        <w:pStyle w:val="Heading1"/>
        <w:numPr>
          <w:ilvl w:val="0"/>
          <w:numId w:val="0"/>
        </w:numPr>
        <w:rPr>
          <w:b w:val="0"/>
          <w:noProof/>
          <w:color w:val="000000" w:themeColor="text1"/>
          <w:sz w:val="20"/>
          <w:szCs w:val="20"/>
        </w:rPr>
      </w:pPr>
      <w:r w:rsidRPr="00050881">
        <w:rPr>
          <w:b w:val="0"/>
          <w:noProof/>
          <w:color w:val="000000" w:themeColor="text1"/>
          <w:sz w:val="20"/>
          <w:szCs w:val="20"/>
        </w:rPr>
        <w:fldChar w:fldCharType="end"/>
      </w:r>
    </w:p>
    <w:p w:rsidR="00907060" w:rsidRDefault="00907060" w:rsidP="00907060">
      <w:pPr>
        <w:rPr>
          <w:rFonts w:ascii="Arial" w:hAnsi="Arial" w:cs="Arial"/>
          <w:noProof/>
        </w:rPr>
      </w:pPr>
      <w:r>
        <w:rPr>
          <w:noProof/>
        </w:rPr>
        <w:br w:type="page"/>
      </w:r>
    </w:p>
    <w:p w:rsidR="00076C90" w:rsidRPr="00E03E14" w:rsidRDefault="00076C90" w:rsidP="00C04619">
      <w:pPr>
        <w:pStyle w:val="Heading1"/>
        <w:numPr>
          <w:ilvl w:val="0"/>
          <w:numId w:val="0"/>
        </w:numPr>
        <w:rPr>
          <w:b w:val="0"/>
          <w:noProof/>
          <w:color w:val="000000" w:themeColor="text1"/>
          <w:sz w:val="20"/>
          <w:szCs w:val="20"/>
        </w:rPr>
      </w:pPr>
    </w:p>
    <w:p w:rsidR="0004192B" w:rsidRPr="00D73280" w:rsidRDefault="0004192B" w:rsidP="00C04619">
      <w:pPr>
        <w:pStyle w:val="Heading1"/>
      </w:pPr>
      <w:bookmarkStart w:id="3" w:name="_Toc306890891"/>
      <w:r w:rsidRPr="00D73280">
        <w:t>COAG principles</w:t>
      </w:r>
      <w:bookmarkEnd w:id="3"/>
    </w:p>
    <w:p w:rsidR="0004192B" w:rsidRPr="00050881" w:rsidRDefault="0004192B" w:rsidP="00C04619">
      <w:pPr>
        <w:rPr>
          <w:rFonts w:ascii="Arial" w:hAnsi="Arial" w:cs="Arial"/>
          <w:sz w:val="20"/>
          <w:szCs w:val="20"/>
        </w:rPr>
      </w:pPr>
    </w:p>
    <w:p w:rsidR="0004192B" w:rsidRPr="00050881" w:rsidRDefault="0004192B" w:rsidP="00C04619">
      <w:pPr>
        <w:rPr>
          <w:rFonts w:ascii="Arial" w:hAnsi="Arial" w:cs="Arial"/>
          <w:sz w:val="20"/>
          <w:szCs w:val="20"/>
        </w:rPr>
      </w:pPr>
      <w:r w:rsidRPr="00050881">
        <w:rPr>
          <w:rFonts w:ascii="Arial" w:hAnsi="Arial" w:cs="Arial"/>
          <w:sz w:val="20"/>
          <w:szCs w:val="20"/>
        </w:rPr>
        <w:t>Local government regulation regarding heavy vehicles is open to local amendment and there is limit</w:t>
      </w:r>
      <w:r w:rsidR="00B615F9" w:rsidRPr="00050881">
        <w:rPr>
          <w:rFonts w:ascii="Arial" w:hAnsi="Arial" w:cs="Arial"/>
          <w:sz w:val="20"/>
          <w:szCs w:val="20"/>
        </w:rPr>
        <w:t>ed</w:t>
      </w:r>
      <w:r w:rsidRPr="00050881">
        <w:rPr>
          <w:rFonts w:ascii="Arial" w:hAnsi="Arial" w:cs="Arial"/>
          <w:sz w:val="20"/>
          <w:szCs w:val="20"/>
        </w:rPr>
        <w:t xml:space="preserve"> </w:t>
      </w:r>
      <w:r w:rsidR="000E408F" w:rsidRPr="00050881">
        <w:rPr>
          <w:rFonts w:ascii="Arial" w:hAnsi="Arial" w:cs="Arial"/>
          <w:sz w:val="20"/>
          <w:szCs w:val="20"/>
        </w:rPr>
        <w:t xml:space="preserve">or no </w:t>
      </w:r>
      <w:r w:rsidRPr="00050881">
        <w:rPr>
          <w:rFonts w:ascii="Arial" w:hAnsi="Arial" w:cs="Arial"/>
          <w:sz w:val="20"/>
          <w:szCs w:val="20"/>
        </w:rPr>
        <w:t>tribunal review of decisions. This means regulation deviates from what was originally proposed</w:t>
      </w:r>
      <w:r w:rsidR="00B615F9" w:rsidRPr="00050881">
        <w:rPr>
          <w:rFonts w:ascii="Arial" w:hAnsi="Arial" w:cs="Arial"/>
          <w:sz w:val="20"/>
          <w:szCs w:val="20"/>
        </w:rPr>
        <w:t xml:space="preserve"> and agreed to</w:t>
      </w:r>
      <w:r w:rsidR="00884504">
        <w:rPr>
          <w:rFonts w:ascii="Arial" w:hAnsi="Arial" w:cs="Arial"/>
          <w:sz w:val="20"/>
          <w:szCs w:val="20"/>
        </w:rPr>
        <w:t xml:space="preserve"> at C</w:t>
      </w:r>
      <w:r w:rsidRPr="00050881">
        <w:rPr>
          <w:rFonts w:ascii="Arial" w:hAnsi="Arial" w:cs="Arial"/>
          <w:sz w:val="20"/>
          <w:szCs w:val="20"/>
        </w:rPr>
        <w:t>ommonwealth/state level. The paper has indicated the sum of changing legislation</w:t>
      </w:r>
      <w:r w:rsidR="00B615F9" w:rsidRPr="00050881">
        <w:rPr>
          <w:rFonts w:ascii="Arial" w:hAnsi="Arial" w:cs="Arial"/>
          <w:sz w:val="20"/>
          <w:szCs w:val="20"/>
        </w:rPr>
        <w:t xml:space="preserve"> unnecessarily</w:t>
      </w:r>
      <w:r w:rsidRPr="00050881">
        <w:rPr>
          <w:rFonts w:ascii="Arial" w:hAnsi="Arial" w:cs="Arial"/>
          <w:sz w:val="20"/>
          <w:szCs w:val="20"/>
        </w:rPr>
        <w:t xml:space="preserve"> weakens the </w:t>
      </w:r>
      <w:r w:rsidR="00B615F9" w:rsidRPr="00050881">
        <w:rPr>
          <w:rFonts w:ascii="Arial" w:hAnsi="Arial" w:cs="Arial"/>
          <w:sz w:val="20"/>
          <w:szCs w:val="20"/>
        </w:rPr>
        <w:t>effect of the regulation overall</w:t>
      </w:r>
      <w:r w:rsidR="001B46F6" w:rsidRPr="00050881">
        <w:rPr>
          <w:rFonts w:ascii="Arial" w:hAnsi="Arial" w:cs="Arial"/>
          <w:sz w:val="20"/>
          <w:szCs w:val="20"/>
        </w:rPr>
        <w:t>,</w:t>
      </w:r>
      <w:r w:rsidR="00542479">
        <w:rPr>
          <w:rFonts w:ascii="Arial" w:hAnsi="Arial" w:cs="Arial"/>
          <w:sz w:val="20"/>
          <w:szCs w:val="20"/>
        </w:rPr>
        <w:t xml:space="preserve"> and this</w:t>
      </w:r>
      <w:r w:rsidRPr="00050881">
        <w:rPr>
          <w:rFonts w:ascii="Arial" w:hAnsi="Arial" w:cs="Arial"/>
          <w:sz w:val="20"/>
          <w:szCs w:val="20"/>
        </w:rPr>
        <w:t xml:space="preserve"> is</w:t>
      </w:r>
      <w:r w:rsidR="00542479">
        <w:rPr>
          <w:rFonts w:ascii="Arial" w:hAnsi="Arial" w:cs="Arial"/>
          <w:sz w:val="20"/>
          <w:szCs w:val="20"/>
        </w:rPr>
        <w:t xml:space="preserve"> precisely</w:t>
      </w:r>
      <w:r w:rsidRPr="00050881">
        <w:rPr>
          <w:rFonts w:ascii="Arial" w:hAnsi="Arial" w:cs="Arial"/>
          <w:sz w:val="20"/>
          <w:szCs w:val="20"/>
        </w:rPr>
        <w:t xml:space="preserve"> what the industry has seen with access decisions. </w:t>
      </w:r>
    </w:p>
    <w:p w:rsidR="0004192B" w:rsidRPr="00050881" w:rsidRDefault="0004192B" w:rsidP="00C04619">
      <w:pPr>
        <w:rPr>
          <w:rFonts w:ascii="Arial" w:hAnsi="Arial" w:cs="Arial"/>
          <w:sz w:val="20"/>
          <w:szCs w:val="20"/>
        </w:rPr>
      </w:pPr>
    </w:p>
    <w:p w:rsidR="00955AD3" w:rsidRDefault="0004192B" w:rsidP="00C04619">
      <w:pPr>
        <w:rPr>
          <w:rFonts w:ascii="Arial" w:hAnsi="Arial" w:cs="Arial"/>
          <w:sz w:val="20"/>
          <w:szCs w:val="20"/>
        </w:rPr>
      </w:pPr>
      <w:r w:rsidRPr="00050881">
        <w:rPr>
          <w:rFonts w:ascii="Arial" w:hAnsi="Arial" w:cs="Arial"/>
          <w:sz w:val="20"/>
          <w:szCs w:val="20"/>
        </w:rPr>
        <w:t>The COAG national regulation principles</w:t>
      </w:r>
      <w:r w:rsidR="00B615F9" w:rsidRPr="00050881">
        <w:rPr>
          <w:rFonts w:ascii="Arial" w:hAnsi="Arial" w:cs="Arial"/>
          <w:sz w:val="20"/>
          <w:szCs w:val="20"/>
        </w:rPr>
        <w:t xml:space="preserve"> should</w:t>
      </w:r>
      <w:r w:rsidRPr="00050881">
        <w:rPr>
          <w:rFonts w:ascii="Arial" w:hAnsi="Arial" w:cs="Arial"/>
          <w:sz w:val="20"/>
          <w:szCs w:val="20"/>
        </w:rPr>
        <w:t xml:space="preserve"> be taken into account with local governments </w:t>
      </w:r>
      <w:r w:rsidR="00D378A3" w:rsidRPr="00050881">
        <w:rPr>
          <w:rFonts w:ascii="Arial" w:hAnsi="Arial" w:cs="Arial"/>
          <w:sz w:val="20"/>
          <w:szCs w:val="20"/>
        </w:rPr>
        <w:t xml:space="preserve">and agencies </w:t>
      </w:r>
      <w:r w:rsidRPr="00050881">
        <w:rPr>
          <w:rFonts w:ascii="Arial" w:hAnsi="Arial" w:cs="Arial"/>
          <w:sz w:val="20"/>
          <w:szCs w:val="20"/>
        </w:rPr>
        <w:t xml:space="preserve">over heavy vehicle </w:t>
      </w:r>
      <w:r w:rsidR="00B73CD8" w:rsidRPr="00050881">
        <w:rPr>
          <w:rFonts w:ascii="Arial" w:hAnsi="Arial" w:cs="Arial"/>
          <w:sz w:val="20"/>
          <w:szCs w:val="20"/>
        </w:rPr>
        <w:t>decisions</w:t>
      </w:r>
      <w:r w:rsidRPr="00050881">
        <w:rPr>
          <w:rFonts w:ascii="Arial" w:hAnsi="Arial" w:cs="Arial"/>
          <w:sz w:val="20"/>
          <w:szCs w:val="20"/>
        </w:rPr>
        <w:t>.</w:t>
      </w:r>
      <w:r w:rsidR="00955AD3" w:rsidRPr="00050881">
        <w:rPr>
          <w:rFonts w:ascii="Arial" w:hAnsi="Arial" w:cs="Arial"/>
          <w:sz w:val="20"/>
          <w:szCs w:val="20"/>
        </w:rPr>
        <w:t xml:space="preserve"> </w:t>
      </w:r>
      <w:r w:rsidR="001463C2" w:rsidRPr="00050881">
        <w:rPr>
          <w:rFonts w:ascii="Arial" w:hAnsi="Arial" w:cs="Arial"/>
          <w:sz w:val="20"/>
          <w:szCs w:val="20"/>
        </w:rPr>
        <w:t>The</w:t>
      </w:r>
      <w:r w:rsidR="00100ED4" w:rsidRPr="00050881">
        <w:rPr>
          <w:rFonts w:ascii="Arial" w:hAnsi="Arial" w:cs="Arial"/>
          <w:sz w:val="20"/>
          <w:szCs w:val="20"/>
        </w:rPr>
        <w:t xml:space="preserve"> Business Regulation and Competition Working Group (</w:t>
      </w:r>
      <w:r w:rsidR="001463C2" w:rsidRPr="00050881">
        <w:rPr>
          <w:rFonts w:ascii="Arial" w:hAnsi="Arial" w:cs="Arial"/>
          <w:sz w:val="20"/>
          <w:szCs w:val="20"/>
        </w:rPr>
        <w:t>BR</w:t>
      </w:r>
      <w:r w:rsidRPr="00050881">
        <w:rPr>
          <w:rFonts w:ascii="Arial" w:hAnsi="Arial" w:cs="Arial"/>
          <w:sz w:val="20"/>
          <w:szCs w:val="20"/>
        </w:rPr>
        <w:t>CWG</w:t>
      </w:r>
      <w:r w:rsidR="00100ED4" w:rsidRPr="00050881">
        <w:rPr>
          <w:rFonts w:ascii="Arial" w:hAnsi="Arial" w:cs="Arial"/>
          <w:sz w:val="20"/>
          <w:szCs w:val="20"/>
        </w:rPr>
        <w:t>)</w:t>
      </w:r>
      <w:r w:rsidRPr="00050881">
        <w:rPr>
          <w:rFonts w:ascii="Arial" w:hAnsi="Arial" w:cs="Arial"/>
          <w:sz w:val="20"/>
          <w:szCs w:val="20"/>
        </w:rPr>
        <w:t xml:space="preserve"> </w:t>
      </w:r>
      <w:r w:rsidR="00482A22" w:rsidRPr="00050881">
        <w:rPr>
          <w:rFonts w:ascii="Arial" w:hAnsi="Arial" w:cs="Arial"/>
          <w:sz w:val="20"/>
          <w:szCs w:val="20"/>
        </w:rPr>
        <w:t>paper</w:t>
      </w:r>
      <w:r w:rsidR="00B64B1F" w:rsidRPr="00050881">
        <w:rPr>
          <w:rFonts w:ascii="Arial" w:hAnsi="Arial" w:cs="Arial"/>
          <w:sz w:val="20"/>
          <w:szCs w:val="20"/>
        </w:rPr>
        <w:t xml:space="preserve"> </w:t>
      </w:r>
      <w:r w:rsidRPr="00050881">
        <w:rPr>
          <w:rFonts w:ascii="Arial" w:hAnsi="Arial" w:cs="Arial"/>
          <w:sz w:val="20"/>
          <w:szCs w:val="20"/>
        </w:rPr>
        <w:t xml:space="preserve">sets out what </w:t>
      </w:r>
      <w:r w:rsidR="00E760B6" w:rsidRPr="00050881">
        <w:rPr>
          <w:rFonts w:ascii="Arial" w:hAnsi="Arial" w:cs="Arial"/>
          <w:sz w:val="20"/>
          <w:szCs w:val="20"/>
        </w:rPr>
        <w:t>reforms are required to produce</w:t>
      </w:r>
      <w:r w:rsidR="00B64B1F" w:rsidRPr="00050881">
        <w:rPr>
          <w:rFonts w:ascii="Arial" w:hAnsi="Arial" w:cs="Arial"/>
          <w:sz w:val="20"/>
          <w:szCs w:val="20"/>
        </w:rPr>
        <w:t xml:space="preserve">, </w:t>
      </w:r>
      <w:r w:rsidR="00E760B6" w:rsidRPr="00050881">
        <w:rPr>
          <w:rFonts w:ascii="Arial" w:hAnsi="Arial" w:cs="Arial"/>
          <w:sz w:val="20"/>
          <w:szCs w:val="20"/>
        </w:rPr>
        <w:t>such</w:t>
      </w:r>
      <w:r w:rsidRPr="00050881">
        <w:rPr>
          <w:rFonts w:ascii="Arial" w:hAnsi="Arial" w:cs="Arial"/>
          <w:sz w:val="20"/>
          <w:szCs w:val="20"/>
        </w:rPr>
        <w:t xml:space="preserve"> as improved productivity by installing consistent regulation</w:t>
      </w:r>
      <w:r w:rsidR="00E760B6" w:rsidRPr="00050881">
        <w:rPr>
          <w:rFonts w:ascii="Arial" w:hAnsi="Arial" w:cs="Arial"/>
          <w:sz w:val="20"/>
          <w:szCs w:val="20"/>
        </w:rPr>
        <w:t>,</w:t>
      </w:r>
      <w:r w:rsidRPr="00050881">
        <w:rPr>
          <w:rFonts w:ascii="Arial" w:hAnsi="Arial" w:cs="Arial"/>
          <w:sz w:val="20"/>
          <w:szCs w:val="20"/>
        </w:rPr>
        <w:t xml:space="preserve"> and removing inefficient regulation</w:t>
      </w:r>
      <w:r w:rsidR="00E760B6" w:rsidRPr="00050881">
        <w:rPr>
          <w:rFonts w:ascii="Arial" w:hAnsi="Arial" w:cs="Arial"/>
          <w:sz w:val="20"/>
          <w:szCs w:val="20"/>
        </w:rPr>
        <w:t>.</w:t>
      </w:r>
      <w:r w:rsidRPr="00050881">
        <w:rPr>
          <w:rFonts w:ascii="Arial" w:hAnsi="Arial" w:cs="Arial"/>
          <w:sz w:val="20"/>
          <w:szCs w:val="20"/>
        </w:rPr>
        <w:t xml:space="preserve"> </w:t>
      </w:r>
      <w:r w:rsidR="00100ED4" w:rsidRPr="00050881">
        <w:rPr>
          <w:rFonts w:ascii="Arial" w:hAnsi="Arial" w:cs="Arial"/>
          <w:sz w:val="20"/>
          <w:szCs w:val="20"/>
        </w:rPr>
        <w:t>Local government planning decisions can be revie</w:t>
      </w:r>
      <w:r w:rsidR="00542479">
        <w:rPr>
          <w:rFonts w:ascii="Arial" w:hAnsi="Arial" w:cs="Arial"/>
          <w:sz w:val="20"/>
          <w:szCs w:val="20"/>
        </w:rPr>
        <w:t>wed but access decisions cannot. T</w:t>
      </w:r>
      <w:r w:rsidR="00100ED4" w:rsidRPr="00050881">
        <w:rPr>
          <w:rFonts w:ascii="Arial" w:hAnsi="Arial" w:cs="Arial"/>
          <w:sz w:val="20"/>
          <w:szCs w:val="20"/>
        </w:rPr>
        <w:t>his is unfair and denies the industry best practice decision making.</w:t>
      </w:r>
    </w:p>
    <w:p w:rsidR="00955AD3" w:rsidRDefault="00955AD3" w:rsidP="00C04619">
      <w:pPr>
        <w:rPr>
          <w:rFonts w:ascii="Arial" w:hAnsi="Arial" w:cs="Arial"/>
          <w:sz w:val="20"/>
          <w:szCs w:val="20"/>
        </w:rPr>
      </w:pPr>
    </w:p>
    <w:p w:rsidR="0004192B" w:rsidRDefault="00542479" w:rsidP="00C04619">
      <w:pPr>
        <w:rPr>
          <w:rFonts w:ascii="Arial" w:hAnsi="Arial" w:cs="Arial"/>
          <w:sz w:val="20"/>
          <w:szCs w:val="20"/>
        </w:rPr>
      </w:pPr>
      <w:r>
        <w:rPr>
          <w:rFonts w:ascii="Arial" w:hAnsi="Arial" w:cs="Arial"/>
          <w:sz w:val="20"/>
          <w:szCs w:val="20"/>
        </w:rPr>
        <w:t>Reforming heavy vehicle</w:t>
      </w:r>
      <w:r w:rsidR="0004192B" w:rsidRPr="00050881">
        <w:rPr>
          <w:rFonts w:ascii="Arial" w:hAnsi="Arial" w:cs="Arial"/>
          <w:sz w:val="20"/>
          <w:szCs w:val="20"/>
        </w:rPr>
        <w:t xml:space="preserve"> regulation should be part of the examination</w:t>
      </w:r>
      <w:r w:rsidR="001463C2" w:rsidRPr="00050881">
        <w:rPr>
          <w:rFonts w:ascii="Arial" w:hAnsi="Arial" w:cs="Arial"/>
          <w:sz w:val="20"/>
          <w:szCs w:val="20"/>
        </w:rPr>
        <w:t xml:space="preserve"> by the working group</w:t>
      </w:r>
      <w:r w:rsidR="0004192B" w:rsidRPr="00050881">
        <w:rPr>
          <w:rFonts w:ascii="Arial" w:hAnsi="Arial" w:cs="Arial"/>
          <w:sz w:val="20"/>
          <w:szCs w:val="20"/>
        </w:rPr>
        <w:t xml:space="preserve"> as </w:t>
      </w:r>
      <w:r w:rsidR="00E760B6" w:rsidRPr="00050881">
        <w:rPr>
          <w:rFonts w:ascii="Arial" w:hAnsi="Arial" w:cs="Arial"/>
          <w:sz w:val="20"/>
          <w:szCs w:val="20"/>
        </w:rPr>
        <w:t xml:space="preserve">the </w:t>
      </w:r>
      <w:r>
        <w:rPr>
          <w:rFonts w:ascii="Arial" w:hAnsi="Arial" w:cs="Arial"/>
          <w:sz w:val="20"/>
          <w:szCs w:val="20"/>
        </w:rPr>
        <w:t xml:space="preserve">industry is </w:t>
      </w:r>
      <w:r w:rsidRPr="00050881">
        <w:rPr>
          <w:rFonts w:ascii="Arial" w:hAnsi="Arial" w:cs="Arial"/>
          <w:sz w:val="20"/>
          <w:szCs w:val="20"/>
        </w:rPr>
        <w:t>yet</w:t>
      </w:r>
      <w:r w:rsidR="0004192B" w:rsidRPr="00050881">
        <w:rPr>
          <w:rFonts w:ascii="Arial" w:hAnsi="Arial" w:cs="Arial"/>
          <w:sz w:val="20"/>
          <w:szCs w:val="20"/>
        </w:rPr>
        <w:t xml:space="preserve"> to see a fully formed</w:t>
      </w:r>
      <w:r>
        <w:rPr>
          <w:rFonts w:ascii="Arial" w:hAnsi="Arial" w:cs="Arial"/>
          <w:sz w:val="20"/>
          <w:szCs w:val="20"/>
        </w:rPr>
        <w:t xml:space="preserve"> and functioning</w:t>
      </w:r>
      <w:r w:rsidR="0004192B" w:rsidRPr="00050881">
        <w:rPr>
          <w:rFonts w:ascii="Arial" w:hAnsi="Arial" w:cs="Arial"/>
          <w:sz w:val="20"/>
          <w:szCs w:val="20"/>
        </w:rPr>
        <w:t xml:space="preserve"> </w:t>
      </w:r>
      <w:r w:rsidR="00E760B6" w:rsidRPr="00050881">
        <w:rPr>
          <w:rFonts w:ascii="Arial" w:hAnsi="Arial" w:cs="Arial"/>
          <w:sz w:val="20"/>
          <w:szCs w:val="20"/>
        </w:rPr>
        <w:t>National H</w:t>
      </w:r>
      <w:r w:rsidR="0004192B" w:rsidRPr="00050881">
        <w:rPr>
          <w:rFonts w:ascii="Arial" w:hAnsi="Arial" w:cs="Arial"/>
          <w:sz w:val="20"/>
          <w:szCs w:val="20"/>
        </w:rPr>
        <w:t xml:space="preserve">eavy </w:t>
      </w:r>
      <w:r>
        <w:rPr>
          <w:rFonts w:ascii="Arial" w:hAnsi="Arial" w:cs="Arial"/>
          <w:sz w:val="20"/>
          <w:szCs w:val="20"/>
        </w:rPr>
        <w:t>V</w:t>
      </w:r>
      <w:r w:rsidR="0004192B" w:rsidRPr="00050881">
        <w:rPr>
          <w:rFonts w:ascii="Arial" w:hAnsi="Arial" w:cs="Arial"/>
          <w:sz w:val="20"/>
          <w:szCs w:val="20"/>
        </w:rPr>
        <w:t xml:space="preserve">ehicle </w:t>
      </w:r>
      <w:r>
        <w:rPr>
          <w:rFonts w:ascii="Arial" w:hAnsi="Arial" w:cs="Arial"/>
          <w:sz w:val="20"/>
          <w:szCs w:val="20"/>
        </w:rPr>
        <w:t>R</w:t>
      </w:r>
      <w:r w:rsidR="0004192B" w:rsidRPr="00050881">
        <w:rPr>
          <w:rFonts w:ascii="Arial" w:hAnsi="Arial" w:cs="Arial"/>
          <w:sz w:val="20"/>
          <w:szCs w:val="20"/>
        </w:rPr>
        <w:t>egulator</w:t>
      </w:r>
      <w:r w:rsidR="00E760B6" w:rsidRPr="00050881">
        <w:rPr>
          <w:rFonts w:ascii="Arial" w:hAnsi="Arial" w:cs="Arial"/>
          <w:sz w:val="20"/>
          <w:szCs w:val="20"/>
        </w:rPr>
        <w:t xml:space="preserve"> (NHVR)</w:t>
      </w:r>
      <w:r w:rsidR="0004192B" w:rsidRPr="00050881">
        <w:rPr>
          <w:rFonts w:ascii="Arial" w:hAnsi="Arial" w:cs="Arial"/>
          <w:sz w:val="20"/>
          <w:szCs w:val="20"/>
        </w:rPr>
        <w:t xml:space="preserve">. At present </w:t>
      </w:r>
      <w:r>
        <w:rPr>
          <w:rFonts w:ascii="Arial" w:hAnsi="Arial" w:cs="Arial"/>
          <w:sz w:val="20"/>
          <w:szCs w:val="20"/>
        </w:rPr>
        <w:t>the</w:t>
      </w:r>
      <w:r w:rsidR="00E760B6" w:rsidRPr="00050881">
        <w:rPr>
          <w:rFonts w:ascii="Arial" w:hAnsi="Arial" w:cs="Arial"/>
          <w:sz w:val="20"/>
          <w:szCs w:val="20"/>
        </w:rPr>
        <w:t xml:space="preserve"> </w:t>
      </w:r>
      <w:r w:rsidR="0004192B" w:rsidRPr="00050881">
        <w:rPr>
          <w:rFonts w:ascii="Arial" w:hAnsi="Arial" w:cs="Arial"/>
          <w:sz w:val="20"/>
          <w:szCs w:val="20"/>
        </w:rPr>
        <w:t>NHVR is in the process of creation</w:t>
      </w:r>
      <w:r>
        <w:rPr>
          <w:rFonts w:ascii="Arial" w:hAnsi="Arial" w:cs="Arial"/>
          <w:sz w:val="20"/>
          <w:szCs w:val="20"/>
        </w:rPr>
        <w:t>,</w:t>
      </w:r>
      <w:r w:rsidR="0004192B" w:rsidRPr="00050881">
        <w:rPr>
          <w:rFonts w:ascii="Arial" w:hAnsi="Arial" w:cs="Arial"/>
          <w:sz w:val="20"/>
          <w:szCs w:val="20"/>
        </w:rPr>
        <w:t xml:space="preserve"> and the BRCWG should pay careful attention to </w:t>
      </w:r>
      <w:r w:rsidR="00B64B1F" w:rsidRPr="00050881">
        <w:rPr>
          <w:rFonts w:ascii="Arial" w:hAnsi="Arial" w:cs="Arial"/>
          <w:sz w:val="20"/>
          <w:szCs w:val="20"/>
        </w:rPr>
        <w:t>ensure COAG directives of</w:t>
      </w:r>
      <w:r w:rsidR="00DA3060" w:rsidRPr="00050881">
        <w:rPr>
          <w:rFonts w:ascii="Arial" w:hAnsi="Arial" w:cs="Arial"/>
          <w:sz w:val="20"/>
          <w:szCs w:val="20"/>
        </w:rPr>
        <w:t xml:space="preserve"> safety and efficienc</w:t>
      </w:r>
      <w:r w:rsidR="00040D26">
        <w:rPr>
          <w:rFonts w:ascii="Arial" w:hAnsi="Arial" w:cs="Arial"/>
          <w:sz w:val="20"/>
          <w:szCs w:val="20"/>
        </w:rPr>
        <w:t>y are met. The inefficiency of</w:t>
      </w:r>
      <w:r w:rsidR="0004192B" w:rsidRPr="00050881">
        <w:rPr>
          <w:rFonts w:ascii="Arial" w:hAnsi="Arial" w:cs="Arial"/>
          <w:sz w:val="20"/>
          <w:szCs w:val="20"/>
        </w:rPr>
        <w:t xml:space="preserve"> non-national compliance by local </w:t>
      </w:r>
      <w:r w:rsidR="00E760B6" w:rsidRPr="00050881">
        <w:rPr>
          <w:rFonts w:ascii="Arial" w:hAnsi="Arial" w:cs="Arial"/>
          <w:sz w:val="20"/>
          <w:szCs w:val="20"/>
        </w:rPr>
        <w:t xml:space="preserve">governments </w:t>
      </w:r>
      <w:r w:rsidR="002A237B">
        <w:rPr>
          <w:rFonts w:ascii="Arial" w:hAnsi="Arial" w:cs="Arial"/>
          <w:sz w:val="20"/>
          <w:szCs w:val="20"/>
        </w:rPr>
        <w:t>which</w:t>
      </w:r>
      <w:r w:rsidR="00E760B6" w:rsidRPr="00050881">
        <w:rPr>
          <w:rFonts w:ascii="Arial" w:hAnsi="Arial" w:cs="Arial"/>
          <w:sz w:val="20"/>
          <w:szCs w:val="20"/>
        </w:rPr>
        <w:t xml:space="preserve"> currently </w:t>
      </w:r>
      <w:r w:rsidR="00DA3060" w:rsidRPr="00050881">
        <w:rPr>
          <w:rFonts w:ascii="Arial" w:hAnsi="Arial" w:cs="Arial"/>
          <w:sz w:val="20"/>
          <w:szCs w:val="20"/>
        </w:rPr>
        <w:t>exists is not we</w:t>
      </w:r>
      <w:r w:rsidR="001463C2" w:rsidRPr="00050881">
        <w:rPr>
          <w:rFonts w:ascii="Arial" w:hAnsi="Arial" w:cs="Arial"/>
          <w:sz w:val="20"/>
          <w:szCs w:val="20"/>
        </w:rPr>
        <w:t xml:space="preserve">ll targeted by the NHVR </w:t>
      </w:r>
      <w:r>
        <w:rPr>
          <w:rFonts w:ascii="Arial" w:hAnsi="Arial" w:cs="Arial"/>
          <w:sz w:val="20"/>
          <w:szCs w:val="20"/>
        </w:rPr>
        <w:t>process. This will be</w:t>
      </w:r>
      <w:r w:rsidR="00DA3060" w:rsidRPr="00050881">
        <w:rPr>
          <w:rFonts w:ascii="Arial" w:hAnsi="Arial" w:cs="Arial"/>
          <w:sz w:val="20"/>
          <w:szCs w:val="20"/>
        </w:rPr>
        <w:t xml:space="preserve"> a lost opportunity. </w:t>
      </w:r>
      <w:r w:rsidR="0004192B" w:rsidRPr="00050881">
        <w:rPr>
          <w:rFonts w:ascii="Arial" w:hAnsi="Arial" w:cs="Arial"/>
          <w:sz w:val="20"/>
          <w:szCs w:val="20"/>
        </w:rPr>
        <w:t xml:space="preserve"> </w:t>
      </w:r>
    </w:p>
    <w:p w:rsidR="006859F7" w:rsidRPr="00050881" w:rsidRDefault="006859F7" w:rsidP="00C04619">
      <w:pPr>
        <w:rPr>
          <w:rFonts w:ascii="Arial" w:hAnsi="Arial" w:cs="Arial"/>
          <w:color w:val="000000" w:themeColor="text1"/>
          <w:sz w:val="20"/>
          <w:szCs w:val="20"/>
        </w:rPr>
      </w:pPr>
    </w:p>
    <w:p w:rsidR="00A832A0" w:rsidRPr="00050881" w:rsidRDefault="00A832A0" w:rsidP="00C04619">
      <w:pPr>
        <w:pStyle w:val="RecommendationStyle"/>
        <w:tabs>
          <w:tab w:val="clear" w:pos="1192"/>
        </w:tabs>
        <w:spacing w:before="0" w:after="0"/>
        <w:rPr>
          <w:color w:val="000000" w:themeColor="text1"/>
        </w:rPr>
      </w:pPr>
      <w:bookmarkStart w:id="4" w:name="_Toc304815336"/>
      <w:bookmarkStart w:id="5" w:name="_Toc304815833"/>
      <w:bookmarkStart w:id="6" w:name="_Toc304818322"/>
      <w:bookmarkStart w:id="7" w:name="_Toc304884375"/>
      <w:bookmarkStart w:id="8" w:name="_Toc304970875"/>
      <w:bookmarkStart w:id="9" w:name="_Toc305498105"/>
      <w:bookmarkStart w:id="10" w:name="_Toc305498164"/>
      <w:bookmarkStart w:id="11" w:name="_Toc305498216"/>
      <w:bookmarkStart w:id="12" w:name="_Toc305498333"/>
      <w:bookmarkStart w:id="13" w:name="_Toc306622934"/>
      <w:bookmarkStart w:id="14" w:name="_Toc306690319"/>
      <w:bookmarkStart w:id="15" w:name="_Toc306699143"/>
      <w:bookmarkStart w:id="16" w:name="_Toc306879727"/>
      <w:bookmarkStart w:id="17" w:name="_Toc306883067"/>
      <w:bookmarkStart w:id="18" w:name="_Toc306890738"/>
      <w:bookmarkStart w:id="19" w:name="_Toc306890756"/>
      <w:bookmarkStart w:id="20" w:name="_Toc306890870"/>
      <w:bookmarkStart w:id="21" w:name="_Toc306891301"/>
      <w:bookmarkStart w:id="22" w:name="_Toc306950020"/>
      <w:bookmarkStart w:id="23" w:name="_Toc30695015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73280" w:rsidRDefault="00D73280" w:rsidP="00C04619">
      <w:pPr>
        <w:pStyle w:val="RecommendationStyle"/>
        <w:numPr>
          <w:ilvl w:val="0"/>
          <w:numId w:val="0"/>
        </w:numPr>
        <w:spacing w:before="0" w:after="0"/>
        <w:rPr>
          <w:color w:val="000000" w:themeColor="text1"/>
        </w:rPr>
      </w:pPr>
      <w:bookmarkStart w:id="24" w:name="_Toc304815337"/>
      <w:bookmarkStart w:id="25" w:name="_Toc304815834"/>
      <w:bookmarkStart w:id="26" w:name="_Toc304818323"/>
      <w:bookmarkStart w:id="27" w:name="_Toc304884376"/>
      <w:bookmarkStart w:id="28" w:name="_Toc304970876"/>
      <w:bookmarkStart w:id="29" w:name="_Toc305498106"/>
      <w:bookmarkStart w:id="30" w:name="_Toc305498165"/>
      <w:bookmarkStart w:id="31" w:name="_Toc305498217"/>
      <w:bookmarkStart w:id="32" w:name="_Toc305498334"/>
    </w:p>
    <w:p w:rsidR="00A832A0" w:rsidRDefault="00A832A0" w:rsidP="00C04619">
      <w:pPr>
        <w:pStyle w:val="RecommendationStyle"/>
        <w:numPr>
          <w:ilvl w:val="0"/>
          <w:numId w:val="0"/>
        </w:numPr>
        <w:spacing w:before="0" w:after="0"/>
        <w:rPr>
          <w:color w:val="000000" w:themeColor="text1"/>
        </w:rPr>
      </w:pPr>
      <w:bookmarkStart w:id="33" w:name="_Toc306622935"/>
      <w:bookmarkStart w:id="34" w:name="_Toc306690320"/>
      <w:bookmarkStart w:id="35" w:name="_Toc306699144"/>
      <w:bookmarkStart w:id="36" w:name="_Toc306879728"/>
      <w:bookmarkStart w:id="37" w:name="_Toc306883068"/>
      <w:bookmarkStart w:id="38" w:name="_Toc306890739"/>
      <w:bookmarkStart w:id="39" w:name="_Toc306890757"/>
      <w:bookmarkStart w:id="40" w:name="_Toc306890871"/>
      <w:bookmarkStart w:id="41" w:name="_Toc306891302"/>
      <w:bookmarkStart w:id="42" w:name="_Toc306950021"/>
      <w:bookmarkStart w:id="43" w:name="_Toc306950156"/>
      <w:r w:rsidRPr="00050881">
        <w:rPr>
          <w:color w:val="000000" w:themeColor="text1"/>
        </w:rPr>
        <w:t>The ATA recommends the COAG principles of national regulation should be used broadly</w:t>
      </w:r>
      <w:r w:rsidR="00E8626D" w:rsidRPr="00050881">
        <w:rPr>
          <w:color w:val="000000" w:themeColor="text1"/>
        </w:rPr>
        <w:t xml:space="preserve"> on any reform</w:t>
      </w:r>
      <w:r w:rsidR="00853E1F">
        <w:rPr>
          <w:color w:val="000000" w:themeColor="text1"/>
        </w:rPr>
        <w:t xml:space="preserve"> which</w:t>
      </w:r>
      <w:r w:rsidR="00E8626D" w:rsidRPr="00050881">
        <w:rPr>
          <w:color w:val="000000" w:themeColor="text1"/>
        </w:rPr>
        <w:t xml:space="preserve"> takes place,</w:t>
      </w:r>
      <w:r w:rsidRPr="00050881">
        <w:rPr>
          <w:color w:val="000000" w:themeColor="text1"/>
        </w:rPr>
        <w:t xml:space="preserve"> as consistent regulation</w:t>
      </w:r>
      <w:r w:rsidR="00DA3060" w:rsidRPr="00050881">
        <w:rPr>
          <w:color w:val="000000" w:themeColor="text1"/>
        </w:rPr>
        <w:t xml:space="preserve"> </w:t>
      </w:r>
      <w:r w:rsidR="00853E1F">
        <w:rPr>
          <w:color w:val="000000" w:themeColor="text1"/>
        </w:rPr>
        <w:t>which</w:t>
      </w:r>
      <w:r w:rsidR="00E8626D" w:rsidRPr="00050881">
        <w:rPr>
          <w:color w:val="000000" w:themeColor="text1"/>
        </w:rPr>
        <w:t xml:space="preserve"> </w:t>
      </w:r>
      <w:r w:rsidR="00DA3060" w:rsidRPr="00050881">
        <w:rPr>
          <w:color w:val="000000" w:themeColor="text1"/>
        </w:rPr>
        <w:t>facilitates productivity</w:t>
      </w:r>
      <w:r w:rsidRPr="00050881">
        <w:rPr>
          <w:color w:val="000000" w:themeColor="text1"/>
        </w:rPr>
        <w:t xml:space="preserve"> is needed in order to create a national seamless economy</w:t>
      </w:r>
      <w:bookmarkEnd w:id="24"/>
      <w:bookmarkEnd w:id="25"/>
      <w:bookmarkEnd w:id="26"/>
      <w:bookmarkEnd w:id="27"/>
      <w:r w:rsidR="00E8626D" w:rsidRPr="00050881">
        <w:rPr>
          <w:color w:val="000000" w:themeColor="text1"/>
        </w:rPr>
        <w: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542479" w:rsidRDefault="00542479" w:rsidP="00C04619">
      <w:pPr>
        <w:pStyle w:val="RecommendationStyle"/>
      </w:pPr>
      <w:bookmarkStart w:id="44" w:name="_Toc306879729"/>
      <w:bookmarkStart w:id="45" w:name="_Toc306883069"/>
      <w:bookmarkStart w:id="46" w:name="_Toc306890740"/>
      <w:bookmarkStart w:id="47" w:name="_Toc306890758"/>
      <w:bookmarkStart w:id="48" w:name="_Toc306890872"/>
      <w:bookmarkStart w:id="49" w:name="_Toc306891303"/>
      <w:bookmarkStart w:id="50" w:name="_Toc306950022"/>
      <w:bookmarkStart w:id="51" w:name="_Toc306950157"/>
      <w:bookmarkEnd w:id="44"/>
      <w:bookmarkEnd w:id="45"/>
      <w:bookmarkEnd w:id="46"/>
      <w:bookmarkEnd w:id="47"/>
      <w:bookmarkEnd w:id="48"/>
      <w:bookmarkEnd w:id="49"/>
      <w:bookmarkEnd w:id="50"/>
      <w:bookmarkEnd w:id="51"/>
    </w:p>
    <w:p w:rsidR="00542479" w:rsidRDefault="00542479" w:rsidP="00C04619">
      <w:pPr>
        <w:pStyle w:val="RecommendationStyle"/>
        <w:numPr>
          <w:ilvl w:val="0"/>
          <w:numId w:val="0"/>
        </w:numPr>
      </w:pPr>
      <w:bookmarkStart w:id="52" w:name="_Toc306879730"/>
      <w:bookmarkStart w:id="53" w:name="_Toc306883070"/>
      <w:bookmarkStart w:id="54" w:name="_Toc306890741"/>
      <w:bookmarkStart w:id="55" w:name="_Toc306890759"/>
      <w:bookmarkStart w:id="56" w:name="_Toc306890873"/>
      <w:bookmarkStart w:id="57" w:name="_Toc306891304"/>
      <w:bookmarkStart w:id="58" w:name="_Toc306950023"/>
      <w:bookmarkStart w:id="59" w:name="_Toc306950158"/>
      <w:r>
        <w:t xml:space="preserve">The </w:t>
      </w:r>
      <w:r w:rsidR="009D7F5D" w:rsidRPr="009D7F5D">
        <w:t xml:space="preserve">Business Regulation Competition Working Group </w:t>
      </w:r>
      <w:r w:rsidR="009D7F5D">
        <w:t>(</w:t>
      </w:r>
      <w:r>
        <w:t>BRCWG</w:t>
      </w:r>
      <w:r w:rsidR="009D7F5D">
        <w:t>)</w:t>
      </w:r>
      <w:r>
        <w:t xml:space="preserve"> encourages the </w:t>
      </w:r>
      <w:r w:rsidR="009D7F5D" w:rsidRPr="009D7F5D">
        <w:t xml:space="preserve">National Heavy Vehicle Regulator </w:t>
      </w:r>
      <w:r w:rsidR="009D7F5D">
        <w:t>(</w:t>
      </w:r>
      <w:r>
        <w:t>NHVR</w:t>
      </w:r>
      <w:r w:rsidR="009D7F5D">
        <w:t>)</w:t>
      </w:r>
      <w:r>
        <w:t xml:space="preserve"> to allow the opportunity to seek external review of access decisions made by local government by including this in the national harmonisation of legislation.</w:t>
      </w:r>
      <w:bookmarkEnd w:id="52"/>
      <w:bookmarkEnd w:id="53"/>
      <w:bookmarkEnd w:id="54"/>
      <w:bookmarkEnd w:id="55"/>
      <w:bookmarkEnd w:id="56"/>
      <w:bookmarkEnd w:id="57"/>
      <w:bookmarkEnd w:id="58"/>
      <w:bookmarkEnd w:id="59"/>
      <w:r>
        <w:t xml:space="preserve"> </w:t>
      </w:r>
    </w:p>
    <w:p w:rsidR="00D73280" w:rsidRDefault="00D73280" w:rsidP="00C04619">
      <w:pPr>
        <w:rPr>
          <w:rFonts w:ascii="Arial" w:hAnsi="Arial" w:cs="Arial"/>
          <w:color w:val="000000" w:themeColor="text1"/>
          <w:sz w:val="20"/>
          <w:szCs w:val="20"/>
        </w:rPr>
      </w:pPr>
    </w:p>
    <w:p w:rsidR="00E03E14" w:rsidRPr="00050881" w:rsidRDefault="00E03E14" w:rsidP="00C04619">
      <w:pPr>
        <w:rPr>
          <w:rFonts w:ascii="Arial" w:hAnsi="Arial" w:cs="Arial"/>
          <w:color w:val="000000" w:themeColor="text1"/>
          <w:sz w:val="20"/>
          <w:szCs w:val="20"/>
        </w:rPr>
      </w:pPr>
    </w:p>
    <w:p w:rsidR="00415126" w:rsidRPr="00D73280" w:rsidRDefault="002C7D3E" w:rsidP="00C04619">
      <w:pPr>
        <w:pStyle w:val="Heading1"/>
      </w:pPr>
      <w:bookmarkStart w:id="60" w:name="_Toc306890892"/>
      <w:r w:rsidRPr="00D73280">
        <w:t>Effects of restrictive regulation on the heavy vehicle industry</w:t>
      </w:r>
      <w:bookmarkEnd w:id="60"/>
      <w:r w:rsidR="006104D6" w:rsidRPr="00D73280">
        <w:t xml:space="preserve"> </w:t>
      </w:r>
    </w:p>
    <w:p w:rsidR="002C7D3E" w:rsidRPr="00050881" w:rsidRDefault="002C7D3E" w:rsidP="00C04619">
      <w:pPr>
        <w:rPr>
          <w:rFonts w:ascii="Arial" w:hAnsi="Arial" w:cs="Arial"/>
          <w:sz w:val="20"/>
          <w:szCs w:val="20"/>
        </w:rPr>
      </w:pPr>
    </w:p>
    <w:p w:rsidR="002C7D3E" w:rsidRPr="00050881" w:rsidRDefault="002C7D3E" w:rsidP="00C04619">
      <w:pPr>
        <w:rPr>
          <w:rFonts w:ascii="Arial" w:hAnsi="Arial" w:cs="Arial"/>
          <w:sz w:val="20"/>
          <w:szCs w:val="20"/>
        </w:rPr>
      </w:pPr>
      <w:r w:rsidRPr="00050881">
        <w:rPr>
          <w:rFonts w:ascii="Arial" w:hAnsi="Arial" w:cs="Arial"/>
          <w:sz w:val="20"/>
          <w:szCs w:val="20"/>
        </w:rPr>
        <w:t xml:space="preserve">In the heavy vehicle industry regulation </w:t>
      </w:r>
      <w:r w:rsidR="00674463">
        <w:rPr>
          <w:rFonts w:ascii="Arial" w:hAnsi="Arial" w:cs="Arial"/>
          <w:sz w:val="20"/>
          <w:szCs w:val="20"/>
        </w:rPr>
        <w:t>which</w:t>
      </w:r>
      <w:r w:rsidRPr="00050881">
        <w:rPr>
          <w:rFonts w:ascii="Arial" w:hAnsi="Arial" w:cs="Arial"/>
          <w:sz w:val="20"/>
          <w:szCs w:val="20"/>
        </w:rPr>
        <w:t xml:space="preserve"> serves to impose an excessive cost on ope</w:t>
      </w:r>
      <w:r w:rsidR="002D7FDB" w:rsidRPr="00050881">
        <w:rPr>
          <w:rFonts w:ascii="Arial" w:hAnsi="Arial" w:cs="Arial"/>
          <w:sz w:val="20"/>
          <w:szCs w:val="20"/>
        </w:rPr>
        <w:t>rators and businesses leads</w:t>
      </w:r>
      <w:r w:rsidR="00E8626D" w:rsidRPr="00050881">
        <w:rPr>
          <w:rFonts w:ascii="Arial" w:hAnsi="Arial" w:cs="Arial"/>
          <w:sz w:val="20"/>
          <w:szCs w:val="20"/>
        </w:rPr>
        <w:t xml:space="preserve"> to</w:t>
      </w:r>
      <w:r w:rsidRPr="00050881">
        <w:rPr>
          <w:rFonts w:ascii="Arial" w:hAnsi="Arial" w:cs="Arial"/>
          <w:sz w:val="20"/>
          <w:szCs w:val="20"/>
        </w:rPr>
        <w:t xml:space="preserve"> </w:t>
      </w:r>
      <w:r w:rsidR="002D7FDB" w:rsidRPr="00050881">
        <w:rPr>
          <w:rFonts w:ascii="Arial" w:hAnsi="Arial" w:cs="Arial"/>
          <w:sz w:val="20"/>
          <w:szCs w:val="20"/>
        </w:rPr>
        <w:t xml:space="preserve">a </w:t>
      </w:r>
      <w:r w:rsidRPr="00050881">
        <w:rPr>
          <w:rFonts w:ascii="Arial" w:hAnsi="Arial" w:cs="Arial"/>
          <w:sz w:val="20"/>
          <w:szCs w:val="20"/>
        </w:rPr>
        <w:t xml:space="preserve">market failure due to </w:t>
      </w:r>
      <w:r w:rsidR="00E760B6" w:rsidRPr="00050881">
        <w:rPr>
          <w:rFonts w:ascii="Arial" w:hAnsi="Arial" w:cs="Arial"/>
          <w:sz w:val="20"/>
          <w:szCs w:val="20"/>
        </w:rPr>
        <w:t xml:space="preserve">less than </w:t>
      </w:r>
      <w:r w:rsidRPr="00050881">
        <w:rPr>
          <w:rFonts w:ascii="Arial" w:hAnsi="Arial" w:cs="Arial"/>
          <w:sz w:val="20"/>
          <w:szCs w:val="20"/>
        </w:rPr>
        <w:t>optimal level of heavy vehicles accessing the local government area. There are two ways in which excessive regulation and indeed</w:t>
      </w:r>
      <w:r w:rsidR="00E8626D" w:rsidRPr="00050881">
        <w:rPr>
          <w:rFonts w:ascii="Arial" w:hAnsi="Arial" w:cs="Arial"/>
          <w:sz w:val="20"/>
          <w:szCs w:val="20"/>
        </w:rPr>
        <w:t>,</w:t>
      </w:r>
      <w:r w:rsidRPr="00050881">
        <w:rPr>
          <w:rFonts w:ascii="Arial" w:hAnsi="Arial" w:cs="Arial"/>
          <w:sz w:val="20"/>
          <w:szCs w:val="20"/>
        </w:rPr>
        <w:t xml:space="preserve"> differing regulation across councils</w:t>
      </w:r>
      <w:r w:rsidR="00542479">
        <w:rPr>
          <w:rFonts w:ascii="Arial" w:hAnsi="Arial" w:cs="Arial"/>
          <w:sz w:val="20"/>
          <w:szCs w:val="20"/>
        </w:rPr>
        <w:t>,</w:t>
      </w:r>
      <w:r w:rsidRPr="00050881">
        <w:rPr>
          <w:rFonts w:ascii="Arial" w:hAnsi="Arial" w:cs="Arial"/>
          <w:sz w:val="20"/>
          <w:szCs w:val="20"/>
        </w:rPr>
        <w:t xml:space="preserve"> affects the way in which operators work.  </w:t>
      </w:r>
    </w:p>
    <w:p w:rsidR="002C7D3E" w:rsidRPr="00050881" w:rsidRDefault="002C7D3E" w:rsidP="00C04619">
      <w:pPr>
        <w:rPr>
          <w:rFonts w:ascii="Arial" w:hAnsi="Arial" w:cs="Arial"/>
          <w:sz w:val="20"/>
          <w:szCs w:val="20"/>
        </w:rPr>
      </w:pPr>
    </w:p>
    <w:p w:rsidR="00E760B6" w:rsidRPr="00050881" w:rsidRDefault="00E760B6" w:rsidP="00C04619">
      <w:pPr>
        <w:rPr>
          <w:rFonts w:ascii="Arial" w:hAnsi="Arial" w:cs="Arial"/>
          <w:sz w:val="20"/>
          <w:szCs w:val="20"/>
        </w:rPr>
      </w:pPr>
      <w:r w:rsidRPr="00050881">
        <w:rPr>
          <w:rFonts w:ascii="Arial" w:hAnsi="Arial" w:cs="Arial"/>
          <w:sz w:val="20"/>
          <w:szCs w:val="20"/>
        </w:rPr>
        <w:t>Th</w:t>
      </w:r>
      <w:r w:rsidR="00B64B1F" w:rsidRPr="00050881">
        <w:rPr>
          <w:rFonts w:ascii="Arial" w:hAnsi="Arial" w:cs="Arial"/>
          <w:sz w:val="20"/>
          <w:szCs w:val="20"/>
        </w:rPr>
        <w:t>e equilibrium</w:t>
      </w:r>
      <w:r w:rsidR="00B96747" w:rsidRPr="00050881">
        <w:rPr>
          <w:rFonts w:ascii="Arial" w:hAnsi="Arial" w:cs="Arial"/>
          <w:sz w:val="20"/>
          <w:szCs w:val="20"/>
        </w:rPr>
        <w:t xml:space="preserve"> </w:t>
      </w:r>
      <w:r w:rsidR="00E8626D" w:rsidRPr="00050881">
        <w:rPr>
          <w:rFonts w:ascii="Arial" w:hAnsi="Arial" w:cs="Arial"/>
          <w:sz w:val="20"/>
          <w:szCs w:val="20"/>
        </w:rPr>
        <w:t>is where</w:t>
      </w:r>
      <w:r w:rsidRPr="00050881">
        <w:rPr>
          <w:rFonts w:ascii="Arial" w:hAnsi="Arial" w:cs="Arial"/>
          <w:sz w:val="20"/>
          <w:szCs w:val="20"/>
        </w:rPr>
        <w:t xml:space="preserve"> the correct amount of regulation costs and the correct nu</w:t>
      </w:r>
      <w:r w:rsidR="00E8626D" w:rsidRPr="00050881">
        <w:rPr>
          <w:rFonts w:ascii="Arial" w:hAnsi="Arial" w:cs="Arial"/>
          <w:sz w:val="20"/>
          <w:szCs w:val="20"/>
        </w:rPr>
        <w:t xml:space="preserve">mber of heavy vehicles </w:t>
      </w:r>
      <w:r w:rsidR="002D7FDB" w:rsidRPr="00050881">
        <w:rPr>
          <w:rFonts w:ascii="Arial" w:hAnsi="Arial" w:cs="Arial"/>
          <w:sz w:val="20"/>
          <w:szCs w:val="20"/>
        </w:rPr>
        <w:t>accessing</w:t>
      </w:r>
      <w:r w:rsidR="00E8626D" w:rsidRPr="00050881">
        <w:rPr>
          <w:rFonts w:ascii="Arial" w:hAnsi="Arial" w:cs="Arial"/>
          <w:sz w:val="20"/>
          <w:szCs w:val="20"/>
        </w:rPr>
        <w:t xml:space="preserve"> the local government area</w:t>
      </w:r>
      <w:r w:rsidR="00B96747" w:rsidRPr="00050881">
        <w:rPr>
          <w:rFonts w:ascii="Arial" w:hAnsi="Arial" w:cs="Arial"/>
          <w:sz w:val="20"/>
          <w:szCs w:val="20"/>
        </w:rPr>
        <w:t xml:space="preserve"> intersect</w:t>
      </w:r>
      <w:r w:rsidR="00E8626D" w:rsidRPr="00050881">
        <w:rPr>
          <w:rFonts w:ascii="Arial" w:hAnsi="Arial" w:cs="Arial"/>
          <w:sz w:val="20"/>
          <w:szCs w:val="20"/>
        </w:rPr>
        <w:t>. I</w:t>
      </w:r>
      <w:r w:rsidRPr="00050881">
        <w:rPr>
          <w:rFonts w:ascii="Arial" w:hAnsi="Arial" w:cs="Arial"/>
          <w:sz w:val="20"/>
          <w:szCs w:val="20"/>
        </w:rPr>
        <w:t>n reality</w:t>
      </w:r>
      <w:r w:rsidR="00583EC7">
        <w:rPr>
          <w:rFonts w:ascii="Arial" w:hAnsi="Arial" w:cs="Arial"/>
          <w:sz w:val="20"/>
          <w:szCs w:val="20"/>
        </w:rPr>
        <w:t>,</w:t>
      </w:r>
      <w:r w:rsidRPr="00050881">
        <w:rPr>
          <w:rFonts w:ascii="Arial" w:hAnsi="Arial" w:cs="Arial"/>
          <w:sz w:val="20"/>
          <w:szCs w:val="20"/>
        </w:rPr>
        <w:t xml:space="preserve"> we find there is likely to be </w:t>
      </w:r>
      <w:r w:rsidR="00907060">
        <w:rPr>
          <w:rFonts w:ascii="Arial" w:hAnsi="Arial" w:cs="Arial"/>
          <w:sz w:val="20"/>
          <w:szCs w:val="20"/>
        </w:rPr>
        <w:t xml:space="preserve">an </w:t>
      </w:r>
      <w:r w:rsidRPr="00050881">
        <w:rPr>
          <w:rFonts w:ascii="Arial" w:hAnsi="Arial" w:cs="Arial"/>
          <w:sz w:val="20"/>
          <w:szCs w:val="20"/>
        </w:rPr>
        <w:t xml:space="preserve">undersupply of high productivity vehicles if regulation costs are higher than the equilibrium level. </w:t>
      </w:r>
    </w:p>
    <w:p w:rsidR="00E760B6" w:rsidRPr="00050881" w:rsidRDefault="00E760B6" w:rsidP="00C04619">
      <w:pPr>
        <w:rPr>
          <w:rFonts w:ascii="Arial" w:hAnsi="Arial" w:cs="Arial"/>
          <w:sz w:val="20"/>
          <w:szCs w:val="20"/>
        </w:rPr>
      </w:pPr>
    </w:p>
    <w:p w:rsidR="002C7D3E" w:rsidRPr="00050881" w:rsidRDefault="002C7D3E" w:rsidP="00C04619">
      <w:pPr>
        <w:rPr>
          <w:rFonts w:ascii="Arial" w:hAnsi="Arial" w:cs="Arial"/>
          <w:sz w:val="20"/>
          <w:szCs w:val="20"/>
        </w:rPr>
      </w:pPr>
      <w:r w:rsidRPr="00050881">
        <w:rPr>
          <w:rFonts w:ascii="Arial" w:hAnsi="Arial" w:cs="Arial"/>
          <w:sz w:val="20"/>
          <w:szCs w:val="20"/>
        </w:rPr>
        <w:t>In one case</w:t>
      </w:r>
      <w:r w:rsidR="00B96747" w:rsidRPr="00050881">
        <w:rPr>
          <w:rFonts w:ascii="Arial" w:hAnsi="Arial" w:cs="Arial"/>
          <w:sz w:val="20"/>
          <w:szCs w:val="20"/>
        </w:rPr>
        <w:t>,</w:t>
      </w:r>
      <w:r w:rsidRPr="00050881">
        <w:rPr>
          <w:rFonts w:ascii="Arial" w:hAnsi="Arial" w:cs="Arial"/>
          <w:sz w:val="20"/>
          <w:szCs w:val="20"/>
        </w:rPr>
        <w:t xml:space="preserve"> operators will have to pay large sums of money to access permits, pay for access program</w:t>
      </w:r>
      <w:r w:rsidR="008B72CA">
        <w:rPr>
          <w:rFonts w:ascii="Arial" w:hAnsi="Arial" w:cs="Arial"/>
          <w:sz w:val="20"/>
          <w:szCs w:val="20"/>
        </w:rPr>
        <w:t>s</w:t>
      </w:r>
      <w:r w:rsidRPr="00050881">
        <w:rPr>
          <w:rFonts w:ascii="Arial" w:hAnsi="Arial" w:cs="Arial"/>
          <w:sz w:val="20"/>
          <w:szCs w:val="20"/>
        </w:rPr>
        <w:t xml:space="preserve"> </w:t>
      </w:r>
      <w:r w:rsidR="00046042" w:rsidRPr="00050881">
        <w:rPr>
          <w:rFonts w:ascii="Arial" w:hAnsi="Arial" w:cs="Arial"/>
          <w:sz w:val="20"/>
          <w:szCs w:val="20"/>
        </w:rPr>
        <w:t>or ins</w:t>
      </w:r>
      <w:r w:rsidR="00040D26">
        <w:rPr>
          <w:rFonts w:ascii="Arial" w:hAnsi="Arial" w:cs="Arial"/>
          <w:sz w:val="20"/>
          <w:szCs w:val="20"/>
        </w:rPr>
        <w:t xml:space="preserve">tall government monitored GPS. </w:t>
      </w:r>
      <w:r w:rsidR="00046042" w:rsidRPr="00050881">
        <w:rPr>
          <w:rFonts w:ascii="Arial" w:hAnsi="Arial" w:cs="Arial"/>
          <w:sz w:val="20"/>
          <w:szCs w:val="20"/>
        </w:rPr>
        <w:t xml:space="preserve">From the </w:t>
      </w:r>
      <w:r w:rsidR="006D09EF" w:rsidRPr="00050881">
        <w:rPr>
          <w:rFonts w:ascii="Arial" w:hAnsi="Arial" w:cs="Arial"/>
          <w:sz w:val="20"/>
          <w:szCs w:val="20"/>
        </w:rPr>
        <w:t>graph below the red line shows this effect, with less than optimal number of heavy</w:t>
      </w:r>
      <w:r w:rsidR="00973AF4" w:rsidRPr="00050881">
        <w:rPr>
          <w:rFonts w:ascii="Arial" w:hAnsi="Arial" w:cs="Arial"/>
          <w:sz w:val="20"/>
          <w:szCs w:val="20"/>
        </w:rPr>
        <w:t xml:space="preserve"> vehicles with</w:t>
      </w:r>
      <w:r w:rsidR="00B64B1F" w:rsidRPr="00050881">
        <w:rPr>
          <w:rFonts w:ascii="Arial" w:hAnsi="Arial" w:cs="Arial"/>
          <w:sz w:val="20"/>
          <w:szCs w:val="20"/>
        </w:rPr>
        <w:t xml:space="preserve"> high productivity</w:t>
      </w:r>
      <w:r w:rsidR="006D09EF" w:rsidRPr="00050881">
        <w:rPr>
          <w:rFonts w:ascii="Arial" w:hAnsi="Arial" w:cs="Arial"/>
          <w:sz w:val="20"/>
          <w:szCs w:val="20"/>
        </w:rPr>
        <w:t xml:space="preserve"> being provided to the area because of the high </w:t>
      </w:r>
      <w:r w:rsidR="00B64B1F" w:rsidRPr="00050881">
        <w:rPr>
          <w:rFonts w:ascii="Arial" w:hAnsi="Arial" w:cs="Arial"/>
          <w:sz w:val="20"/>
          <w:szCs w:val="20"/>
        </w:rPr>
        <w:t xml:space="preserve">hurdle </w:t>
      </w:r>
      <w:r w:rsidR="006D09EF" w:rsidRPr="00050881">
        <w:rPr>
          <w:rFonts w:ascii="Arial" w:hAnsi="Arial" w:cs="Arial"/>
          <w:sz w:val="20"/>
          <w:szCs w:val="20"/>
        </w:rPr>
        <w:t>costs of regulation compliance involved.</w:t>
      </w:r>
    </w:p>
    <w:p w:rsidR="006D09EF" w:rsidRPr="00050881" w:rsidRDefault="006D09EF" w:rsidP="00C04619">
      <w:pPr>
        <w:rPr>
          <w:rFonts w:ascii="Arial" w:hAnsi="Arial" w:cs="Arial"/>
          <w:sz w:val="20"/>
          <w:szCs w:val="20"/>
        </w:rPr>
      </w:pPr>
    </w:p>
    <w:p w:rsidR="006D09EF" w:rsidRPr="00050881" w:rsidRDefault="006D09EF" w:rsidP="00C04619">
      <w:pPr>
        <w:rPr>
          <w:rFonts w:ascii="Arial" w:hAnsi="Arial" w:cs="Arial"/>
          <w:sz w:val="20"/>
          <w:szCs w:val="20"/>
        </w:rPr>
      </w:pPr>
      <w:r w:rsidRPr="00050881">
        <w:rPr>
          <w:rFonts w:ascii="Arial" w:hAnsi="Arial" w:cs="Arial"/>
          <w:sz w:val="20"/>
          <w:szCs w:val="20"/>
        </w:rPr>
        <w:t>On the other hand</w:t>
      </w:r>
      <w:r w:rsidR="008B72CA">
        <w:rPr>
          <w:rFonts w:ascii="Arial" w:hAnsi="Arial" w:cs="Arial"/>
          <w:sz w:val="20"/>
          <w:szCs w:val="20"/>
        </w:rPr>
        <w:t>,</w:t>
      </w:r>
      <w:r w:rsidRPr="00050881">
        <w:rPr>
          <w:rFonts w:ascii="Arial" w:hAnsi="Arial" w:cs="Arial"/>
          <w:sz w:val="20"/>
          <w:szCs w:val="20"/>
        </w:rPr>
        <w:t xml:space="preserve"> operators may not be able to afford to pay for all the regulation</w:t>
      </w:r>
      <w:r w:rsidR="008B72CA">
        <w:rPr>
          <w:rFonts w:ascii="Arial" w:hAnsi="Arial" w:cs="Arial"/>
          <w:sz w:val="20"/>
          <w:szCs w:val="20"/>
        </w:rPr>
        <w:t xml:space="preserve"> which</w:t>
      </w:r>
      <w:r w:rsidRPr="00050881">
        <w:rPr>
          <w:rFonts w:ascii="Arial" w:hAnsi="Arial" w:cs="Arial"/>
          <w:sz w:val="20"/>
          <w:szCs w:val="20"/>
        </w:rPr>
        <w:t xml:space="preserve"> is necessary to access higher productivity vehicle</w:t>
      </w:r>
      <w:r w:rsidR="00973AF4" w:rsidRPr="00050881">
        <w:rPr>
          <w:rFonts w:ascii="Arial" w:hAnsi="Arial" w:cs="Arial"/>
          <w:sz w:val="20"/>
          <w:szCs w:val="20"/>
        </w:rPr>
        <w:t>s</w:t>
      </w:r>
      <w:r w:rsidR="00B64B1F" w:rsidRPr="00050881">
        <w:rPr>
          <w:rFonts w:ascii="Arial" w:hAnsi="Arial" w:cs="Arial"/>
          <w:sz w:val="20"/>
          <w:szCs w:val="20"/>
        </w:rPr>
        <w:t>,</w:t>
      </w:r>
      <w:r w:rsidRPr="00050881">
        <w:rPr>
          <w:rFonts w:ascii="Arial" w:hAnsi="Arial" w:cs="Arial"/>
          <w:sz w:val="20"/>
          <w:szCs w:val="20"/>
        </w:rPr>
        <w:t xml:space="preserve"> and may seek to use vehicles that comply with the most regulations at the lowest cost</w:t>
      </w:r>
      <w:r w:rsidR="00B96747" w:rsidRPr="00050881">
        <w:rPr>
          <w:rFonts w:ascii="Arial" w:hAnsi="Arial" w:cs="Arial"/>
          <w:sz w:val="20"/>
          <w:szCs w:val="20"/>
        </w:rPr>
        <w:t xml:space="preserve"> (orange line)</w:t>
      </w:r>
      <w:r w:rsidRPr="00050881">
        <w:rPr>
          <w:rFonts w:ascii="Arial" w:hAnsi="Arial" w:cs="Arial"/>
          <w:sz w:val="20"/>
          <w:szCs w:val="20"/>
        </w:rPr>
        <w:t>. This is likely to mean using semi-trailers or even less productive heavy vehicles that increase the impact on the infrastructure</w:t>
      </w:r>
      <w:r w:rsidR="00B64B1F" w:rsidRPr="00050881">
        <w:rPr>
          <w:rFonts w:ascii="Arial" w:hAnsi="Arial" w:cs="Arial"/>
          <w:sz w:val="20"/>
          <w:szCs w:val="20"/>
        </w:rPr>
        <w:t>,</w:t>
      </w:r>
      <w:r w:rsidRPr="00050881">
        <w:rPr>
          <w:rFonts w:ascii="Arial" w:hAnsi="Arial" w:cs="Arial"/>
          <w:sz w:val="20"/>
          <w:szCs w:val="20"/>
        </w:rPr>
        <w:t xml:space="preserve"> due to more heavy vehicles being needed to </w:t>
      </w:r>
      <w:r w:rsidR="00542479">
        <w:rPr>
          <w:rFonts w:ascii="Arial" w:hAnsi="Arial" w:cs="Arial"/>
          <w:sz w:val="20"/>
          <w:szCs w:val="20"/>
        </w:rPr>
        <w:t>complete</w:t>
      </w:r>
      <w:r w:rsidRPr="00050881">
        <w:rPr>
          <w:rFonts w:ascii="Arial" w:hAnsi="Arial" w:cs="Arial"/>
          <w:sz w:val="20"/>
          <w:szCs w:val="20"/>
        </w:rPr>
        <w:t xml:space="preserve"> the freight task </w:t>
      </w:r>
      <w:r w:rsidR="002B1F61" w:rsidRPr="00050881">
        <w:rPr>
          <w:rFonts w:ascii="Arial" w:hAnsi="Arial" w:cs="Arial"/>
          <w:sz w:val="20"/>
          <w:szCs w:val="20"/>
        </w:rPr>
        <w:t xml:space="preserve">rather </w:t>
      </w:r>
      <w:r w:rsidRPr="00050881">
        <w:rPr>
          <w:rFonts w:ascii="Arial" w:hAnsi="Arial" w:cs="Arial"/>
          <w:sz w:val="20"/>
          <w:szCs w:val="20"/>
        </w:rPr>
        <w:t xml:space="preserve">than using high productivity vehicles. </w:t>
      </w:r>
    </w:p>
    <w:p w:rsidR="00046042" w:rsidRPr="00050881" w:rsidRDefault="00046042" w:rsidP="00C04619">
      <w:pPr>
        <w:rPr>
          <w:rFonts w:ascii="Arial" w:hAnsi="Arial" w:cs="Arial"/>
          <w:sz w:val="20"/>
          <w:szCs w:val="20"/>
        </w:rPr>
      </w:pPr>
    </w:p>
    <w:p w:rsidR="002C7D3E" w:rsidRPr="00050881" w:rsidRDefault="00050881" w:rsidP="00C04619">
      <w:pPr>
        <w:jc w:val="center"/>
        <w:rPr>
          <w:rFonts w:ascii="Arial" w:hAnsi="Arial" w:cs="Arial"/>
          <w:sz w:val="20"/>
          <w:szCs w:val="20"/>
        </w:rPr>
      </w:pPr>
      <w:r w:rsidRPr="00050881">
        <w:rPr>
          <w:rFonts w:ascii="Arial" w:hAnsi="Arial" w:cs="Arial"/>
          <w:noProof/>
          <w:sz w:val="20"/>
          <w:szCs w:val="20"/>
          <w:lang w:eastAsia="en-AU"/>
        </w:rPr>
        <w:lastRenderedPageBreak/>
        <w:drawing>
          <wp:inline distT="0" distB="0" distL="0" distR="0">
            <wp:extent cx="4538515" cy="3174796"/>
            <wp:effectExtent l="19050" t="0" r="0" b="0"/>
            <wp:docPr id="2" name="Picture 4" descr="BIG GRAPH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GRAPH WORD.png"/>
                    <pic:cNvPicPr/>
                  </pic:nvPicPr>
                  <pic:blipFill>
                    <a:blip r:embed="rId11"/>
                    <a:stretch>
                      <a:fillRect/>
                    </a:stretch>
                  </pic:blipFill>
                  <pic:spPr>
                    <a:xfrm>
                      <a:off x="0" y="0"/>
                      <a:ext cx="4550346" cy="3183072"/>
                    </a:xfrm>
                    <a:prstGeom prst="rect">
                      <a:avLst/>
                    </a:prstGeom>
                  </pic:spPr>
                </pic:pic>
              </a:graphicData>
            </a:graphic>
          </wp:inline>
        </w:drawing>
      </w:r>
    </w:p>
    <w:p w:rsidR="00607663" w:rsidRPr="00050881" w:rsidRDefault="00607663" w:rsidP="00C04619">
      <w:pPr>
        <w:rPr>
          <w:rFonts w:ascii="Arial" w:hAnsi="Arial" w:cs="Arial"/>
          <w:sz w:val="20"/>
          <w:szCs w:val="20"/>
        </w:rPr>
      </w:pPr>
    </w:p>
    <w:p w:rsidR="008A61F2" w:rsidRDefault="000F30FF" w:rsidP="00C04619">
      <w:pPr>
        <w:rPr>
          <w:rFonts w:ascii="Arial" w:hAnsi="Arial" w:cs="Arial"/>
          <w:sz w:val="20"/>
          <w:szCs w:val="20"/>
        </w:rPr>
      </w:pPr>
      <w:r w:rsidRPr="00050881">
        <w:rPr>
          <w:rFonts w:ascii="Arial" w:hAnsi="Arial" w:cs="Arial"/>
          <w:sz w:val="20"/>
          <w:szCs w:val="20"/>
        </w:rPr>
        <w:t xml:space="preserve">The aim of this working </w:t>
      </w:r>
      <w:r w:rsidR="00973AF4" w:rsidRPr="00050881">
        <w:rPr>
          <w:rFonts w:ascii="Arial" w:hAnsi="Arial" w:cs="Arial"/>
          <w:sz w:val="20"/>
          <w:szCs w:val="20"/>
        </w:rPr>
        <w:t>group is to examine which</w:t>
      </w:r>
      <w:r w:rsidR="00B64B1F" w:rsidRPr="00050881">
        <w:rPr>
          <w:rFonts w:ascii="Arial" w:hAnsi="Arial" w:cs="Arial"/>
          <w:sz w:val="20"/>
          <w:szCs w:val="20"/>
        </w:rPr>
        <w:t xml:space="preserve"> areas a</w:t>
      </w:r>
      <w:r w:rsidRPr="00050881">
        <w:rPr>
          <w:rFonts w:ascii="Arial" w:hAnsi="Arial" w:cs="Arial"/>
          <w:sz w:val="20"/>
          <w:szCs w:val="20"/>
        </w:rPr>
        <w:t xml:space="preserve"> national regulatory approach would be success</w:t>
      </w:r>
      <w:r w:rsidR="00E760B6" w:rsidRPr="00050881">
        <w:rPr>
          <w:rFonts w:ascii="Arial" w:hAnsi="Arial" w:cs="Arial"/>
          <w:sz w:val="20"/>
          <w:szCs w:val="20"/>
        </w:rPr>
        <w:t>ful</w:t>
      </w:r>
      <w:r w:rsidR="00B64B1F" w:rsidRPr="00050881">
        <w:rPr>
          <w:rFonts w:ascii="Arial" w:hAnsi="Arial" w:cs="Arial"/>
          <w:sz w:val="20"/>
          <w:szCs w:val="20"/>
        </w:rPr>
        <w:t>,</w:t>
      </w:r>
      <w:r w:rsidRPr="00050881">
        <w:rPr>
          <w:rFonts w:ascii="Arial" w:hAnsi="Arial" w:cs="Arial"/>
          <w:sz w:val="20"/>
          <w:szCs w:val="20"/>
        </w:rPr>
        <w:t xml:space="preserve"> and from the above model there is a considerable need for a national approach when planning regulation for the heavy vehicle industry</w:t>
      </w:r>
      <w:r w:rsidR="00E760B6" w:rsidRPr="00050881">
        <w:rPr>
          <w:rFonts w:ascii="Arial" w:hAnsi="Arial" w:cs="Arial"/>
          <w:sz w:val="20"/>
          <w:szCs w:val="20"/>
        </w:rPr>
        <w:t xml:space="preserve"> in order to </w:t>
      </w:r>
      <w:r w:rsidR="00542479">
        <w:rPr>
          <w:rFonts w:ascii="Arial" w:hAnsi="Arial" w:cs="Arial"/>
          <w:sz w:val="20"/>
          <w:szCs w:val="20"/>
        </w:rPr>
        <w:t>avoid</w:t>
      </w:r>
      <w:r w:rsidR="00E760B6" w:rsidRPr="00050881">
        <w:rPr>
          <w:rFonts w:ascii="Arial" w:hAnsi="Arial" w:cs="Arial"/>
          <w:sz w:val="20"/>
          <w:szCs w:val="20"/>
        </w:rPr>
        <w:t xml:space="preserve"> </w:t>
      </w:r>
      <w:r w:rsidR="00542479">
        <w:rPr>
          <w:rFonts w:ascii="Arial" w:hAnsi="Arial" w:cs="Arial"/>
          <w:sz w:val="20"/>
          <w:szCs w:val="20"/>
        </w:rPr>
        <w:t xml:space="preserve">an </w:t>
      </w:r>
      <w:r w:rsidR="00E760B6" w:rsidRPr="00050881">
        <w:rPr>
          <w:rFonts w:ascii="Arial" w:hAnsi="Arial" w:cs="Arial"/>
          <w:sz w:val="20"/>
          <w:szCs w:val="20"/>
        </w:rPr>
        <w:t>under or over supply or heavy</w:t>
      </w:r>
      <w:r w:rsidR="00973AF4" w:rsidRPr="00050881">
        <w:rPr>
          <w:rFonts w:ascii="Arial" w:hAnsi="Arial" w:cs="Arial"/>
          <w:sz w:val="20"/>
          <w:szCs w:val="20"/>
        </w:rPr>
        <w:t xml:space="preserve"> vehicles for the freight task.</w:t>
      </w:r>
    </w:p>
    <w:p w:rsidR="00C81D29" w:rsidRPr="00050881" w:rsidRDefault="00C81D29" w:rsidP="00C04619">
      <w:pPr>
        <w:rPr>
          <w:rFonts w:ascii="Arial" w:hAnsi="Arial" w:cs="Arial"/>
          <w:sz w:val="20"/>
          <w:szCs w:val="20"/>
        </w:rPr>
      </w:pPr>
    </w:p>
    <w:p w:rsidR="00A832A0" w:rsidRPr="00050881" w:rsidRDefault="00A832A0" w:rsidP="00C04619">
      <w:pPr>
        <w:pStyle w:val="RecommendationStyle"/>
        <w:tabs>
          <w:tab w:val="clear" w:pos="1192"/>
        </w:tabs>
        <w:spacing w:before="0" w:after="0"/>
        <w:rPr>
          <w:color w:val="000000" w:themeColor="text1"/>
        </w:rPr>
      </w:pPr>
      <w:bookmarkStart w:id="61" w:name="_Toc304815338"/>
      <w:bookmarkStart w:id="62" w:name="_Toc304815835"/>
      <w:bookmarkStart w:id="63" w:name="_Toc304818324"/>
      <w:bookmarkStart w:id="64" w:name="_Toc304884377"/>
      <w:bookmarkStart w:id="65" w:name="_Toc304970877"/>
      <w:bookmarkStart w:id="66" w:name="_Toc305498107"/>
      <w:bookmarkStart w:id="67" w:name="_Toc305498166"/>
      <w:bookmarkStart w:id="68" w:name="_Toc305498218"/>
      <w:bookmarkStart w:id="69" w:name="_Toc305498335"/>
      <w:bookmarkStart w:id="70" w:name="_Toc306622936"/>
      <w:bookmarkStart w:id="71" w:name="_Toc306690321"/>
      <w:bookmarkStart w:id="72" w:name="_Toc306699145"/>
      <w:bookmarkStart w:id="73" w:name="_Toc306879731"/>
      <w:bookmarkStart w:id="74" w:name="_Toc306883071"/>
      <w:bookmarkStart w:id="75" w:name="_Toc306890742"/>
      <w:bookmarkStart w:id="76" w:name="_Toc306890760"/>
      <w:bookmarkStart w:id="77" w:name="_Toc306890874"/>
      <w:bookmarkStart w:id="78" w:name="_Toc306891305"/>
      <w:bookmarkStart w:id="79" w:name="_Toc306950024"/>
      <w:bookmarkStart w:id="80" w:name="_Toc30695015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C81D29" w:rsidRDefault="00C81D29" w:rsidP="00C04619">
      <w:pPr>
        <w:pStyle w:val="RecommendationStyle"/>
        <w:numPr>
          <w:ilvl w:val="0"/>
          <w:numId w:val="0"/>
        </w:numPr>
        <w:spacing w:before="0" w:after="0"/>
        <w:rPr>
          <w:color w:val="000000" w:themeColor="text1"/>
        </w:rPr>
      </w:pPr>
      <w:bookmarkStart w:id="81" w:name="_Toc304815339"/>
      <w:bookmarkStart w:id="82" w:name="_Toc304815836"/>
      <w:bookmarkStart w:id="83" w:name="_Toc304818325"/>
      <w:bookmarkStart w:id="84" w:name="_Toc304884378"/>
      <w:bookmarkStart w:id="85" w:name="_Toc304970878"/>
      <w:bookmarkStart w:id="86" w:name="_Toc305498108"/>
      <w:bookmarkStart w:id="87" w:name="_Toc305498167"/>
      <w:bookmarkStart w:id="88" w:name="_Toc305498219"/>
      <w:bookmarkStart w:id="89" w:name="_Toc305498336"/>
    </w:p>
    <w:p w:rsidR="00A832A0" w:rsidRDefault="00A832A0" w:rsidP="00C04619">
      <w:pPr>
        <w:pStyle w:val="RecommendationStyle"/>
        <w:numPr>
          <w:ilvl w:val="0"/>
          <w:numId w:val="0"/>
        </w:numPr>
        <w:spacing w:before="0" w:after="0"/>
      </w:pPr>
      <w:bookmarkStart w:id="90" w:name="_Toc306622937"/>
      <w:bookmarkStart w:id="91" w:name="_Toc306690322"/>
      <w:bookmarkStart w:id="92" w:name="_Toc306699146"/>
      <w:bookmarkStart w:id="93" w:name="_Toc306879732"/>
      <w:bookmarkStart w:id="94" w:name="_Toc306883072"/>
      <w:bookmarkStart w:id="95" w:name="_Toc306890743"/>
      <w:bookmarkStart w:id="96" w:name="_Toc306890761"/>
      <w:bookmarkStart w:id="97" w:name="_Toc306890875"/>
      <w:bookmarkStart w:id="98" w:name="_Toc306891306"/>
      <w:bookmarkStart w:id="99" w:name="_Toc306950025"/>
      <w:bookmarkStart w:id="100" w:name="_Toc306950160"/>
      <w:r w:rsidRPr="00050881">
        <w:rPr>
          <w:color w:val="000000" w:themeColor="text1"/>
        </w:rPr>
        <w:t>The ATA recommends that the BRCWG</w:t>
      </w:r>
      <w:r w:rsidR="00A05C28" w:rsidRPr="00050881">
        <w:rPr>
          <w:color w:val="000000" w:themeColor="text1"/>
        </w:rPr>
        <w:t xml:space="preserve"> should</w:t>
      </w:r>
      <w:r w:rsidRPr="00050881">
        <w:rPr>
          <w:color w:val="000000" w:themeColor="text1"/>
        </w:rPr>
        <w:t xml:space="preserve"> </w:t>
      </w:r>
      <w:r w:rsidR="00A05C28" w:rsidRPr="00050881">
        <w:rPr>
          <w:color w:val="000000" w:themeColor="text1"/>
        </w:rPr>
        <w:t>use</w:t>
      </w:r>
      <w:r w:rsidRPr="00050881">
        <w:rPr>
          <w:color w:val="000000" w:themeColor="text1"/>
        </w:rPr>
        <w:t xml:space="preserve"> the heavy vehicle industry as an example of where harmonised </w:t>
      </w:r>
      <w:r w:rsidR="00583EC7">
        <w:rPr>
          <w:color w:val="000000" w:themeColor="text1"/>
        </w:rPr>
        <w:t xml:space="preserve">national </w:t>
      </w:r>
      <w:r w:rsidRPr="00050881">
        <w:rPr>
          <w:color w:val="000000" w:themeColor="text1"/>
        </w:rPr>
        <w:t>regulation would lead to an increase in productivity</w:t>
      </w:r>
      <w:bookmarkEnd w:id="81"/>
      <w:bookmarkEnd w:id="82"/>
      <w:bookmarkEnd w:id="83"/>
      <w:bookmarkEnd w:id="84"/>
      <w:bookmarkEnd w:id="85"/>
      <w:bookmarkEnd w:id="86"/>
      <w:bookmarkEnd w:id="87"/>
      <w:bookmarkEnd w:id="88"/>
      <w:bookmarkEnd w:id="89"/>
      <w:bookmarkEnd w:id="90"/>
      <w:bookmarkEnd w:id="91"/>
      <w:bookmarkEnd w:id="92"/>
      <w:r w:rsidR="000118F7">
        <w:rPr>
          <w:color w:val="000000" w:themeColor="text1"/>
        </w:rPr>
        <w:t>.</w:t>
      </w:r>
      <w:bookmarkEnd w:id="93"/>
      <w:bookmarkEnd w:id="94"/>
      <w:bookmarkEnd w:id="95"/>
      <w:bookmarkEnd w:id="96"/>
      <w:bookmarkEnd w:id="97"/>
      <w:bookmarkEnd w:id="98"/>
      <w:bookmarkEnd w:id="99"/>
      <w:bookmarkEnd w:id="100"/>
    </w:p>
    <w:p w:rsidR="00C81D29" w:rsidRDefault="00C81D29" w:rsidP="00C04619">
      <w:pPr>
        <w:rPr>
          <w:rFonts w:ascii="Arial" w:hAnsi="Arial" w:cs="Arial"/>
          <w:sz w:val="20"/>
          <w:szCs w:val="20"/>
        </w:rPr>
      </w:pPr>
    </w:p>
    <w:p w:rsidR="00E03E14" w:rsidRPr="00050881" w:rsidRDefault="00E03E14" w:rsidP="00C04619">
      <w:pPr>
        <w:rPr>
          <w:rFonts w:ascii="Arial" w:hAnsi="Arial" w:cs="Arial"/>
          <w:sz w:val="20"/>
          <w:szCs w:val="20"/>
        </w:rPr>
      </w:pPr>
    </w:p>
    <w:p w:rsidR="00D66519" w:rsidRPr="00D73280" w:rsidRDefault="00D66519" w:rsidP="00C04619">
      <w:pPr>
        <w:pStyle w:val="Heading1"/>
        <w:ind w:left="360"/>
      </w:pPr>
      <w:bookmarkStart w:id="101" w:name="_Toc306890893"/>
      <w:r w:rsidRPr="00D73280">
        <w:t>Improving</w:t>
      </w:r>
      <w:r w:rsidR="00A05C28" w:rsidRPr="00D73280">
        <w:t xml:space="preserve"> sectoral competitiveness: h</w:t>
      </w:r>
      <w:r w:rsidRPr="00D73280">
        <w:t>ow the industry interacts</w:t>
      </w:r>
      <w:bookmarkEnd w:id="101"/>
      <w:r w:rsidRPr="00D73280">
        <w:t xml:space="preserve"> </w:t>
      </w:r>
    </w:p>
    <w:p w:rsidR="00C81D29" w:rsidRPr="00050881" w:rsidRDefault="00C81D29" w:rsidP="00C04619">
      <w:pPr>
        <w:rPr>
          <w:rFonts w:ascii="Arial" w:hAnsi="Arial" w:cs="Arial"/>
          <w:sz w:val="20"/>
          <w:szCs w:val="20"/>
        </w:rPr>
      </w:pPr>
    </w:p>
    <w:p w:rsidR="00964D25" w:rsidRPr="00050881" w:rsidRDefault="008B72CA" w:rsidP="00C04619">
      <w:pPr>
        <w:rPr>
          <w:rFonts w:ascii="Arial" w:hAnsi="Arial" w:cs="Arial"/>
          <w:sz w:val="20"/>
          <w:szCs w:val="20"/>
        </w:rPr>
      </w:pPr>
      <w:r>
        <w:rPr>
          <w:rFonts w:ascii="Arial" w:hAnsi="Arial" w:cs="Arial"/>
          <w:sz w:val="20"/>
          <w:szCs w:val="20"/>
        </w:rPr>
        <w:t>Consumer</w:t>
      </w:r>
      <w:r w:rsidRPr="00050881">
        <w:rPr>
          <w:rFonts w:ascii="Arial" w:hAnsi="Arial" w:cs="Arial"/>
          <w:sz w:val="20"/>
          <w:szCs w:val="20"/>
        </w:rPr>
        <w:t xml:space="preserve"> </w:t>
      </w:r>
      <w:r w:rsidR="00D66519" w:rsidRPr="00050881">
        <w:rPr>
          <w:rFonts w:ascii="Arial" w:hAnsi="Arial" w:cs="Arial"/>
          <w:sz w:val="20"/>
          <w:szCs w:val="20"/>
        </w:rPr>
        <w:t>fiscal tightening</w:t>
      </w:r>
      <w:r>
        <w:rPr>
          <w:rFonts w:ascii="Arial" w:hAnsi="Arial" w:cs="Arial"/>
          <w:sz w:val="20"/>
          <w:szCs w:val="20"/>
        </w:rPr>
        <w:t>,</w:t>
      </w:r>
      <w:r w:rsidR="000118F7">
        <w:rPr>
          <w:rFonts w:ascii="Arial" w:hAnsi="Arial" w:cs="Arial"/>
          <w:sz w:val="20"/>
          <w:szCs w:val="20"/>
        </w:rPr>
        <w:t xml:space="preserve"> occurring due to</w:t>
      </w:r>
      <w:r w:rsidR="00D66519" w:rsidRPr="00050881">
        <w:rPr>
          <w:rFonts w:ascii="Arial" w:hAnsi="Arial" w:cs="Arial"/>
          <w:sz w:val="20"/>
          <w:szCs w:val="20"/>
        </w:rPr>
        <w:t xml:space="preserve"> the effects of rising costs,</w:t>
      </w:r>
      <w:r w:rsidR="000118F7">
        <w:rPr>
          <w:rFonts w:ascii="Arial" w:hAnsi="Arial" w:cs="Arial"/>
          <w:sz w:val="20"/>
          <w:szCs w:val="20"/>
        </w:rPr>
        <w:t xml:space="preserve"> and the impact of the global financial crisis</w:t>
      </w:r>
      <w:r w:rsidR="00FB3029">
        <w:rPr>
          <w:rFonts w:ascii="Arial" w:hAnsi="Arial" w:cs="Arial"/>
          <w:sz w:val="20"/>
          <w:szCs w:val="20"/>
        </w:rPr>
        <w:t>, has placed</w:t>
      </w:r>
      <w:r w:rsidR="00D66519" w:rsidRPr="00050881">
        <w:rPr>
          <w:rFonts w:ascii="Arial" w:hAnsi="Arial" w:cs="Arial"/>
          <w:sz w:val="20"/>
          <w:szCs w:val="20"/>
        </w:rPr>
        <w:t xml:space="preserve"> increased </w:t>
      </w:r>
      <w:r w:rsidR="00FB3029">
        <w:rPr>
          <w:rFonts w:ascii="Arial" w:hAnsi="Arial" w:cs="Arial"/>
          <w:sz w:val="20"/>
          <w:szCs w:val="20"/>
        </w:rPr>
        <w:t>pressure on industries</w:t>
      </w:r>
      <w:r w:rsidR="00D66519" w:rsidRPr="00050881">
        <w:rPr>
          <w:rFonts w:ascii="Arial" w:hAnsi="Arial" w:cs="Arial"/>
          <w:sz w:val="20"/>
          <w:szCs w:val="20"/>
        </w:rPr>
        <w:t xml:space="preserve"> such as the retail sector</w:t>
      </w:r>
      <w:r w:rsidR="00964D25" w:rsidRPr="00050881">
        <w:rPr>
          <w:rFonts w:ascii="Arial" w:hAnsi="Arial" w:cs="Arial"/>
          <w:sz w:val="20"/>
          <w:szCs w:val="20"/>
        </w:rPr>
        <w:t>, agriculture and resources.</w:t>
      </w:r>
      <w:r w:rsidR="00D66519" w:rsidRPr="00050881">
        <w:rPr>
          <w:rFonts w:ascii="Arial" w:hAnsi="Arial" w:cs="Arial"/>
          <w:sz w:val="20"/>
          <w:szCs w:val="20"/>
        </w:rPr>
        <w:t xml:space="preserve"> </w:t>
      </w:r>
      <w:r w:rsidR="00964D25" w:rsidRPr="00050881">
        <w:rPr>
          <w:rFonts w:ascii="Arial" w:hAnsi="Arial" w:cs="Arial"/>
          <w:sz w:val="20"/>
          <w:szCs w:val="20"/>
        </w:rPr>
        <w:t xml:space="preserve">This means the economic outlook for these industries is even </w:t>
      </w:r>
      <w:r w:rsidR="00B96747" w:rsidRPr="00050881">
        <w:rPr>
          <w:rFonts w:ascii="Arial" w:hAnsi="Arial" w:cs="Arial"/>
          <w:sz w:val="20"/>
          <w:szCs w:val="20"/>
        </w:rPr>
        <w:t>more competitive</w:t>
      </w:r>
      <w:r w:rsidR="00FB3029">
        <w:rPr>
          <w:rFonts w:ascii="Arial" w:hAnsi="Arial" w:cs="Arial"/>
          <w:sz w:val="20"/>
          <w:szCs w:val="20"/>
        </w:rPr>
        <w:t xml:space="preserve"> with companies jostling</w:t>
      </w:r>
      <w:r w:rsidR="00964D25" w:rsidRPr="00050881">
        <w:rPr>
          <w:rFonts w:ascii="Arial" w:hAnsi="Arial" w:cs="Arial"/>
          <w:sz w:val="20"/>
          <w:szCs w:val="20"/>
        </w:rPr>
        <w:t xml:space="preserve"> for income and market share.   </w:t>
      </w:r>
    </w:p>
    <w:p w:rsidR="00964D25" w:rsidRPr="00050881" w:rsidRDefault="00964D25" w:rsidP="00C04619">
      <w:pPr>
        <w:rPr>
          <w:rFonts w:ascii="Arial" w:hAnsi="Arial" w:cs="Arial"/>
          <w:sz w:val="20"/>
          <w:szCs w:val="20"/>
        </w:rPr>
      </w:pPr>
    </w:p>
    <w:p w:rsidR="004164B0" w:rsidRPr="00050881" w:rsidRDefault="00D66519" w:rsidP="00C04619">
      <w:pPr>
        <w:rPr>
          <w:rFonts w:ascii="Arial" w:hAnsi="Arial" w:cs="Arial"/>
          <w:sz w:val="20"/>
          <w:szCs w:val="20"/>
        </w:rPr>
      </w:pPr>
      <w:r w:rsidRPr="00050881">
        <w:rPr>
          <w:rFonts w:ascii="Arial" w:hAnsi="Arial" w:cs="Arial"/>
          <w:sz w:val="20"/>
          <w:szCs w:val="20"/>
        </w:rPr>
        <w:t>The increase in the</w:t>
      </w:r>
      <w:r w:rsidR="00374216">
        <w:rPr>
          <w:rFonts w:ascii="Arial" w:hAnsi="Arial" w:cs="Arial"/>
          <w:sz w:val="20"/>
          <w:szCs w:val="20"/>
        </w:rPr>
        <w:t xml:space="preserve"> presence of</w:t>
      </w:r>
      <w:r w:rsidR="00964D25" w:rsidRPr="00050881">
        <w:rPr>
          <w:rFonts w:ascii="Arial" w:hAnsi="Arial" w:cs="Arial"/>
          <w:sz w:val="20"/>
          <w:szCs w:val="20"/>
        </w:rPr>
        <w:t xml:space="preserve"> </w:t>
      </w:r>
      <w:r w:rsidR="00374216">
        <w:rPr>
          <w:rFonts w:ascii="Arial" w:hAnsi="Arial" w:cs="Arial"/>
          <w:sz w:val="20"/>
          <w:szCs w:val="20"/>
        </w:rPr>
        <w:t>imports</w:t>
      </w:r>
      <w:r w:rsidRPr="00050881">
        <w:rPr>
          <w:rFonts w:ascii="Arial" w:hAnsi="Arial" w:cs="Arial"/>
          <w:sz w:val="20"/>
          <w:szCs w:val="20"/>
        </w:rPr>
        <w:t xml:space="preserve"> </w:t>
      </w:r>
      <w:r w:rsidR="004164B0" w:rsidRPr="00050881">
        <w:rPr>
          <w:rFonts w:ascii="Arial" w:hAnsi="Arial" w:cs="Arial"/>
          <w:sz w:val="20"/>
          <w:szCs w:val="20"/>
        </w:rPr>
        <w:t xml:space="preserve">due to </w:t>
      </w:r>
      <w:r w:rsidR="008B72CA">
        <w:rPr>
          <w:rFonts w:ascii="Arial" w:hAnsi="Arial" w:cs="Arial"/>
          <w:sz w:val="20"/>
          <w:szCs w:val="20"/>
        </w:rPr>
        <w:t>the</w:t>
      </w:r>
      <w:r w:rsidR="004164B0" w:rsidRPr="00050881">
        <w:rPr>
          <w:rFonts w:ascii="Arial" w:hAnsi="Arial" w:cs="Arial"/>
          <w:sz w:val="20"/>
          <w:szCs w:val="20"/>
        </w:rPr>
        <w:t xml:space="preserve"> strengthening dollar over the past decade has meant competition for market share has become even more acute</w:t>
      </w:r>
      <w:r w:rsidR="00964D25" w:rsidRPr="00050881">
        <w:rPr>
          <w:rFonts w:ascii="Arial" w:hAnsi="Arial" w:cs="Arial"/>
          <w:sz w:val="20"/>
          <w:szCs w:val="20"/>
        </w:rPr>
        <w:t>.</w:t>
      </w:r>
      <w:r w:rsidR="004164B0" w:rsidRPr="00050881">
        <w:rPr>
          <w:rFonts w:ascii="Arial" w:hAnsi="Arial" w:cs="Arial"/>
          <w:sz w:val="20"/>
          <w:szCs w:val="20"/>
        </w:rPr>
        <w:t xml:space="preserve"> Hence, there is increased pressure to improve the current failings of the regulatory procedures </w:t>
      </w:r>
      <w:r w:rsidR="008B72CA">
        <w:rPr>
          <w:rFonts w:ascii="Arial" w:hAnsi="Arial" w:cs="Arial"/>
          <w:sz w:val="20"/>
          <w:szCs w:val="20"/>
        </w:rPr>
        <w:t>which</w:t>
      </w:r>
      <w:r w:rsidR="00374216">
        <w:rPr>
          <w:rFonts w:ascii="Arial" w:hAnsi="Arial" w:cs="Arial"/>
          <w:sz w:val="20"/>
          <w:szCs w:val="20"/>
        </w:rPr>
        <w:t xml:space="preserve"> impose unnecessary costs o</w:t>
      </w:r>
      <w:r w:rsidR="004164B0" w:rsidRPr="00050881">
        <w:rPr>
          <w:rFonts w:ascii="Arial" w:hAnsi="Arial" w:cs="Arial"/>
          <w:sz w:val="20"/>
          <w:szCs w:val="20"/>
        </w:rPr>
        <w:t>n the heavy vehicle industry</w:t>
      </w:r>
      <w:r w:rsidR="00E02771" w:rsidRPr="00050881">
        <w:rPr>
          <w:rFonts w:ascii="Arial" w:hAnsi="Arial" w:cs="Arial"/>
          <w:sz w:val="20"/>
          <w:szCs w:val="20"/>
        </w:rPr>
        <w:t xml:space="preserve"> and</w:t>
      </w:r>
      <w:r w:rsidR="00374216">
        <w:rPr>
          <w:rFonts w:ascii="Arial" w:hAnsi="Arial" w:cs="Arial"/>
          <w:sz w:val="20"/>
          <w:szCs w:val="20"/>
        </w:rPr>
        <w:t xml:space="preserve"> on the businesses that utilise heavy vehicles</w:t>
      </w:r>
      <w:r w:rsidR="00964D25" w:rsidRPr="00050881">
        <w:rPr>
          <w:rFonts w:ascii="Arial" w:hAnsi="Arial" w:cs="Arial"/>
          <w:sz w:val="20"/>
          <w:szCs w:val="20"/>
        </w:rPr>
        <w:t xml:space="preserve"> in order to make Australian goods as competitive as possible</w:t>
      </w:r>
      <w:r w:rsidR="00E02771" w:rsidRPr="00050881">
        <w:rPr>
          <w:rFonts w:ascii="Arial" w:hAnsi="Arial" w:cs="Arial"/>
          <w:sz w:val="20"/>
          <w:szCs w:val="20"/>
        </w:rPr>
        <w:t>.</w:t>
      </w:r>
    </w:p>
    <w:p w:rsidR="004164B0" w:rsidRPr="00050881" w:rsidRDefault="004164B0" w:rsidP="00C04619">
      <w:pPr>
        <w:rPr>
          <w:rFonts w:ascii="Arial" w:hAnsi="Arial" w:cs="Arial"/>
          <w:sz w:val="20"/>
          <w:szCs w:val="20"/>
        </w:rPr>
      </w:pPr>
    </w:p>
    <w:p w:rsidR="00E02771" w:rsidRPr="00050881" w:rsidRDefault="00E02771" w:rsidP="00C04619">
      <w:pPr>
        <w:rPr>
          <w:rFonts w:ascii="Arial" w:hAnsi="Arial" w:cs="Arial"/>
          <w:sz w:val="20"/>
          <w:szCs w:val="20"/>
        </w:rPr>
      </w:pPr>
      <w:r w:rsidRPr="00050881">
        <w:rPr>
          <w:rFonts w:ascii="Arial" w:hAnsi="Arial" w:cs="Arial"/>
          <w:sz w:val="20"/>
          <w:szCs w:val="20"/>
        </w:rPr>
        <w:t xml:space="preserve">The paper notes rural Australia can benefit from improved competitiveness and productivity of sectors not connected to them due to flow on benefits. </w:t>
      </w:r>
      <w:r w:rsidR="006231E7" w:rsidRPr="00050881">
        <w:rPr>
          <w:rFonts w:ascii="Arial" w:hAnsi="Arial" w:cs="Arial"/>
          <w:sz w:val="20"/>
          <w:szCs w:val="20"/>
        </w:rPr>
        <w:t>A</w:t>
      </w:r>
      <w:r w:rsidRPr="00050881">
        <w:rPr>
          <w:rFonts w:ascii="Arial" w:hAnsi="Arial" w:cs="Arial"/>
          <w:sz w:val="20"/>
          <w:szCs w:val="20"/>
        </w:rPr>
        <w:t>ccessin</w:t>
      </w:r>
      <w:r w:rsidR="006231E7" w:rsidRPr="00050881">
        <w:rPr>
          <w:rFonts w:ascii="Arial" w:hAnsi="Arial" w:cs="Arial"/>
          <w:sz w:val="20"/>
          <w:szCs w:val="20"/>
        </w:rPr>
        <w:t>g these productive benefits is diminished</w:t>
      </w:r>
      <w:r w:rsidRPr="00050881">
        <w:rPr>
          <w:rFonts w:ascii="Arial" w:hAnsi="Arial" w:cs="Arial"/>
          <w:sz w:val="20"/>
          <w:szCs w:val="20"/>
        </w:rPr>
        <w:t xml:space="preserve"> by local government’s fa</w:t>
      </w:r>
      <w:r w:rsidR="00374216">
        <w:rPr>
          <w:rFonts w:ascii="Arial" w:hAnsi="Arial" w:cs="Arial"/>
          <w:sz w:val="20"/>
          <w:szCs w:val="20"/>
        </w:rPr>
        <w:t>ilure to allow access for high</w:t>
      </w:r>
      <w:r w:rsidRPr="00050881">
        <w:rPr>
          <w:rFonts w:ascii="Arial" w:hAnsi="Arial" w:cs="Arial"/>
          <w:sz w:val="20"/>
          <w:szCs w:val="20"/>
        </w:rPr>
        <w:t xml:space="preserve"> productivity vehicles, which limit the growth of businesses in their own</w:t>
      </w:r>
      <w:r w:rsidR="00040D26">
        <w:rPr>
          <w:rFonts w:ascii="Arial" w:hAnsi="Arial" w:cs="Arial"/>
          <w:sz w:val="20"/>
          <w:szCs w:val="20"/>
        </w:rPr>
        <w:t xml:space="preserve"> jurisdiction</w:t>
      </w:r>
      <w:r w:rsidRPr="00050881">
        <w:rPr>
          <w:rFonts w:ascii="Arial" w:hAnsi="Arial" w:cs="Arial"/>
          <w:sz w:val="20"/>
          <w:szCs w:val="20"/>
        </w:rPr>
        <w:t xml:space="preserve">. </w:t>
      </w:r>
      <w:r w:rsidR="00964D25" w:rsidRPr="00050881">
        <w:rPr>
          <w:rFonts w:ascii="Arial" w:hAnsi="Arial" w:cs="Arial"/>
          <w:sz w:val="20"/>
          <w:szCs w:val="20"/>
        </w:rPr>
        <w:t>R</w:t>
      </w:r>
      <w:r w:rsidRPr="00050881">
        <w:rPr>
          <w:rFonts w:ascii="Arial" w:hAnsi="Arial" w:cs="Arial"/>
          <w:sz w:val="20"/>
          <w:szCs w:val="20"/>
        </w:rPr>
        <w:t>egulation that applies to transforming rural Australia should be examined with great scrutiny to make sure those in charge of the jurisdiction are focussed on growing the potential of their communities</w:t>
      </w:r>
      <w:r w:rsidR="00374216">
        <w:rPr>
          <w:rFonts w:ascii="Arial" w:hAnsi="Arial" w:cs="Arial"/>
          <w:sz w:val="20"/>
          <w:szCs w:val="20"/>
        </w:rPr>
        <w:t>,</w:t>
      </w:r>
      <w:r w:rsidRPr="00050881">
        <w:rPr>
          <w:rFonts w:ascii="Arial" w:hAnsi="Arial" w:cs="Arial"/>
          <w:sz w:val="20"/>
          <w:szCs w:val="20"/>
        </w:rPr>
        <w:t xml:space="preserve"> not keeping</w:t>
      </w:r>
      <w:r w:rsidR="00784B86">
        <w:rPr>
          <w:rFonts w:ascii="Arial" w:hAnsi="Arial" w:cs="Arial"/>
          <w:sz w:val="20"/>
          <w:szCs w:val="20"/>
        </w:rPr>
        <w:t xml:space="preserve"> them</w:t>
      </w:r>
      <w:r w:rsidRPr="00050881">
        <w:rPr>
          <w:rFonts w:ascii="Arial" w:hAnsi="Arial" w:cs="Arial"/>
          <w:sz w:val="20"/>
          <w:szCs w:val="20"/>
        </w:rPr>
        <w:t xml:space="preserve"> static. </w:t>
      </w:r>
    </w:p>
    <w:p w:rsidR="00910C5A" w:rsidRDefault="00910C5A" w:rsidP="00C04619"/>
    <w:p w:rsidR="00C81D29" w:rsidRPr="00050881" w:rsidRDefault="00C81D29" w:rsidP="00C04619"/>
    <w:p w:rsidR="00E02771" w:rsidRPr="00D73280" w:rsidRDefault="00A05C28" w:rsidP="00C04619">
      <w:pPr>
        <w:pStyle w:val="Heading1"/>
        <w:ind w:left="360"/>
      </w:pPr>
      <w:bookmarkStart w:id="102" w:name="_Toc306890894"/>
      <w:r w:rsidRPr="00D73280">
        <w:t>Industry r</w:t>
      </w:r>
      <w:r w:rsidR="00A6297F" w:rsidRPr="00D73280">
        <w:t>egulation</w:t>
      </w:r>
      <w:bookmarkEnd w:id="102"/>
    </w:p>
    <w:p w:rsidR="00C81D29" w:rsidRPr="00050881" w:rsidRDefault="00C81D29" w:rsidP="00C04619">
      <w:pPr>
        <w:rPr>
          <w:rFonts w:ascii="Arial" w:hAnsi="Arial" w:cs="Arial"/>
          <w:sz w:val="20"/>
          <w:szCs w:val="20"/>
        </w:rPr>
      </w:pPr>
    </w:p>
    <w:p w:rsidR="00852CAE" w:rsidRDefault="00B96747" w:rsidP="00C04619">
      <w:pPr>
        <w:rPr>
          <w:rFonts w:ascii="Arial" w:hAnsi="Arial" w:cs="Arial"/>
          <w:sz w:val="20"/>
          <w:szCs w:val="20"/>
        </w:rPr>
      </w:pPr>
      <w:r w:rsidRPr="00050881">
        <w:rPr>
          <w:rFonts w:ascii="Arial" w:hAnsi="Arial" w:cs="Arial"/>
          <w:sz w:val="20"/>
          <w:szCs w:val="20"/>
        </w:rPr>
        <w:t>A</w:t>
      </w:r>
      <w:r w:rsidR="00640AF8" w:rsidRPr="00050881">
        <w:rPr>
          <w:rFonts w:ascii="Arial" w:hAnsi="Arial" w:cs="Arial"/>
          <w:sz w:val="20"/>
          <w:szCs w:val="20"/>
        </w:rPr>
        <w:t>rticulated vehicles can access higher mass limits</w:t>
      </w:r>
      <w:r w:rsidR="00374216">
        <w:rPr>
          <w:rFonts w:ascii="Arial" w:hAnsi="Arial" w:cs="Arial"/>
          <w:sz w:val="20"/>
          <w:szCs w:val="20"/>
        </w:rPr>
        <w:t xml:space="preserve"> (HML)</w:t>
      </w:r>
      <w:r w:rsidR="00640AF8" w:rsidRPr="00050881">
        <w:rPr>
          <w:rFonts w:ascii="Arial" w:hAnsi="Arial" w:cs="Arial"/>
          <w:sz w:val="20"/>
          <w:szCs w:val="20"/>
        </w:rPr>
        <w:t xml:space="preserve"> through road friendly suspension </w:t>
      </w:r>
      <w:r w:rsidR="00320F07" w:rsidRPr="00050881">
        <w:rPr>
          <w:rFonts w:ascii="Arial" w:hAnsi="Arial" w:cs="Arial"/>
          <w:sz w:val="20"/>
          <w:szCs w:val="20"/>
        </w:rPr>
        <w:t xml:space="preserve">(RFS) </w:t>
      </w:r>
      <w:r w:rsidR="00640AF8" w:rsidRPr="00050881">
        <w:rPr>
          <w:rFonts w:ascii="Arial" w:hAnsi="Arial" w:cs="Arial"/>
          <w:sz w:val="20"/>
          <w:szCs w:val="20"/>
        </w:rPr>
        <w:t>which allow for higher mass to be carried with the same</w:t>
      </w:r>
      <w:r w:rsidR="00784B86">
        <w:rPr>
          <w:rFonts w:ascii="Arial" w:hAnsi="Arial" w:cs="Arial"/>
          <w:sz w:val="20"/>
          <w:szCs w:val="20"/>
        </w:rPr>
        <w:t xml:space="preserve"> amount of road </w:t>
      </w:r>
      <w:r w:rsidR="00640AF8" w:rsidRPr="00050881">
        <w:rPr>
          <w:rFonts w:ascii="Arial" w:hAnsi="Arial" w:cs="Arial"/>
          <w:sz w:val="20"/>
          <w:szCs w:val="20"/>
        </w:rPr>
        <w:t>impact of a non-</w:t>
      </w:r>
      <w:r w:rsidR="00320F07" w:rsidRPr="00050881">
        <w:rPr>
          <w:rFonts w:ascii="Arial" w:hAnsi="Arial" w:cs="Arial"/>
          <w:sz w:val="20"/>
          <w:szCs w:val="20"/>
        </w:rPr>
        <w:t>RFS</w:t>
      </w:r>
      <w:r w:rsidR="00640AF8" w:rsidRPr="00050881">
        <w:rPr>
          <w:rFonts w:ascii="Arial" w:hAnsi="Arial" w:cs="Arial"/>
          <w:sz w:val="20"/>
          <w:szCs w:val="20"/>
        </w:rPr>
        <w:t xml:space="preserve"> vehicle at </w:t>
      </w:r>
      <w:r w:rsidR="00374216">
        <w:rPr>
          <w:rFonts w:ascii="Arial" w:hAnsi="Arial" w:cs="Arial"/>
          <w:sz w:val="20"/>
          <w:szCs w:val="20"/>
        </w:rPr>
        <w:t>g</w:t>
      </w:r>
      <w:r w:rsidR="00640AF8" w:rsidRPr="00050881">
        <w:rPr>
          <w:rFonts w:ascii="Arial" w:hAnsi="Arial" w:cs="Arial"/>
          <w:sz w:val="20"/>
          <w:szCs w:val="20"/>
        </w:rPr>
        <w:t>eneral mass limit</w:t>
      </w:r>
      <w:r w:rsidR="00374216">
        <w:rPr>
          <w:rFonts w:ascii="Arial" w:hAnsi="Arial" w:cs="Arial"/>
          <w:sz w:val="20"/>
          <w:szCs w:val="20"/>
        </w:rPr>
        <w:t xml:space="preserve"> (GML)</w:t>
      </w:r>
      <w:r w:rsidR="00640AF8" w:rsidRPr="00050881">
        <w:rPr>
          <w:rFonts w:ascii="Arial" w:hAnsi="Arial" w:cs="Arial"/>
          <w:sz w:val="20"/>
          <w:szCs w:val="20"/>
        </w:rPr>
        <w:t xml:space="preserve">. Permits are still required by some local governments for this scheme even though </w:t>
      </w:r>
      <w:r w:rsidR="00840E08" w:rsidRPr="00050881">
        <w:rPr>
          <w:rFonts w:ascii="Arial" w:hAnsi="Arial" w:cs="Arial"/>
          <w:sz w:val="20"/>
          <w:szCs w:val="20"/>
        </w:rPr>
        <w:t xml:space="preserve">the damage caused by these heavy vehicles is the same as other heavy vehicles that </w:t>
      </w:r>
      <w:r w:rsidR="00320F07" w:rsidRPr="00050881">
        <w:rPr>
          <w:rFonts w:ascii="Arial" w:hAnsi="Arial" w:cs="Arial"/>
          <w:sz w:val="20"/>
          <w:szCs w:val="20"/>
        </w:rPr>
        <w:t>can access the same route</w:t>
      </w:r>
      <w:r w:rsidR="00374216">
        <w:rPr>
          <w:rFonts w:ascii="Arial" w:hAnsi="Arial" w:cs="Arial"/>
          <w:sz w:val="20"/>
          <w:szCs w:val="20"/>
        </w:rPr>
        <w:t xml:space="preserve"> without permits;</w:t>
      </w:r>
      <w:r w:rsidR="00320F07" w:rsidRPr="00050881">
        <w:rPr>
          <w:rFonts w:ascii="Arial" w:hAnsi="Arial" w:cs="Arial"/>
          <w:sz w:val="20"/>
          <w:szCs w:val="20"/>
        </w:rPr>
        <w:t xml:space="preserve"> and complete</w:t>
      </w:r>
      <w:r w:rsidR="00840E08" w:rsidRPr="00050881">
        <w:rPr>
          <w:rFonts w:ascii="Arial" w:hAnsi="Arial" w:cs="Arial"/>
          <w:sz w:val="20"/>
          <w:szCs w:val="20"/>
        </w:rPr>
        <w:t xml:space="preserve"> the freight </w:t>
      </w:r>
      <w:r w:rsidR="00320F07" w:rsidRPr="00050881">
        <w:rPr>
          <w:rFonts w:ascii="Arial" w:hAnsi="Arial" w:cs="Arial"/>
          <w:sz w:val="20"/>
          <w:szCs w:val="20"/>
        </w:rPr>
        <w:t>t</w:t>
      </w:r>
      <w:r w:rsidR="00840E08" w:rsidRPr="00050881">
        <w:rPr>
          <w:rFonts w:ascii="Arial" w:hAnsi="Arial" w:cs="Arial"/>
          <w:sz w:val="20"/>
          <w:szCs w:val="20"/>
        </w:rPr>
        <w:t xml:space="preserve">ask in </w:t>
      </w:r>
      <w:r w:rsidR="00320F07" w:rsidRPr="00050881">
        <w:rPr>
          <w:rFonts w:ascii="Arial" w:hAnsi="Arial" w:cs="Arial"/>
          <w:sz w:val="20"/>
          <w:szCs w:val="20"/>
        </w:rPr>
        <w:t>fewer</w:t>
      </w:r>
      <w:r w:rsidR="00840E08" w:rsidRPr="00050881">
        <w:rPr>
          <w:rFonts w:ascii="Arial" w:hAnsi="Arial" w:cs="Arial"/>
          <w:sz w:val="20"/>
          <w:szCs w:val="20"/>
        </w:rPr>
        <w:t xml:space="preserve"> trips.</w:t>
      </w:r>
      <w:r w:rsidR="00320F07" w:rsidRPr="00050881">
        <w:rPr>
          <w:rFonts w:ascii="Arial" w:hAnsi="Arial" w:cs="Arial"/>
          <w:sz w:val="20"/>
          <w:szCs w:val="20"/>
        </w:rPr>
        <w:t xml:space="preserve"> </w:t>
      </w:r>
      <w:r w:rsidR="00840E08" w:rsidRPr="00050881">
        <w:rPr>
          <w:rFonts w:ascii="Arial" w:hAnsi="Arial" w:cs="Arial"/>
          <w:sz w:val="20"/>
          <w:szCs w:val="20"/>
        </w:rPr>
        <w:t xml:space="preserve"> Local governments that use permits as a barrier to their jurisdiction should </w:t>
      </w:r>
      <w:r w:rsidR="005A0D15" w:rsidRPr="00050881">
        <w:rPr>
          <w:rFonts w:ascii="Arial" w:hAnsi="Arial" w:cs="Arial"/>
          <w:sz w:val="20"/>
          <w:szCs w:val="20"/>
        </w:rPr>
        <w:t xml:space="preserve">have their powers </w:t>
      </w:r>
      <w:r w:rsidR="00374216">
        <w:rPr>
          <w:rFonts w:ascii="Arial" w:hAnsi="Arial" w:cs="Arial"/>
          <w:sz w:val="20"/>
          <w:szCs w:val="20"/>
        </w:rPr>
        <w:t xml:space="preserve">in this area </w:t>
      </w:r>
      <w:r w:rsidR="005A0D15" w:rsidRPr="00050881">
        <w:rPr>
          <w:rFonts w:ascii="Arial" w:hAnsi="Arial" w:cs="Arial"/>
          <w:sz w:val="20"/>
          <w:szCs w:val="20"/>
        </w:rPr>
        <w:t>revoked</w:t>
      </w:r>
      <w:r w:rsidR="00840E08" w:rsidRPr="00050881">
        <w:rPr>
          <w:rFonts w:ascii="Arial" w:hAnsi="Arial" w:cs="Arial"/>
          <w:sz w:val="20"/>
          <w:szCs w:val="20"/>
        </w:rPr>
        <w:t xml:space="preserve">. </w:t>
      </w:r>
      <w:r w:rsidR="00640AF8" w:rsidRPr="00050881">
        <w:rPr>
          <w:rFonts w:ascii="Arial" w:hAnsi="Arial" w:cs="Arial"/>
          <w:sz w:val="20"/>
          <w:szCs w:val="20"/>
        </w:rPr>
        <w:t xml:space="preserve"> </w:t>
      </w:r>
    </w:p>
    <w:p w:rsidR="00840E08" w:rsidRDefault="00840E08" w:rsidP="00C04619">
      <w:pPr>
        <w:rPr>
          <w:rFonts w:ascii="Arial" w:hAnsi="Arial" w:cs="Arial"/>
          <w:sz w:val="20"/>
          <w:szCs w:val="20"/>
        </w:rPr>
      </w:pPr>
      <w:r w:rsidRPr="00050881">
        <w:rPr>
          <w:rFonts w:ascii="Arial" w:hAnsi="Arial" w:cs="Arial"/>
          <w:sz w:val="20"/>
          <w:szCs w:val="20"/>
        </w:rPr>
        <w:lastRenderedPageBreak/>
        <w:t>These permits serve to constrain th</w:t>
      </w:r>
      <w:r w:rsidR="00A0493F" w:rsidRPr="00050881">
        <w:rPr>
          <w:rFonts w:ascii="Arial" w:hAnsi="Arial" w:cs="Arial"/>
          <w:sz w:val="20"/>
          <w:szCs w:val="20"/>
        </w:rPr>
        <w:t>e</w:t>
      </w:r>
      <w:r w:rsidR="00784B86">
        <w:rPr>
          <w:rFonts w:ascii="Arial" w:hAnsi="Arial" w:cs="Arial"/>
          <w:sz w:val="20"/>
          <w:szCs w:val="20"/>
        </w:rPr>
        <w:t xml:space="preserve"> productivity of businesses which</w:t>
      </w:r>
      <w:r w:rsidRPr="00050881">
        <w:rPr>
          <w:rFonts w:ascii="Arial" w:hAnsi="Arial" w:cs="Arial"/>
          <w:sz w:val="20"/>
          <w:szCs w:val="20"/>
        </w:rPr>
        <w:t xml:space="preserve"> operate in their jurisdiction and impose a significant </w:t>
      </w:r>
      <w:r w:rsidR="006231E7" w:rsidRPr="00050881">
        <w:rPr>
          <w:rFonts w:ascii="Arial" w:hAnsi="Arial" w:cs="Arial"/>
          <w:sz w:val="20"/>
          <w:szCs w:val="20"/>
        </w:rPr>
        <w:t>charge on</w:t>
      </w:r>
      <w:r w:rsidRPr="00050881">
        <w:rPr>
          <w:rFonts w:ascii="Arial" w:hAnsi="Arial" w:cs="Arial"/>
          <w:sz w:val="20"/>
          <w:szCs w:val="20"/>
        </w:rPr>
        <w:t xml:space="preserve"> production costs. This also has effects on the via</w:t>
      </w:r>
      <w:r w:rsidR="00FB5163" w:rsidRPr="00050881">
        <w:rPr>
          <w:rFonts w:ascii="Arial" w:hAnsi="Arial" w:cs="Arial"/>
          <w:sz w:val="20"/>
          <w:szCs w:val="20"/>
        </w:rPr>
        <w:t>bility</w:t>
      </w:r>
      <w:r w:rsidRPr="00050881">
        <w:rPr>
          <w:rFonts w:ascii="Arial" w:hAnsi="Arial" w:cs="Arial"/>
          <w:sz w:val="20"/>
          <w:szCs w:val="20"/>
        </w:rPr>
        <w:t xml:space="preserve"> of the </w:t>
      </w:r>
      <w:r w:rsidR="00FB5163" w:rsidRPr="00050881">
        <w:rPr>
          <w:rFonts w:ascii="Arial" w:hAnsi="Arial" w:cs="Arial"/>
          <w:sz w:val="20"/>
          <w:szCs w:val="20"/>
        </w:rPr>
        <w:t>jurisdiction</w:t>
      </w:r>
      <w:r w:rsidR="00544362">
        <w:rPr>
          <w:rFonts w:ascii="Arial" w:hAnsi="Arial" w:cs="Arial"/>
          <w:sz w:val="20"/>
          <w:szCs w:val="20"/>
        </w:rPr>
        <w:t>,</w:t>
      </w:r>
      <w:r w:rsidRPr="00050881">
        <w:rPr>
          <w:rFonts w:ascii="Arial" w:hAnsi="Arial" w:cs="Arial"/>
          <w:sz w:val="20"/>
          <w:szCs w:val="20"/>
        </w:rPr>
        <w:t xml:space="preserve"> as areas where inherent</w:t>
      </w:r>
      <w:r w:rsidR="00FB5163" w:rsidRPr="00050881">
        <w:rPr>
          <w:rFonts w:ascii="Arial" w:hAnsi="Arial" w:cs="Arial"/>
          <w:sz w:val="20"/>
          <w:szCs w:val="20"/>
        </w:rPr>
        <w:t xml:space="preserve"> costs of logistics are more expensive</w:t>
      </w:r>
      <w:r w:rsidRPr="00050881">
        <w:rPr>
          <w:rFonts w:ascii="Arial" w:hAnsi="Arial" w:cs="Arial"/>
          <w:sz w:val="20"/>
          <w:szCs w:val="20"/>
        </w:rPr>
        <w:t xml:space="preserve"> will lead to businesses seeking local government areas that are more flexible and allow for productivity boosting heavy vehicles to access roads. However</w:t>
      </w:r>
      <w:r w:rsidR="00A0493F" w:rsidRPr="00050881">
        <w:rPr>
          <w:rFonts w:ascii="Arial" w:hAnsi="Arial" w:cs="Arial"/>
          <w:sz w:val="20"/>
          <w:szCs w:val="20"/>
        </w:rPr>
        <w:t>,</w:t>
      </w:r>
      <w:r w:rsidRPr="00050881">
        <w:rPr>
          <w:rFonts w:ascii="Arial" w:hAnsi="Arial" w:cs="Arial"/>
          <w:sz w:val="20"/>
          <w:szCs w:val="20"/>
        </w:rPr>
        <w:t xml:space="preserve"> in </w:t>
      </w:r>
      <w:r w:rsidR="00573408" w:rsidRPr="00050881">
        <w:rPr>
          <w:rFonts w:ascii="Arial" w:hAnsi="Arial" w:cs="Arial"/>
          <w:sz w:val="20"/>
          <w:szCs w:val="20"/>
        </w:rPr>
        <w:t>most</w:t>
      </w:r>
      <w:r w:rsidRPr="00050881">
        <w:rPr>
          <w:rFonts w:ascii="Arial" w:hAnsi="Arial" w:cs="Arial"/>
          <w:sz w:val="20"/>
          <w:szCs w:val="20"/>
        </w:rPr>
        <w:t xml:space="preserve"> cases it is not s</w:t>
      </w:r>
      <w:r w:rsidR="00A0493F" w:rsidRPr="00050881">
        <w:rPr>
          <w:rFonts w:ascii="Arial" w:hAnsi="Arial" w:cs="Arial"/>
          <w:sz w:val="20"/>
          <w:szCs w:val="20"/>
        </w:rPr>
        <w:t>imple for businesses to just mov</w:t>
      </w:r>
      <w:r w:rsidRPr="00050881">
        <w:rPr>
          <w:rFonts w:ascii="Arial" w:hAnsi="Arial" w:cs="Arial"/>
          <w:sz w:val="20"/>
          <w:szCs w:val="20"/>
        </w:rPr>
        <w:t>e</w:t>
      </w:r>
      <w:r w:rsidR="00A0493F" w:rsidRPr="00050881">
        <w:rPr>
          <w:rFonts w:ascii="Arial" w:hAnsi="Arial" w:cs="Arial"/>
          <w:sz w:val="20"/>
          <w:szCs w:val="20"/>
        </w:rPr>
        <w:t xml:space="preserve"> to areas with better access</w:t>
      </w:r>
      <w:r w:rsidRPr="00050881">
        <w:rPr>
          <w:rFonts w:ascii="Arial" w:hAnsi="Arial" w:cs="Arial"/>
          <w:sz w:val="20"/>
          <w:szCs w:val="20"/>
        </w:rPr>
        <w:t>, especially livestock</w:t>
      </w:r>
      <w:r w:rsidR="00FB5163" w:rsidRPr="00050881">
        <w:rPr>
          <w:rFonts w:ascii="Arial" w:hAnsi="Arial" w:cs="Arial"/>
          <w:sz w:val="20"/>
          <w:szCs w:val="20"/>
        </w:rPr>
        <w:t xml:space="preserve">, </w:t>
      </w:r>
      <w:r w:rsidR="00374216">
        <w:rPr>
          <w:rFonts w:ascii="Arial" w:hAnsi="Arial" w:cs="Arial"/>
          <w:sz w:val="20"/>
          <w:szCs w:val="20"/>
        </w:rPr>
        <w:t>wineries, other farmers,</w:t>
      </w:r>
      <w:r w:rsidR="00374216" w:rsidRPr="00050881">
        <w:rPr>
          <w:rFonts w:ascii="Arial" w:hAnsi="Arial" w:cs="Arial"/>
          <w:sz w:val="20"/>
          <w:szCs w:val="20"/>
        </w:rPr>
        <w:t xml:space="preserve"> miners</w:t>
      </w:r>
      <w:r w:rsidR="00374216">
        <w:rPr>
          <w:rFonts w:ascii="Arial" w:hAnsi="Arial" w:cs="Arial"/>
          <w:sz w:val="20"/>
          <w:szCs w:val="20"/>
        </w:rPr>
        <w:t xml:space="preserve"> and other location sensitive industries. </w:t>
      </w:r>
    </w:p>
    <w:p w:rsidR="00050881" w:rsidRDefault="00050881" w:rsidP="00C04619">
      <w:pPr>
        <w:rPr>
          <w:rFonts w:ascii="Arial" w:hAnsi="Arial" w:cs="Arial"/>
          <w:sz w:val="20"/>
          <w:szCs w:val="20"/>
        </w:rPr>
      </w:pPr>
    </w:p>
    <w:p w:rsidR="007D0E21" w:rsidRDefault="007D0E21" w:rsidP="00C04619">
      <w:pPr>
        <w:rPr>
          <w:rFonts w:ascii="Arial" w:hAnsi="Arial" w:cs="Arial"/>
          <w:sz w:val="20"/>
          <w:szCs w:val="20"/>
        </w:rPr>
      </w:pPr>
      <w:r w:rsidRPr="00050881">
        <w:rPr>
          <w:rFonts w:ascii="Arial" w:hAnsi="Arial" w:cs="Arial"/>
          <w:sz w:val="20"/>
          <w:szCs w:val="20"/>
        </w:rPr>
        <w:t xml:space="preserve">If genuine competition is to exist in Australia the abolishing of excessive regulation will lead to </w:t>
      </w:r>
      <w:r w:rsidR="00374216">
        <w:rPr>
          <w:rFonts w:ascii="Arial" w:hAnsi="Arial" w:cs="Arial"/>
          <w:sz w:val="20"/>
          <w:szCs w:val="20"/>
        </w:rPr>
        <w:t xml:space="preserve">increased </w:t>
      </w:r>
      <w:r w:rsidRPr="00050881">
        <w:rPr>
          <w:rFonts w:ascii="Arial" w:hAnsi="Arial" w:cs="Arial"/>
          <w:sz w:val="20"/>
          <w:szCs w:val="20"/>
        </w:rPr>
        <w:t>efficiency and a level playing field for producers of all goods.</w:t>
      </w:r>
      <w:bookmarkStart w:id="103" w:name="_Toc304815340"/>
      <w:bookmarkStart w:id="104" w:name="_Toc304815837"/>
      <w:bookmarkStart w:id="105" w:name="_Toc304818326"/>
      <w:bookmarkStart w:id="106" w:name="_Toc304884379"/>
      <w:bookmarkEnd w:id="103"/>
      <w:bookmarkEnd w:id="104"/>
      <w:bookmarkEnd w:id="105"/>
      <w:bookmarkEnd w:id="106"/>
    </w:p>
    <w:p w:rsidR="007D0E21" w:rsidRPr="00050881" w:rsidRDefault="007D0E21" w:rsidP="00C04619">
      <w:pPr>
        <w:rPr>
          <w:rFonts w:ascii="Arial" w:hAnsi="Arial" w:cs="Arial"/>
          <w:sz w:val="20"/>
          <w:szCs w:val="20"/>
        </w:rPr>
      </w:pPr>
    </w:p>
    <w:p w:rsidR="00050881" w:rsidRDefault="00050881" w:rsidP="00C04619">
      <w:pPr>
        <w:rPr>
          <w:rFonts w:ascii="Arial" w:hAnsi="Arial" w:cs="Arial"/>
          <w:sz w:val="20"/>
          <w:szCs w:val="20"/>
        </w:rPr>
      </w:pPr>
      <w:r>
        <w:rPr>
          <w:rFonts w:ascii="Arial" w:hAnsi="Arial" w:cs="Arial"/>
          <w:sz w:val="20"/>
          <w:szCs w:val="20"/>
        </w:rPr>
        <w:t>Along with the problem mentioned above, the current COAG Road Reform Plan</w:t>
      </w:r>
      <w:r w:rsidR="00544362">
        <w:rPr>
          <w:rFonts w:ascii="Arial" w:hAnsi="Arial" w:cs="Arial"/>
          <w:sz w:val="20"/>
          <w:szCs w:val="20"/>
        </w:rPr>
        <w:t xml:space="preserve"> (CRRP)</w:t>
      </w:r>
      <w:r>
        <w:rPr>
          <w:rFonts w:ascii="Arial" w:hAnsi="Arial" w:cs="Arial"/>
          <w:sz w:val="20"/>
          <w:szCs w:val="20"/>
        </w:rPr>
        <w:t xml:space="preserve"> sets to cause further distress to the industry and businesses </w:t>
      </w:r>
      <w:r w:rsidR="00784B86">
        <w:rPr>
          <w:rFonts w:ascii="Arial" w:hAnsi="Arial" w:cs="Arial"/>
          <w:sz w:val="20"/>
          <w:szCs w:val="20"/>
        </w:rPr>
        <w:t>which</w:t>
      </w:r>
      <w:r>
        <w:rPr>
          <w:rFonts w:ascii="Arial" w:hAnsi="Arial" w:cs="Arial"/>
          <w:sz w:val="20"/>
          <w:szCs w:val="20"/>
        </w:rPr>
        <w:t xml:space="preserve"> depend on heavy vehicles. </w:t>
      </w:r>
      <w:r w:rsidR="00D40DEC">
        <w:rPr>
          <w:rFonts w:ascii="Arial" w:hAnsi="Arial" w:cs="Arial"/>
          <w:sz w:val="20"/>
          <w:szCs w:val="20"/>
        </w:rPr>
        <w:t>CRRP seeks to implement mas</w:t>
      </w:r>
      <w:r w:rsidR="00583EC7">
        <w:rPr>
          <w:rFonts w:ascii="Arial" w:hAnsi="Arial" w:cs="Arial"/>
          <w:sz w:val="20"/>
          <w:szCs w:val="20"/>
        </w:rPr>
        <w:t>s, distance and</w:t>
      </w:r>
      <w:r w:rsidR="00544362">
        <w:rPr>
          <w:rFonts w:ascii="Arial" w:hAnsi="Arial" w:cs="Arial"/>
          <w:sz w:val="20"/>
          <w:szCs w:val="20"/>
        </w:rPr>
        <w:t xml:space="preserve"> location</w:t>
      </w:r>
      <w:r w:rsidR="00583EC7">
        <w:rPr>
          <w:rFonts w:ascii="Arial" w:hAnsi="Arial" w:cs="Arial"/>
          <w:sz w:val="20"/>
          <w:szCs w:val="20"/>
        </w:rPr>
        <w:t xml:space="preserve"> (MDL)</w:t>
      </w:r>
      <w:r w:rsidR="00544362">
        <w:rPr>
          <w:rFonts w:ascii="Arial" w:hAnsi="Arial" w:cs="Arial"/>
          <w:sz w:val="20"/>
          <w:szCs w:val="20"/>
        </w:rPr>
        <w:t xml:space="preserve"> charging. This</w:t>
      </w:r>
      <w:r w:rsidR="00D40DEC">
        <w:rPr>
          <w:rFonts w:ascii="Arial" w:hAnsi="Arial" w:cs="Arial"/>
          <w:sz w:val="20"/>
          <w:szCs w:val="20"/>
        </w:rPr>
        <w:t xml:space="preserve"> requires expensive technology t</w:t>
      </w:r>
      <w:r w:rsidR="00784B86">
        <w:rPr>
          <w:rFonts w:ascii="Arial" w:hAnsi="Arial" w:cs="Arial"/>
          <w:sz w:val="20"/>
          <w:szCs w:val="20"/>
        </w:rPr>
        <w:t>o be fitted to</w:t>
      </w:r>
      <w:r w:rsidR="00374216">
        <w:rPr>
          <w:rFonts w:ascii="Arial" w:hAnsi="Arial" w:cs="Arial"/>
          <w:sz w:val="20"/>
          <w:szCs w:val="20"/>
        </w:rPr>
        <w:t xml:space="preserve"> all</w:t>
      </w:r>
      <w:r w:rsidR="00784B86">
        <w:rPr>
          <w:rFonts w:ascii="Arial" w:hAnsi="Arial" w:cs="Arial"/>
          <w:sz w:val="20"/>
          <w:szCs w:val="20"/>
        </w:rPr>
        <w:t xml:space="preserve"> heavy vehicles, </w:t>
      </w:r>
      <w:r w:rsidR="00374216">
        <w:rPr>
          <w:rFonts w:ascii="Arial" w:hAnsi="Arial" w:cs="Arial"/>
          <w:sz w:val="20"/>
          <w:szCs w:val="20"/>
        </w:rPr>
        <w:t xml:space="preserve">and </w:t>
      </w:r>
      <w:r w:rsidR="00784B86">
        <w:rPr>
          <w:rFonts w:ascii="Arial" w:hAnsi="Arial" w:cs="Arial"/>
          <w:sz w:val="20"/>
          <w:szCs w:val="20"/>
        </w:rPr>
        <w:t>CRRP</w:t>
      </w:r>
      <w:r w:rsidR="00D40DEC">
        <w:rPr>
          <w:rFonts w:ascii="Arial" w:hAnsi="Arial" w:cs="Arial"/>
          <w:sz w:val="20"/>
          <w:szCs w:val="20"/>
        </w:rPr>
        <w:t xml:space="preserve"> have yet to specify who will pay for installation, updating and retrofitting</w:t>
      </w:r>
      <w:r w:rsidR="00374216">
        <w:rPr>
          <w:rFonts w:ascii="Arial" w:hAnsi="Arial" w:cs="Arial"/>
          <w:sz w:val="20"/>
          <w:szCs w:val="20"/>
        </w:rPr>
        <w:t>. I</w:t>
      </w:r>
      <w:r w:rsidR="00D40DEC">
        <w:rPr>
          <w:rFonts w:ascii="Arial" w:hAnsi="Arial" w:cs="Arial"/>
          <w:sz w:val="20"/>
          <w:szCs w:val="20"/>
        </w:rPr>
        <w:t>t</w:t>
      </w:r>
      <w:r w:rsidR="00374216">
        <w:rPr>
          <w:rFonts w:ascii="Arial" w:hAnsi="Arial" w:cs="Arial"/>
          <w:sz w:val="20"/>
          <w:szCs w:val="20"/>
        </w:rPr>
        <w:t xml:space="preserve"> is</w:t>
      </w:r>
      <w:r w:rsidR="00D40DEC">
        <w:rPr>
          <w:rFonts w:ascii="Arial" w:hAnsi="Arial" w:cs="Arial"/>
          <w:sz w:val="20"/>
          <w:szCs w:val="20"/>
        </w:rPr>
        <w:t xml:space="preserve"> set to cost thousands of dollar</w:t>
      </w:r>
      <w:r w:rsidR="00544362">
        <w:rPr>
          <w:rFonts w:ascii="Arial" w:hAnsi="Arial" w:cs="Arial"/>
          <w:sz w:val="20"/>
          <w:szCs w:val="20"/>
        </w:rPr>
        <w:t xml:space="preserve">s per operator. MDL charging will </w:t>
      </w:r>
      <w:r w:rsidR="00D40DEC">
        <w:rPr>
          <w:rFonts w:ascii="Arial" w:hAnsi="Arial" w:cs="Arial"/>
          <w:sz w:val="20"/>
          <w:szCs w:val="20"/>
        </w:rPr>
        <w:t xml:space="preserve">disadvantage rural Australia as the cost of using rural roads </w:t>
      </w:r>
      <w:r w:rsidR="00374216">
        <w:rPr>
          <w:rFonts w:ascii="Arial" w:hAnsi="Arial" w:cs="Arial"/>
          <w:sz w:val="20"/>
          <w:szCs w:val="20"/>
        </w:rPr>
        <w:t xml:space="preserve">will </w:t>
      </w:r>
      <w:r w:rsidR="00D40DEC">
        <w:rPr>
          <w:rFonts w:ascii="Arial" w:hAnsi="Arial" w:cs="Arial"/>
          <w:sz w:val="20"/>
          <w:szCs w:val="20"/>
        </w:rPr>
        <w:t xml:space="preserve">incur higher maintenance costs. Concerns have been raised by farming organisations </w:t>
      </w:r>
      <w:r w:rsidR="00583EC7">
        <w:rPr>
          <w:rFonts w:ascii="Arial" w:hAnsi="Arial" w:cs="Arial"/>
          <w:sz w:val="20"/>
          <w:szCs w:val="20"/>
        </w:rPr>
        <w:t xml:space="preserve">and other industries </w:t>
      </w:r>
      <w:r w:rsidR="00D40DEC">
        <w:rPr>
          <w:rFonts w:ascii="Arial" w:hAnsi="Arial" w:cs="Arial"/>
          <w:sz w:val="20"/>
          <w:szCs w:val="20"/>
        </w:rPr>
        <w:t xml:space="preserve">over this effect. </w:t>
      </w:r>
      <w:r w:rsidR="00374216">
        <w:rPr>
          <w:rFonts w:ascii="Arial" w:hAnsi="Arial" w:cs="Arial"/>
          <w:sz w:val="20"/>
          <w:szCs w:val="20"/>
        </w:rPr>
        <w:t xml:space="preserve">The </w:t>
      </w:r>
      <w:r w:rsidR="00D40DEC">
        <w:rPr>
          <w:rFonts w:ascii="Arial" w:hAnsi="Arial" w:cs="Arial"/>
          <w:sz w:val="20"/>
          <w:szCs w:val="20"/>
        </w:rPr>
        <w:t xml:space="preserve">CRRP </w:t>
      </w:r>
      <w:r w:rsidR="00374216">
        <w:rPr>
          <w:rFonts w:ascii="Arial" w:hAnsi="Arial" w:cs="Arial"/>
          <w:sz w:val="20"/>
          <w:szCs w:val="20"/>
        </w:rPr>
        <w:t xml:space="preserve">process </w:t>
      </w:r>
      <w:r w:rsidR="00D40DEC">
        <w:rPr>
          <w:rFonts w:ascii="Arial" w:hAnsi="Arial" w:cs="Arial"/>
          <w:sz w:val="20"/>
          <w:szCs w:val="20"/>
        </w:rPr>
        <w:t xml:space="preserve">is a perfect example of how regulation can stunt the capability of the country by implementing charging that fails to support productivity. </w:t>
      </w:r>
    </w:p>
    <w:p w:rsidR="00D40DEC" w:rsidRDefault="00D40DEC" w:rsidP="00C04619">
      <w:pPr>
        <w:rPr>
          <w:rFonts w:ascii="Arial" w:hAnsi="Arial" w:cs="Arial"/>
          <w:sz w:val="20"/>
          <w:szCs w:val="20"/>
        </w:rPr>
      </w:pPr>
    </w:p>
    <w:p w:rsidR="007D0E21" w:rsidRPr="00583EC7" w:rsidRDefault="00583EC7" w:rsidP="00C04619">
      <w:pPr>
        <w:rPr>
          <w:rFonts w:ascii="Arial" w:hAnsi="Arial" w:cs="Arial"/>
          <w:sz w:val="20"/>
          <w:szCs w:val="20"/>
        </w:rPr>
      </w:pPr>
      <w:r w:rsidRPr="00583EC7">
        <w:rPr>
          <w:rFonts w:ascii="Arial" w:hAnsi="Arial" w:cs="Arial"/>
          <w:sz w:val="20"/>
          <w:szCs w:val="20"/>
        </w:rPr>
        <w:t>T</w:t>
      </w:r>
      <w:r w:rsidR="00D40DEC" w:rsidRPr="00583EC7">
        <w:rPr>
          <w:rFonts w:ascii="Arial" w:hAnsi="Arial" w:cs="Arial"/>
          <w:sz w:val="20"/>
          <w:szCs w:val="20"/>
        </w:rPr>
        <w:t>he COAG principle of no-cross subsidisation in heavy vehicle</w:t>
      </w:r>
      <w:r w:rsidR="003D6FA8" w:rsidRPr="00583EC7">
        <w:rPr>
          <w:rFonts w:ascii="Arial" w:hAnsi="Arial" w:cs="Arial"/>
          <w:sz w:val="20"/>
          <w:szCs w:val="20"/>
        </w:rPr>
        <w:t xml:space="preserve"> classes has le</w:t>
      </w:r>
      <w:r w:rsidR="00D40DEC" w:rsidRPr="00583EC7">
        <w:rPr>
          <w:rFonts w:ascii="Arial" w:hAnsi="Arial" w:cs="Arial"/>
          <w:sz w:val="20"/>
          <w:szCs w:val="20"/>
        </w:rPr>
        <w:t>d to the A-trailer</w:t>
      </w:r>
      <w:r w:rsidR="003D6FA8" w:rsidRPr="00583EC7">
        <w:rPr>
          <w:rFonts w:ascii="Arial" w:hAnsi="Arial" w:cs="Arial"/>
          <w:sz w:val="20"/>
          <w:szCs w:val="20"/>
        </w:rPr>
        <w:t xml:space="preserve"> registration fee,</w:t>
      </w:r>
      <w:r w:rsidR="00D40DEC" w:rsidRPr="00583EC7">
        <w:rPr>
          <w:rFonts w:ascii="Arial" w:hAnsi="Arial" w:cs="Arial"/>
          <w:sz w:val="20"/>
          <w:szCs w:val="20"/>
        </w:rPr>
        <w:t xml:space="preserve"> which is a main co</w:t>
      </w:r>
      <w:r w:rsidR="008F3744" w:rsidRPr="00583EC7">
        <w:rPr>
          <w:rFonts w:ascii="Arial" w:hAnsi="Arial" w:cs="Arial"/>
          <w:sz w:val="20"/>
          <w:szCs w:val="20"/>
        </w:rPr>
        <w:t>mponent of B-doubles, B-triples and</w:t>
      </w:r>
      <w:r w:rsidR="00D40DEC" w:rsidRPr="00583EC7">
        <w:rPr>
          <w:rFonts w:ascii="Arial" w:hAnsi="Arial" w:cs="Arial"/>
          <w:sz w:val="20"/>
          <w:szCs w:val="20"/>
        </w:rPr>
        <w:t xml:space="preserve"> BAB quads</w:t>
      </w:r>
      <w:r w:rsidR="00835DE7">
        <w:rPr>
          <w:rFonts w:ascii="Arial" w:hAnsi="Arial" w:cs="Arial"/>
          <w:sz w:val="20"/>
          <w:szCs w:val="20"/>
        </w:rPr>
        <w:t>,</w:t>
      </w:r>
      <w:r w:rsidR="008F3744" w:rsidRPr="00583EC7">
        <w:rPr>
          <w:rFonts w:ascii="Arial" w:hAnsi="Arial" w:cs="Arial"/>
          <w:sz w:val="20"/>
          <w:szCs w:val="20"/>
        </w:rPr>
        <w:t xml:space="preserve"> rising roughly by $5000 per trailer</w:t>
      </w:r>
      <w:r w:rsidRPr="00583EC7">
        <w:rPr>
          <w:rFonts w:ascii="Arial" w:hAnsi="Arial" w:cs="Arial"/>
          <w:sz w:val="20"/>
          <w:szCs w:val="20"/>
        </w:rPr>
        <w:t xml:space="preserve"> to reflect this principle</w:t>
      </w:r>
      <w:r w:rsidR="008F3744" w:rsidRPr="00583EC7">
        <w:rPr>
          <w:rFonts w:ascii="Arial" w:hAnsi="Arial" w:cs="Arial"/>
          <w:sz w:val="20"/>
          <w:szCs w:val="20"/>
        </w:rPr>
        <w:t>. The effects on the industry have been debilitating</w:t>
      </w:r>
      <w:r w:rsidR="00F06E9C">
        <w:rPr>
          <w:rFonts w:ascii="Arial" w:hAnsi="Arial" w:cs="Arial"/>
          <w:sz w:val="20"/>
          <w:szCs w:val="20"/>
        </w:rPr>
        <w:t>,</w:t>
      </w:r>
      <w:r w:rsidR="008F3744" w:rsidRPr="00583EC7">
        <w:rPr>
          <w:rFonts w:ascii="Arial" w:hAnsi="Arial" w:cs="Arial"/>
          <w:sz w:val="20"/>
          <w:szCs w:val="20"/>
        </w:rPr>
        <w:t xml:space="preserve"> with the ATA and other industry representatives working closely with the NTC to solve the problem the A-trailer </w:t>
      </w:r>
      <w:r w:rsidRPr="00583EC7">
        <w:rPr>
          <w:rFonts w:ascii="Arial" w:hAnsi="Arial" w:cs="Arial"/>
          <w:sz w:val="20"/>
          <w:szCs w:val="20"/>
        </w:rPr>
        <w:t xml:space="preserve">registration fee </w:t>
      </w:r>
      <w:r w:rsidR="00905A43">
        <w:rPr>
          <w:rFonts w:ascii="Arial" w:hAnsi="Arial" w:cs="Arial"/>
          <w:sz w:val="20"/>
          <w:szCs w:val="20"/>
        </w:rPr>
        <w:t xml:space="preserve">increase has caused. </w:t>
      </w:r>
      <w:r w:rsidR="00374216">
        <w:rPr>
          <w:rFonts w:ascii="Arial" w:hAnsi="Arial" w:cs="Arial"/>
          <w:sz w:val="20"/>
          <w:szCs w:val="20"/>
        </w:rPr>
        <w:t>Examples</w:t>
      </w:r>
      <w:r w:rsidR="008F3744" w:rsidRPr="00583EC7">
        <w:rPr>
          <w:rFonts w:ascii="Arial" w:hAnsi="Arial" w:cs="Arial"/>
          <w:sz w:val="20"/>
          <w:szCs w:val="20"/>
        </w:rPr>
        <w:t xml:space="preserve"> such as A-trailers</w:t>
      </w:r>
      <w:r w:rsidR="00374216">
        <w:rPr>
          <w:rFonts w:ascii="Arial" w:hAnsi="Arial" w:cs="Arial"/>
          <w:sz w:val="20"/>
          <w:szCs w:val="20"/>
        </w:rPr>
        <w:t xml:space="preserve"> being</w:t>
      </w:r>
      <w:r w:rsidR="008F3744" w:rsidRPr="00583EC7">
        <w:rPr>
          <w:rFonts w:ascii="Arial" w:hAnsi="Arial" w:cs="Arial"/>
          <w:sz w:val="20"/>
          <w:szCs w:val="20"/>
        </w:rPr>
        <w:t xml:space="preserve"> r</w:t>
      </w:r>
      <w:r w:rsidR="00374216">
        <w:rPr>
          <w:rFonts w:ascii="Arial" w:hAnsi="Arial" w:cs="Arial"/>
          <w:sz w:val="20"/>
          <w:szCs w:val="20"/>
        </w:rPr>
        <w:t>egistered</w:t>
      </w:r>
      <w:r w:rsidR="001817F5">
        <w:rPr>
          <w:rFonts w:ascii="Arial" w:hAnsi="Arial" w:cs="Arial"/>
          <w:sz w:val="20"/>
          <w:szCs w:val="20"/>
        </w:rPr>
        <w:t xml:space="preserve"> as semi trailers (a third</w:t>
      </w:r>
      <w:r w:rsidR="008F3744" w:rsidRPr="00583EC7">
        <w:rPr>
          <w:rFonts w:ascii="Arial" w:hAnsi="Arial" w:cs="Arial"/>
          <w:sz w:val="20"/>
          <w:szCs w:val="20"/>
        </w:rPr>
        <w:t xml:space="preserve"> according to the NTC),</w:t>
      </w:r>
      <w:r w:rsidR="00374216">
        <w:rPr>
          <w:rFonts w:ascii="Arial" w:hAnsi="Arial" w:cs="Arial"/>
          <w:sz w:val="20"/>
          <w:szCs w:val="20"/>
        </w:rPr>
        <w:t xml:space="preserve"> operators struggling to pay the exorbitant </w:t>
      </w:r>
      <w:r w:rsidR="00374216" w:rsidRPr="00583EC7">
        <w:rPr>
          <w:rFonts w:ascii="Arial" w:hAnsi="Arial" w:cs="Arial"/>
          <w:sz w:val="20"/>
          <w:szCs w:val="20"/>
        </w:rPr>
        <w:t>registration</w:t>
      </w:r>
      <w:r w:rsidR="008F3744" w:rsidRPr="00583EC7">
        <w:rPr>
          <w:rFonts w:ascii="Arial" w:hAnsi="Arial" w:cs="Arial"/>
          <w:sz w:val="20"/>
          <w:szCs w:val="20"/>
        </w:rPr>
        <w:t xml:space="preserve"> and many operators simply having to use less productive heavy vehicles</w:t>
      </w:r>
      <w:r w:rsidR="00905A43">
        <w:rPr>
          <w:rFonts w:ascii="Arial" w:hAnsi="Arial" w:cs="Arial"/>
          <w:sz w:val="20"/>
          <w:szCs w:val="20"/>
        </w:rPr>
        <w:t xml:space="preserve"> have become apparent</w:t>
      </w:r>
      <w:r w:rsidR="008F3744" w:rsidRPr="00583EC7">
        <w:rPr>
          <w:rFonts w:ascii="Arial" w:hAnsi="Arial" w:cs="Arial"/>
          <w:sz w:val="20"/>
          <w:szCs w:val="20"/>
        </w:rPr>
        <w:t xml:space="preserve">. There are </w:t>
      </w:r>
      <w:r w:rsidR="00374216">
        <w:rPr>
          <w:rFonts w:ascii="Arial" w:hAnsi="Arial" w:cs="Arial"/>
          <w:sz w:val="20"/>
          <w:szCs w:val="20"/>
        </w:rPr>
        <w:t xml:space="preserve">considerable safety issues raised by the industries </w:t>
      </w:r>
      <w:r w:rsidR="00374216" w:rsidRPr="00583EC7">
        <w:rPr>
          <w:rFonts w:ascii="Arial" w:hAnsi="Arial" w:cs="Arial"/>
          <w:sz w:val="20"/>
          <w:szCs w:val="20"/>
        </w:rPr>
        <w:t>moving</w:t>
      </w:r>
      <w:r w:rsidR="008F3744" w:rsidRPr="00583EC7">
        <w:rPr>
          <w:rFonts w:ascii="Arial" w:hAnsi="Arial" w:cs="Arial"/>
          <w:sz w:val="20"/>
          <w:szCs w:val="20"/>
        </w:rPr>
        <w:t xml:space="preserve"> away from </w:t>
      </w:r>
      <w:r w:rsidR="003D6FA8" w:rsidRPr="00583EC7">
        <w:rPr>
          <w:rFonts w:ascii="Arial" w:hAnsi="Arial" w:cs="Arial"/>
          <w:sz w:val="20"/>
          <w:szCs w:val="20"/>
        </w:rPr>
        <w:t>longer</w:t>
      </w:r>
      <w:r w:rsidR="00E205B3">
        <w:rPr>
          <w:rFonts w:ascii="Arial" w:hAnsi="Arial" w:cs="Arial"/>
          <w:sz w:val="20"/>
          <w:szCs w:val="20"/>
        </w:rPr>
        <w:t>,</w:t>
      </w:r>
      <w:r w:rsidR="003D6FA8" w:rsidRPr="00583EC7">
        <w:rPr>
          <w:rFonts w:ascii="Arial" w:hAnsi="Arial" w:cs="Arial"/>
          <w:sz w:val="20"/>
          <w:szCs w:val="20"/>
        </w:rPr>
        <w:t xml:space="preserve"> </w:t>
      </w:r>
      <w:r w:rsidR="008F3744" w:rsidRPr="00583EC7">
        <w:rPr>
          <w:rFonts w:ascii="Arial" w:hAnsi="Arial" w:cs="Arial"/>
          <w:sz w:val="20"/>
          <w:szCs w:val="20"/>
        </w:rPr>
        <w:t>safer</w:t>
      </w:r>
      <w:r w:rsidR="003D6FA8" w:rsidRPr="00583EC7">
        <w:rPr>
          <w:rFonts w:ascii="Arial" w:hAnsi="Arial" w:cs="Arial"/>
          <w:sz w:val="20"/>
          <w:szCs w:val="20"/>
        </w:rPr>
        <w:t>, more productive</w:t>
      </w:r>
      <w:r w:rsidR="008F3744" w:rsidRPr="00583EC7">
        <w:rPr>
          <w:rFonts w:ascii="Arial" w:hAnsi="Arial" w:cs="Arial"/>
          <w:sz w:val="20"/>
          <w:szCs w:val="20"/>
        </w:rPr>
        <w:t xml:space="preserve"> combinations</w:t>
      </w:r>
      <w:r w:rsidR="00E205B3">
        <w:rPr>
          <w:rFonts w:ascii="Arial" w:hAnsi="Arial" w:cs="Arial"/>
          <w:sz w:val="20"/>
          <w:szCs w:val="20"/>
        </w:rPr>
        <w:t>,</w:t>
      </w:r>
      <w:r w:rsidR="008F3744" w:rsidRPr="00583EC7">
        <w:rPr>
          <w:rFonts w:ascii="Arial" w:hAnsi="Arial" w:cs="Arial"/>
          <w:sz w:val="20"/>
          <w:szCs w:val="20"/>
        </w:rPr>
        <w:t xml:space="preserve"> and the future </w:t>
      </w:r>
      <w:r w:rsidR="003D6FA8" w:rsidRPr="00583EC7">
        <w:rPr>
          <w:rFonts w:ascii="Arial" w:hAnsi="Arial" w:cs="Arial"/>
          <w:sz w:val="20"/>
          <w:szCs w:val="20"/>
        </w:rPr>
        <w:t>of the industry if the crisis continues</w:t>
      </w:r>
      <w:r w:rsidR="008F3744" w:rsidRPr="00583EC7">
        <w:rPr>
          <w:rFonts w:ascii="Arial" w:hAnsi="Arial" w:cs="Arial"/>
          <w:sz w:val="20"/>
          <w:szCs w:val="20"/>
        </w:rPr>
        <w:t xml:space="preserve">. </w:t>
      </w:r>
      <w:r w:rsidR="003D6FA8" w:rsidRPr="00583EC7">
        <w:rPr>
          <w:rFonts w:ascii="Arial" w:hAnsi="Arial" w:cs="Arial"/>
          <w:sz w:val="20"/>
          <w:szCs w:val="20"/>
        </w:rPr>
        <w:t>One of the main ways which has been suggested</w:t>
      </w:r>
      <w:r w:rsidR="008F3744" w:rsidRPr="00583EC7">
        <w:rPr>
          <w:rFonts w:ascii="Arial" w:hAnsi="Arial" w:cs="Arial"/>
          <w:sz w:val="20"/>
          <w:szCs w:val="20"/>
        </w:rPr>
        <w:t xml:space="preserve"> to solve the problem is the ATA per axle charge</w:t>
      </w:r>
      <w:r w:rsidR="00F06E9C">
        <w:rPr>
          <w:rFonts w:ascii="Arial" w:hAnsi="Arial" w:cs="Arial"/>
          <w:sz w:val="20"/>
          <w:szCs w:val="20"/>
        </w:rPr>
        <w:t>,</w:t>
      </w:r>
      <w:r w:rsidR="008F3744" w:rsidRPr="00583EC7">
        <w:rPr>
          <w:rFonts w:ascii="Arial" w:hAnsi="Arial" w:cs="Arial"/>
          <w:sz w:val="20"/>
          <w:szCs w:val="20"/>
        </w:rPr>
        <w:t xml:space="preserve"> which </w:t>
      </w:r>
      <w:r w:rsidR="00A44D65">
        <w:rPr>
          <w:rFonts w:ascii="Arial" w:hAnsi="Arial" w:cs="Arial"/>
          <w:sz w:val="20"/>
          <w:szCs w:val="20"/>
        </w:rPr>
        <w:t>may</w:t>
      </w:r>
      <w:r w:rsidR="008F3744" w:rsidRPr="00583EC7">
        <w:rPr>
          <w:rFonts w:ascii="Arial" w:hAnsi="Arial" w:cs="Arial"/>
          <w:sz w:val="20"/>
          <w:szCs w:val="20"/>
        </w:rPr>
        <w:t xml:space="preserve"> use cross subsidisation between trailers</w:t>
      </w:r>
      <w:r w:rsidR="00A44D65">
        <w:rPr>
          <w:rFonts w:ascii="Arial" w:hAnsi="Arial" w:cs="Arial"/>
          <w:sz w:val="20"/>
          <w:szCs w:val="20"/>
        </w:rPr>
        <w:t>,</w:t>
      </w:r>
      <w:r w:rsidR="008F3744" w:rsidRPr="00583EC7">
        <w:rPr>
          <w:rFonts w:ascii="Arial" w:hAnsi="Arial" w:cs="Arial"/>
          <w:sz w:val="20"/>
          <w:szCs w:val="20"/>
        </w:rPr>
        <w:t xml:space="preserve"> but would avert a disaster for the industry and for the productivity of the nation. </w:t>
      </w:r>
      <w:r w:rsidR="007D0E21" w:rsidRPr="00583EC7">
        <w:rPr>
          <w:rFonts w:ascii="Arial" w:hAnsi="Arial" w:cs="Arial"/>
          <w:sz w:val="20"/>
          <w:szCs w:val="20"/>
        </w:rPr>
        <w:t>Therefore</w:t>
      </w:r>
      <w:r w:rsidR="00F06E9C">
        <w:rPr>
          <w:rFonts w:ascii="Arial" w:hAnsi="Arial" w:cs="Arial"/>
          <w:sz w:val="20"/>
          <w:szCs w:val="20"/>
        </w:rPr>
        <w:t>,</w:t>
      </w:r>
      <w:r w:rsidR="007D0E21" w:rsidRPr="00583EC7">
        <w:rPr>
          <w:rFonts w:ascii="Arial" w:hAnsi="Arial" w:cs="Arial"/>
          <w:sz w:val="20"/>
          <w:szCs w:val="20"/>
        </w:rPr>
        <w:t xml:space="preserve"> the principal of no cross-subsidisation is standing in the way of promoting </w:t>
      </w:r>
      <w:r w:rsidRPr="00583EC7">
        <w:rPr>
          <w:rFonts w:ascii="Arial" w:hAnsi="Arial" w:cs="Arial"/>
          <w:sz w:val="20"/>
          <w:szCs w:val="20"/>
        </w:rPr>
        <w:t>efficiency</w:t>
      </w:r>
      <w:r w:rsidR="007D0E21" w:rsidRPr="00583EC7">
        <w:rPr>
          <w:rFonts w:ascii="Arial" w:hAnsi="Arial" w:cs="Arial"/>
          <w:sz w:val="20"/>
          <w:szCs w:val="20"/>
        </w:rPr>
        <w:t xml:space="preserve"> in the heavy vehicle industry.</w:t>
      </w:r>
    </w:p>
    <w:p w:rsidR="00840E08" w:rsidRPr="00050881" w:rsidRDefault="00840E08" w:rsidP="00C04619">
      <w:pPr>
        <w:rPr>
          <w:rFonts w:ascii="Arial" w:hAnsi="Arial" w:cs="Arial"/>
          <w:sz w:val="20"/>
          <w:szCs w:val="20"/>
        </w:rPr>
      </w:pPr>
    </w:p>
    <w:p w:rsidR="008E3CD2" w:rsidRPr="00050881" w:rsidRDefault="008E3CD2" w:rsidP="00C04619">
      <w:pPr>
        <w:pStyle w:val="RecommendationStyle"/>
        <w:tabs>
          <w:tab w:val="clear" w:pos="1192"/>
        </w:tabs>
        <w:spacing w:before="0" w:after="0"/>
        <w:rPr>
          <w:color w:val="000000" w:themeColor="text1"/>
        </w:rPr>
      </w:pPr>
      <w:bookmarkStart w:id="107" w:name="_Toc304970879"/>
      <w:bookmarkStart w:id="108" w:name="_Toc305498109"/>
      <w:bookmarkStart w:id="109" w:name="_Toc305498168"/>
      <w:bookmarkStart w:id="110" w:name="_Toc305498220"/>
      <w:bookmarkStart w:id="111" w:name="_Toc305498337"/>
      <w:bookmarkStart w:id="112" w:name="_Toc306622938"/>
      <w:bookmarkStart w:id="113" w:name="_Toc306690323"/>
      <w:bookmarkStart w:id="114" w:name="_Toc306699147"/>
      <w:bookmarkStart w:id="115" w:name="_Toc306879733"/>
      <w:bookmarkStart w:id="116" w:name="_Toc306883073"/>
      <w:bookmarkStart w:id="117" w:name="_Toc306890744"/>
      <w:bookmarkStart w:id="118" w:name="_Toc306890762"/>
      <w:bookmarkStart w:id="119" w:name="_Toc306890876"/>
      <w:bookmarkStart w:id="120" w:name="_Toc306891307"/>
      <w:bookmarkStart w:id="121" w:name="_Toc306950026"/>
      <w:bookmarkStart w:id="122" w:name="_Toc306950161"/>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C81D29" w:rsidRDefault="00C81D29" w:rsidP="00C04619">
      <w:pPr>
        <w:pStyle w:val="RecommendationStyle"/>
        <w:numPr>
          <w:ilvl w:val="0"/>
          <w:numId w:val="0"/>
        </w:numPr>
        <w:spacing w:before="0" w:after="0"/>
        <w:rPr>
          <w:color w:val="000000" w:themeColor="text1"/>
        </w:rPr>
      </w:pPr>
      <w:bookmarkStart w:id="123" w:name="_Toc304815341"/>
      <w:bookmarkStart w:id="124" w:name="_Toc304815838"/>
      <w:bookmarkStart w:id="125" w:name="_Toc304818327"/>
      <w:bookmarkStart w:id="126" w:name="_Toc304884380"/>
      <w:bookmarkStart w:id="127" w:name="_Toc304970880"/>
      <w:bookmarkStart w:id="128" w:name="_Toc305498110"/>
      <w:bookmarkStart w:id="129" w:name="_Toc305498169"/>
      <w:bookmarkStart w:id="130" w:name="_Toc305498221"/>
      <w:bookmarkStart w:id="131" w:name="_Toc305498338"/>
    </w:p>
    <w:p w:rsidR="008E3CD2" w:rsidRDefault="008E3CD2" w:rsidP="00C04619">
      <w:pPr>
        <w:pStyle w:val="RecommendationStyle"/>
        <w:numPr>
          <w:ilvl w:val="0"/>
          <w:numId w:val="0"/>
        </w:numPr>
        <w:spacing w:before="0" w:after="0"/>
        <w:rPr>
          <w:color w:val="000000" w:themeColor="text1"/>
        </w:rPr>
      </w:pPr>
      <w:bookmarkStart w:id="132" w:name="_Toc306622939"/>
      <w:bookmarkStart w:id="133" w:name="_Toc306690324"/>
      <w:bookmarkStart w:id="134" w:name="_Toc306699148"/>
      <w:bookmarkStart w:id="135" w:name="_Toc306879734"/>
      <w:bookmarkStart w:id="136" w:name="_Toc306883074"/>
      <w:bookmarkStart w:id="137" w:name="_Toc306890745"/>
      <w:bookmarkStart w:id="138" w:name="_Toc306890763"/>
      <w:bookmarkStart w:id="139" w:name="_Toc306890877"/>
      <w:bookmarkStart w:id="140" w:name="_Toc306891308"/>
      <w:bookmarkStart w:id="141" w:name="_Toc306950027"/>
      <w:bookmarkStart w:id="142" w:name="_Toc306950162"/>
      <w:r w:rsidRPr="00050881">
        <w:rPr>
          <w:color w:val="000000" w:themeColor="text1"/>
        </w:rPr>
        <w:t xml:space="preserve">The ATA recommends local government </w:t>
      </w:r>
      <w:r w:rsidR="00A44D65">
        <w:rPr>
          <w:color w:val="000000" w:themeColor="text1"/>
        </w:rPr>
        <w:t xml:space="preserve">decisions which seek </w:t>
      </w:r>
      <w:r w:rsidRPr="00050881">
        <w:rPr>
          <w:color w:val="000000" w:themeColor="text1"/>
        </w:rPr>
        <w:t xml:space="preserve">to restrict productivity should be </w:t>
      </w:r>
      <w:r w:rsidR="00A44D65">
        <w:rPr>
          <w:color w:val="000000" w:themeColor="text1"/>
        </w:rPr>
        <w:t>reviewed and, where indentified, reversed</w:t>
      </w:r>
      <w:r w:rsidRPr="00050881">
        <w:rPr>
          <w:color w:val="000000" w:themeColor="text1"/>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50881">
        <w:rPr>
          <w:color w:val="000000" w:themeColor="text1"/>
        </w:rPr>
        <w:t xml:space="preserve"> </w:t>
      </w:r>
    </w:p>
    <w:p w:rsidR="002A237B" w:rsidRDefault="002A237B" w:rsidP="00C04619">
      <w:pPr>
        <w:pStyle w:val="RecommendationStyle"/>
      </w:pPr>
      <w:bookmarkStart w:id="143" w:name="_Toc306890746"/>
      <w:bookmarkStart w:id="144" w:name="_Toc306890764"/>
      <w:bookmarkStart w:id="145" w:name="_Toc306890878"/>
      <w:bookmarkStart w:id="146" w:name="_Toc306891309"/>
      <w:bookmarkStart w:id="147" w:name="_Toc306950028"/>
      <w:bookmarkStart w:id="148" w:name="_Toc306950163"/>
      <w:bookmarkEnd w:id="143"/>
      <w:bookmarkEnd w:id="144"/>
      <w:bookmarkEnd w:id="145"/>
      <w:bookmarkEnd w:id="146"/>
      <w:bookmarkEnd w:id="147"/>
      <w:bookmarkEnd w:id="148"/>
    </w:p>
    <w:p w:rsidR="002A237B" w:rsidRPr="00905A43" w:rsidRDefault="00835DE7" w:rsidP="00C04619">
      <w:pPr>
        <w:pStyle w:val="RecommendationStyle"/>
        <w:numPr>
          <w:ilvl w:val="0"/>
          <w:numId w:val="0"/>
        </w:numPr>
        <w:spacing w:before="0" w:after="0"/>
        <w:rPr>
          <w:color w:val="000000" w:themeColor="text1"/>
        </w:rPr>
      </w:pPr>
      <w:bookmarkStart w:id="149" w:name="_Toc306622941"/>
      <w:bookmarkStart w:id="150" w:name="_Toc306690326"/>
      <w:bookmarkStart w:id="151" w:name="_Toc306699150"/>
      <w:bookmarkStart w:id="152" w:name="_Toc306879736"/>
      <w:bookmarkStart w:id="153" w:name="_Toc306883076"/>
      <w:bookmarkStart w:id="154" w:name="_Toc306890747"/>
      <w:bookmarkStart w:id="155" w:name="_Toc306890765"/>
      <w:bookmarkStart w:id="156" w:name="_Toc306890879"/>
      <w:bookmarkStart w:id="157" w:name="_Toc306891310"/>
      <w:bookmarkStart w:id="158" w:name="_Toc306950029"/>
      <w:bookmarkStart w:id="159" w:name="_Toc306950164"/>
      <w:r>
        <w:t xml:space="preserve">We recommend the </w:t>
      </w:r>
      <w:r w:rsidRPr="00403AB5">
        <w:t>BRCWG</w:t>
      </w:r>
      <w:r w:rsidR="006B4380">
        <w:t xml:space="preserve"> </w:t>
      </w:r>
      <w:r>
        <w:t xml:space="preserve">note </w:t>
      </w:r>
      <w:r w:rsidRPr="00905A43">
        <w:t>C</w:t>
      </w:r>
      <w:r w:rsidR="00151950">
        <w:t>OAG should not progress</w:t>
      </w:r>
      <w:r>
        <w:t xml:space="preserve"> with mass distance location pricing</w:t>
      </w:r>
      <w:r w:rsidR="002A237B" w:rsidRPr="00905A43">
        <w:rPr>
          <w:color w:val="000000" w:themeColor="text1"/>
        </w:rPr>
        <w:t>.</w:t>
      </w:r>
      <w:bookmarkEnd w:id="149"/>
      <w:bookmarkEnd w:id="150"/>
      <w:bookmarkEnd w:id="151"/>
      <w:bookmarkEnd w:id="152"/>
      <w:bookmarkEnd w:id="153"/>
      <w:bookmarkEnd w:id="154"/>
      <w:bookmarkEnd w:id="155"/>
      <w:bookmarkEnd w:id="156"/>
      <w:bookmarkEnd w:id="157"/>
      <w:bookmarkEnd w:id="158"/>
      <w:bookmarkEnd w:id="159"/>
      <w:r w:rsidR="002A237B" w:rsidRPr="00905A43">
        <w:rPr>
          <w:color w:val="000000" w:themeColor="text1"/>
        </w:rPr>
        <w:t xml:space="preserve"> </w:t>
      </w:r>
    </w:p>
    <w:p w:rsidR="00C81D29" w:rsidRDefault="00C81D29" w:rsidP="00C04619">
      <w:pPr>
        <w:pStyle w:val="RecommendationStyle"/>
        <w:numPr>
          <w:ilvl w:val="0"/>
          <w:numId w:val="0"/>
        </w:numPr>
        <w:spacing w:before="0" w:after="0"/>
        <w:rPr>
          <w:color w:val="000000" w:themeColor="text1"/>
          <w:u w:val="single"/>
        </w:rPr>
      </w:pPr>
    </w:p>
    <w:p w:rsidR="00905A43" w:rsidRDefault="00905A43" w:rsidP="00C04619">
      <w:pPr>
        <w:pStyle w:val="RecommendationStyle"/>
        <w:tabs>
          <w:tab w:val="clear" w:pos="1192"/>
        </w:tabs>
        <w:spacing w:before="0" w:after="0"/>
        <w:rPr>
          <w:color w:val="000000" w:themeColor="text1"/>
        </w:rPr>
      </w:pPr>
      <w:bookmarkStart w:id="160" w:name="_Toc306622940"/>
      <w:bookmarkStart w:id="161" w:name="_Toc306690325"/>
      <w:bookmarkStart w:id="162" w:name="_Toc306699149"/>
      <w:bookmarkStart w:id="163" w:name="_Toc306879735"/>
      <w:bookmarkStart w:id="164" w:name="_Toc306883075"/>
      <w:bookmarkStart w:id="165" w:name="_Toc306890748"/>
      <w:bookmarkStart w:id="166" w:name="_Toc306890766"/>
      <w:bookmarkStart w:id="167" w:name="_Toc306890880"/>
      <w:bookmarkStart w:id="168" w:name="_Toc306891311"/>
      <w:bookmarkStart w:id="169" w:name="_Toc306950030"/>
      <w:bookmarkStart w:id="170" w:name="_Toc306950165"/>
      <w:bookmarkEnd w:id="160"/>
      <w:bookmarkEnd w:id="161"/>
      <w:bookmarkEnd w:id="162"/>
      <w:bookmarkEnd w:id="163"/>
      <w:bookmarkEnd w:id="164"/>
      <w:bookmarkEnd w:id="165"/>
      <w:bookmarkEnd w:id="166"/>
      <w:bookmarkEnd w:id="167"/>
      <w:bookmarkEnd w:id="168"/>
      <w:bookmarkEnd w:id="169"/>
      <w:bookmarkEnd w:id="170"/>
    </w:p>
    <w:p w:rsidR="002A237B" w:rsidRDefault="002A237B" w:rsidP="00C04619">
      <w:pPr>
        <w:pStyle w:val="RecommendationStyle"/>
        <w:numPr>
          <w:ilvl w:val="0"/>
          <w:numId w:val="0"/>
        </w:numPr>
        <w:spacing w:before="0" w:after="0"/>
      </w:pPr>
      <w:bookmarkStart w:id="171" w:name="_Toc306622943"/>
      <w:bookmarkStart w:id="172" w:name="_Toc306690328"/>
      <w:bookmarkStart w:id="173" w:name="_Toc306699152"/>
      <w:bookmarkStart w:id="174" w:name="_Toc306879738"/>
      <w:bookmarkStart w:id="175" w:name="_Toc306883078"/>
    </w:p>
    <w:p w:rsidR="00905A43" w:rsidRDefault="00835DE7" w:rsidP="00C04619">
      <w:pPr>
        <w:pStyle w:val="RecommendationStyle"/>
        <w:numPr>
          <w:ilvl w:val="0"/>
          <w:numId w:val="0"/>
        </w:numPr>
        <w:spacing w:before="0" w:after="0"/>
        <w:rPr>
          <w:color w:val="000000" w:themeColor="text1"/>
        </w:rPr>
      </w:pPr>
      <w:bookmarkStart w:id="176" w:name="_Toc306890749"/>
      <w:bookmarkStart w:id="177" w:name="_Toc306890767"/>
      <w:bookmarkStart w:id="178" w:name="_Toc306890881"/>
      <w:bookmarkStart w:id="179" w:name="_Toc306891312"/>
      <w:bookmarkStart w:id="180" w:name="_Toc306950031"/>
      <w:bookmarkStart w:id="181" w:name="_Toc306950166"/>
      <w:bookmarkEnd w:id="171"/>
      <w:bookmarkEnd w:id="172"/>
      <w:bookmarkEnd w:id="173"/>
      <w:bookmarkEnd w:id="174"/>
      <w:bookmarkEnd w:id="175"/>
      <w:r w:rsidRPr="00905A43">
        <w:rPr>
          <w:color w:val="000000" w:themeColor="text1"/>
        </w:rPr>
        <w:t>The ATA recommends</w:t>
      </w:r>
      <w:r w:rsidR="000C01AC">
        <w:rPr>
          <w:color w:val="000000" w:themeColor="text1"/>
        </w:rPr>
        <w:t xml:space="preserve"> COAG</w:t>
      </w:r>
      <w:r>
        <w:rPr>
          <w:color w:val="000000" w:themeColor="text1"/>
        </w:rPr>
        <w:t xml:space="preserve"> review its </w:t>
      </w:r>
      <w:r w:rsidRPr="00905A43">
        <w:rPr>
          <w:color w:val="000000" w:themeColor="text1"/>
        </w:rPr>
        <w:t>principle</w:t>
      </w:r>
      <w:r>
        <w:rPr>
          <w:color w:val="000000" w:themeColor="text1"/>
        </w:rPr>
        <w:t xml:space="preserve"> </w:t>
      </w:r>
      <w:r w:rsidR="000C01AC">
        <w:rPr>
          <w:color w:val="000000" w:themeColor="text1"/>
        </w:rPr>
        <w:t xml:space="preserve">that </w:t>
      </w:r>
      <w:r>
        <w:rPr>
          <w:color w:val="000000" w:themeColor="text1"/>
        </w:rPr>
        <w:t>there should be no</w:t>
      </w:r>
      <w:r w:rsidRPr="00905A43">
        <w:rPr>
          <w:color w:val="000000" w:themeColor="text1"/>
        </w:rPr>
        <w:t>-cross subsidisation between vehicle classes</w:t>
      </w:r>
      <w:r>
        <w:rPr>
          <w:color w:val="000000" w:themeColor="text1"/>
        </w:rPr>
        <w:t>. This principle</w:t>
      </w:r>
      <w:r w:rsidRPr="00905A43">
        <w:rPr>
          <w:color w:val="000000" w:themeColor="text1"/>
        </w:rPr>
        <w:t xml:space="preserve"> has led to produ</w:t>
      </w:r>
      <w:r>
        <w:rPr>
          <w:color w:val="000000" w:themeColor="text1"/>
        </w:rPr>
        <w:t>ctivity, safety and efficiency losses</w:t>
      </w:r>
      <w:r w:rsidRPr="00905A43">
        <w:rPr>
          <w:color w:val="000000" w:themeColor="text1"/>
        </w:rPr>
        <w:t xml:space="preserve"> in the industry</w:t>
      </w:r>
      <w:r>
        <w:rPr>
          <w:color w:val="000000" w:themeColor="text1"/>
        </w:rPr>
        <w:t>.</w:t>
      </w:r>
      <w:bookmarkEnd w:id="176"/>
      <w:bookmarkEnd w:id="177"/>
      <w:bookmarkEnd w:id="178"/>
      <w:bookmarkEnd w:id="179"/>
      <w:bookmarkEnd w:id="180"/>
      <w:bookmarkEnd w:id="181"/>
    </w:p>
    <w:p w:rsidR="00076C90" w:rsidRPr="00905A43" w:rsidRDefault="00076C90" w:rsidP="00C04619">
      <w:pPr>
        <w:pStyle w:val="RecommendationStyle"/>
        <w:numPr>
          <w:ilvl w:val="0"/>
          <w:numId w:val="0"/>
        </w:numPr>
        <w:spacing w:before="0" w:after="0"/>
        <w:rPr>
          <w:color w:val="000000" w:themeColor="text1"/>
          <w:u w:val="single"/>
        </w:rPr>
      </w:pPr>
    </w:p>
    <w:p w:rsidR="00C81D29" w:rsidRDefault="00C81D29" w:rsidP="00C04619">
      <w:bookmarkStart w:id="182" w:name="_Toc306622942"/>
      <w:bookmarkStart w:id="183" w:name="_Toc306690327"/>
      <w:bookmarkStart w:id="184" w:name="_Toc306699151"/>
      <w:bookmarkStart w:id="185" w:name="_Toc306879737"/>
      <w:bookmarkStart w:id="186" w:name="_Toc306883077"/>
      <w:bookmarkEnd w:id="182"/>
      <w:bookmarkEnd w:id="183"/>
      <w:bookmarkEnd w:id="184"/>
      <w:bookmarkEnd w:id="185"/>
      <w:bookmarkEnd w:id="186"/>
    </w:p>
    <w:p w:rsidR="00F83C66" w:rsidRPr="00D73280" w:rsidRDefault="0090183B" w:rsidP="00C04619">
      <w:pPr>
        <w:pStyle w:val="Heading1"/>
        <w:numPr>
          <w:ilvl w:val="0"/>
          <w:numId w:val="0"/>
        </w:numPr>
      </w:pPr>
      <w:bookmarkStart w:id="187" w:name="_Toc306890895"/>
      <w:r>
        <w:t>7</w:t>
      </w:r>
      <w:r w:rsidR="00990F9E" w:rsidRPr="00D73280">
        <w:t>.1</w:t>
      </w:r>
      <w:r w:rsidR="00F83C66" w:rsidRPr="00D73280">
        <w:t>.</w:t>
      </w:r>
      <w:r w:rsidR="00F83C66" w:rsidRPr="00D73280">
        <w:tab/>
        <w:t xml:space="preserve"> </w:t>
      </w:r>
      <w:r w:rsidR="00A05C28" w:rsidRPr="00D73280">
        <w:t>Heavy vehicle r</w:t>
      </w:r>
      <w:r w:rsidR="00A6297F" w:rsidRPr="00D73280">
        <w:t xml:space="preserve">egulation </w:t>
      </w:r>
      <w:r w:rsidR="00990F9E" w:rsidRPr="00D73280">
        <w:t>in</w:t>
      </w:r>
      <w:r w:rsidR="00A6297F" w:rsidRPr="00D73280">
        <w:t xml:space="preserve"> </w:t>
      </w:r>
      <w:r w:rsidR="00990F9E" w:rsidRPr="00D73280">
        <w:t>the</w:t>
      </w:r>
      <w:r w:rsidR="00A05C28" w:rsidRPr="00D73280">
        <w:t xml:space="preserve"> service s</w:t>
      </w:r>
      <w:r w:rsidR="00A6297F" w:rsidRPr="00D73280">
        <w:t>ector</w:t>
      </w:r>
      <w:bookmarkEnd w:id="187"/>
      <w:r w:rsidR="00A6297F" w:rsidRPr="00D73280">
        <w:t xml:space="preserve"> </w:t>
      </w:r>
    </w:p>
    <w:p w:rsidR="00C81D29" w:rsidRPr="00050881" w:rsidRDefault="00C81D29" w:rsidP="00C04619">
      <w:pPr>
        <w:rPr>
          <w:rFonts w:ascii="Arial" w:hAnsi="Arial" w:cs="Arial"/>
          <w:sz w:val="20"/>
          <w:szCs w:val="20"/>
        </w:rPr>
      </w:pPr>
    </w:p>
    <w:p w:rsidR="003D6FA8" w:rsidRDefault="00320F07" w:rsidP="00C04619">
      <w:pPr>
        <w:rPr>
          <w:rFonts w:ascii="Arial" w:hAnsi="Arial" w:cs="Arial"/>
          <w:sz w:val="20"/>
          <w:szCs w:val="20"/>
        </w:rPr>
      </w:pPr>
      <w:r w:rsidRPr="00050881">
        <w:rPr>
          <w:rFonts w:ascii="Arial" w:hAnsi="Arial" w:cs="Arial"/>
          <w:sz w:val="20"/>
          <w:szCs w:val="20"/>
        </w:rPr>
        <w:t>The industry experiences many impediments when delive</w:t>
      </w:r>
      <w:r w:rsidR="00A05C28" w:rsidRPr="00050881">
        <w:rPr>
          <w:rFonts w:ascii="Arial" w:hAnsi="Arial" w:cs="Arial"/>
          <w:sz w:val="20"/>
          <w:szCs w:val="20"/>
        </w:rPr>
        <w:t>ring to cities across Australia.</w:t>
      </w:r>
      <w:r w:rsidRPr="00050881">
        <w:rPr>
          <w:rFonts w:ascii="Arial" w:hAnsi="Arial" w:cs="Arial"/>
          <w:sz w:val="20"/>
          <w:szCs w:val="20"/>
        </w:rPr>
        <w:t xml:space="preserve"> </w:t>
      </w:r>
      <w:r w:rsidR="00A05C28" w:rsidRPr="00050881">
        <w:rPr>
          <w:rFonts w:ascii="Arial" w:hAnsi="Arial" w:cs="Arial"/>
          <w:sz w:val="20"/>
          <w:szCs w:val="20"/>
        </w:rPr>
        <w:t>C</w:t>
      </w:r>
      <w:r w:rsidRPr="00050881">
        <w:rPr>
          <w:rFonts w:ascii="Arial" w:hAnsi="Arial" w:cs="Arial"/>
          <w:sz w:val="20"/>
          <w:szCs w:val="20"/>
        </w:rPr>
        <w:t xml:space="preserve">ongestion </w:t>
      </w:r>
      <w:r w:rsidR="00AD0E7C">
        <w:rPr>
          <w:rFonts w:ascii="Arial" w:hAnsi="Arial" w:cs="Arial"/>
          <w:sz w:val="20"/>
          <w:szCs w:val="20"/>
        </w:rPr>
        <w:t>created</w:t>
      </w:r>
      <w:r w:rsidRPr="00050881">
        <w:rPr>
          <w:rFonts w:ascii="Arial" w:hAnsi="Arial" w:cs="Arial"/>
          <w:sz w:val="20"/>
          <w:szCs w:val="20"/>
        </w:rPr>
        <w:t xml:space="preserve"> by light vehicles causes costs for operators due to </w:t>
      </w:r>
      <w:r w:rsidR="00A44D65">
        <w:rPr>
          <w:rFonts w:ascii="Arial" w:hAnsi="Arial" w:cs="Arial"/>
          <w:sz w:val="20"/>
          <w:szCs w:val="20"/>
        </w:rPr>
        <w:t xml:space="preserve">longer travel </w:t>
      </w:r>
      <w:r w:rsidRPr="00050881">
        <w:rPr>
          <w:rFonts w:ascii="Arial" w:hAnsi="Arial" w:cs="Arial"/>
          <w:sz w:val="20"/>
          <w:szCs w:val="20"/>
        </w:rPr>
        <w:t xml:space="preserve">time, </w:t>
      </w:r>
      <w:r w:rsidR="00A44D65">
        <w:rPr>
          <w:rFonts w:ascii="Arial" w:hAnsi="Arial" w:cs="Arial"/>
          <w:sz w:val="20"/>
          <w:szCs w:val="20"/>
        </w:rPr>
        <w:t xml:space="preserve">increased </w:t>
      </w:r>
      <w:r w:rsidRPr="00050881">
        <w:rPr>
          <w:rFonts w:ascii="Arial" w:hAnsi="Arial" w:cs="Arial"/>
          <w:sz w:val="20"/>
          <w:szCs w:val="20"/>
        </w:rPr>
        <w:t>fuel</w:t>
      </w:r>
      <w:r w:rsidR="00A44D65">
        <w:rPr>
          <w:rFonts w:ascii="Arial" w:hAnsi="Arial" w:cs="Arial"/>
          <w:sz w:val="20"/>
          <w:szCs w:val="20"/>
        </w:rPr>
        <w:t xml:space="preserve"> use</w:t>
      </w:r>
      <w:r w:rsidRPr="00050881">
        <w:rPr>
          <w:rFonts w:ascii="Arial" w:hAnsi="Arial" w:cs="Arial"/>
          <w:sz w:val="20"/>
          <w:szCs w:val="20"/>
        </w:rPr>
        <w:t xml:space="preserve"> and missed deadlines. This leads to operators trying to deliver goods outside busy times. However</w:t>
      </w:r>
      <w:r w:rsidR="00A0493F" w:rsidRPr="00050881">
        <w:rPr>
          <w:rFonts w:ascii="Arial" w:hAnsi="Arial" w:cs="Arial"/>
          <w:sz w:val="20"/>
          <w:szCs w:val="20"/>
        </w:rPr>
        <w:t>,</w:t>
      </w:r>
      <w:r w:rsidRPr="00050881">
        <w:rPr>
          <w:rFonts w:ascii="Arial" w:hAnsi="Arial" w:cs="Arial"/>
          <w:sz w:val="20"/>
          <w:szCs w:val="20"/>
        </w:rPr>
        <w:t xml:space="preserve"> some local governments put curfews on operators as indicated </w:t>
      </w:r>
      <w:r w:rsidR="00A05C28" w:rsidRPr="00050881">
        <w:rPr>
          <w:rFonts w:ascii="Arial" w:hAnsi="Arial" w:cs="Arial"/>
          <w:sz w:val="20"/>
          <w:szCs w:val="20"/>
        </w:rPr>
        <w:t>by this paper</w:t>
      </w:r>
      <w:r w:rsidR="003D6FA8">
        <w:rPr>
          <w:rFonts w:ascii="Arial" w:hAnsi="Arial" w:cs="Arial"/>
          <w:sz w:val="20"/>
          <w:szCs w:val="20"/>
        </w:rPr>
        <w:t xml:space="preserve">. </w:t>
      </w:r>
      <w:r w:rsidR="00573408" w:rsidRPr="00050881">
        <w:rPr>
          <w:rFonts w:ascii="Arial" w:hAnsi="Arial" w:cs="Arial"/>
          <w:sz w:val="20"/>
          <w:szCs w:val="20"/>
        </w:rPr>
        <w:t>The restrictions are due to noise and light disturbances an</w:t>
      </w:r>
      <w:r w:rsidR="00F06E9C">
        <w:rPr>
          <w:rFonts w:ascii="Arial" w:hAnsi="Arial" w:cs="Arial"/>
          <w:sz w:val="20"/>
          <w:szCs w:val="20"/>
        </w:rPr>
        <w:t xml:space="preserve">d the paper rightly points out </w:t>
      </w:r>
      <w:r w:rsidR="00573408" w:rsidRPr="00050881">
        <w:rPr>
          <w:rFonts w:ascii="Arial" w:hAnsi="Arial" w:cs="Arial"/>
          <w:sz w:val="20"/>
          <w:szCs w:val="20"/>
        </w:rPr>
        <w:t xml:space="preserve"> many local governments simply chose to stamp restrictions on heavy vehicles without examining any other </w:t>
      </w:r>
      <w:r w:rsidR="000A151F" w:rsidRPr="00050881">
        <w:rPr>
          <w:rFonts w:ascii="Arial" w:hAnsi="Arial" w:cs="Arial"/>
          <w:sz w:val="20"/>
          <w:szCs w:val="20"/>
        </w:rPr>
        <w:t>externalities</w:t>
      </w:r>
      <w:r w:rsidR="00573408" w:rsidRPr="00050881">
        <w:rPr>
          <w:rFonts w:ascii="Arial" w:hAnsi="Arial" w:cs="Arial"/>
          <w:sz w:val="20"/>
          <w:szCs w:val="20"/>
        </w:rPr>
        <w:t xml:space="preserve"> that cause noise and li</w:t>
      </w:r>
      <w:r w:rsidR="000A151F" w:rsidRPr="00050881">
        <w:rPr>
          <w:rFonts w:ascii="Arial" w:hAnsi="Arial" w:cs="Arial"/>
          <w:sz w:val="20"/>
          <w:szCs w:val="20"/>
        </w:rPr>
        <w:t>ght pollution to the community at night.</w:t>
      </w:r>
    </w:p>
    <w:p w:rsidR="003D6FA8" w:rsidRDefault="003D6FA8" w:rsidP="00C04619">
      <w:pPr>
        <w:rPr>
          <w:rFonts w:ascii="Arial" w:hAnsi="Arial" w:cs="Arial"/>
          <w:sz w:val="20"/>
          <w:szCs w:val="20"/>
        </w:rPr>
      </w:pPr>
    </w:p>
    <w:p w:rsidR="00852CAE" w:rsidRDefault="00852CAE" w:rsidP="00C04619">
      <w:pPr>
        <w:rPr>
          <w:rFonts w:ascii="Arial" w:hAnsi="Arial" w:cs="Arial"/>
          <w:sz w:val="20"/>
          <w:szCs w:val="20"/>
        </w:rPr>
      </w:pPr>
      <w:r>
        <w:rPr>
          <w:rFonts w:ascii="Arial" w:hAnsi="Arial" w:cs="Arial"/>
          <w:sz w:val="20"/>
          <w:szCs w:val="20"/>
        </w:rPr>
        <w:br w:type="page"/>
      </w:r>
    </w:p>
    <w:p w:rsidR="00840E08" w:rsidRPr="00050881" w:rsidRDefault="000A151F" w:rsidP="00C04619">
      <w:pPr>
        <w:rPr>
          <w:rFonts w:ascii="Arial" w:hAnsi="Arial" w:cs="Arial"/>
          <w:sz w:val="20"/>
          <w:szCs w:val="20"/>
        </w:rPr>
      </w:pPr>
      <w:r w:rsidRPr="00050881">
        <w:rPr>
          <w:rFonts w:ascii="Arial" w:hAnsi="Arial" w:cs="Arial"/>
          <w:sz w:val="20"/>
          <w:szCs w:val="20"/>
        </w:rPr>
        <w:lastRenderedPageBreak/>
        <w:t xml:space="preserve">The flexibility of night time delivery would mean heavy vehicles would not have to travel in congested areas and miss deadlines and would improve the safety of the fleet by operating at a time when less light vehicles are </w:t>
      </w:r>
      <w:r w:rsidR="00A44D65">
        <w:rPr>
          <w:rFonts w:ascii="Arial" w:hAnsi="Arial" w:cs="Arial"/>
          <w:sz w:val="20"/>
          <w:szCs w:val="20"/>
        </w:rPr>
        <w:t>on the roads</w:t>
      </w:r>
      <w:r w:rsidRPr="00050881">
        <w:rPr>
          <w:rFonts w:ascii="Arial" w:hAnsi="Arial" w:cs="Arial"/>
          <w:sz w:val="20"/>
          <w:szCs w:val="20"/>
        </w:rPr>
        <w:t>.</w:t>
      </w:r>
      <w:r w:rsidR="00341FEC" w:rsidRPr="00050881">
        <w:rPr>
          <w:rFonts w:ascii="Arial" w:hAnsi="Arial" w:cs="Arial"/>
          <w:sz w:val="20"/>
          <w:szCs w:val="20"/>
        </w:rPr>
        <w:t xml:space="preserve"> It should be noted that</w:t>
      </w:r>
      <w:r w:rsidRPr="00050881">
        <w:rPr>
          <w:rFonts w:ascii="Arial" w:hAnsi="Arial" w:cs="Arial"/>
          <w:sz w:val="20"/>
          <w:szCs w:val="20"/>
        </w:rPr>
        <w:t xml:space="preserve"> </w:t>
      </w:r>
      <w:r w:rsidR="00A0493F" w:rsidRPr="00050881">
        <w:rPr>
          <w:rFonts w:ascii="Arial" w:hAnsi="Arial" w:cs="Arial"/>
          <w:sz w:val="20"/>
          <w:szCs w:val="20"/>
        </w:rPr>
        <w:t xml:space="preserve">82% of multiple vehicle crashes involving a heavy vehicle </w:t>
      </w:r>
      <w:r w:rsidR="00C43BDE" w:rsidRPr="00050881">
        <w:rPr>
          <w:rFonts w:ascii="Arial" w:hAnsi="Arial" w:cs="Arial"/>
          <w:sz w:val="20"/>
          <w:szCs w:val="20"/>
        </w:rPr>
        <w:t>are caused by the non-</w:t>
      </w:r>
      <w:r w:rsidR="00A0493F" w:rsidRPr="00050881">
        <w:rPr>
          <w:rFonts w:ascii="Arial" w:hAnsi="Arial" w:cs="Arial"/>
          <w:sz w:val="20"/>
          <w:szCs w:val="20"/>
        </w:rPr>
        <w:t>heavy vehicle driver</w:t>
      </w:r>
      <w:r w:rsidR="00A0493F" w:rsidRPr="00050881">
        <w:rPr>
          <w:rStyle w:val="FootnoteReference"/>
          <w:rFonts w:ascii="Arial" w:hAnsi="Arial" w:cs="Arial"/>
          <w:sz w:val="20"/>
          <w:szCs w:val="20"/>
        </w:rPr>
        <w:footnoteReference w:id="4"/>
      </w:r>
      <w:r w:rsidR="00341FEC" w:rsidRPr="00050881">
        <w:rPr>
          <w:rFonts w:ascii="Arial" w:hAnsi="Arial" w:cs="Arial"/>
          <w:sz w:val="20"/>
          <w:szCs w:val="20"/>
        </w:rPr>
        <w:t>, so removing light passenger vehicles from the road lowers the actual risk of heavy vehicle crashes</w:t>
      </w:r>
      <w:r w:rsidR="00A0493F" w:rsidRPr="00050881">
        <w:rPr>
          <w:rFonts w:ascii="Arial" w:hAnsi="Arial" w:cs="Arial"/>
          <w:sz w:val="20"/>
          <w:szCs w:val="20"/>
        </w:rPr>
        <w:t xml:space="preserve">. </w:t>
      </w:r>
    </w:p>
    <w:p w:rsidR="000A151F" w:rsidRPr="00050881" w:rsidRDefault="000A151F" w:rsidP="00C04619">
      <w:pPr>
        <w:rPr>
          <w:rFonts w:ascii="Arial" w:hAnsi="Arial" w:cs="Arial"/>
          <w:sz w:val="20"/>
          <w:szCs w:val="20"/>
        </w:rPr>
      </w:pPr>
    </w:p>
    <w:p w:rsidR="000A151F" w:rsidRPr="00050881" w:rsidRDefault="000A151F" w:rsidP="00C04619">
      <w:pPr>
        <w:rPr>
          <w:rFonts w:ascii="Arial" w:hAnsi="Arial" w:cs="Arial"/>
          <w:sz w:val="20"/>
          <w:szCs w:val="20"/>
        </w:rPr>
      </w:pPr>
      <w:r w:rsidRPr="00050881">
        <w:rPr>
          <w:rFonts w:ascii="Arial" w:hAnsi="Arial" w:cs="Arial"/>
          <w:sz w:val="20"/>
          <w:szCs w:val="20"/>
        </w:rPr>
        <w:t>Allowing longer,</w:t>
      </w:r>
      <w:r w:rsidR="00D73280">
        <w:rPr>
          <w:rFonts w:ascii="Arial" w:hAnsi="Arial" w:cs="Arial"/>
          <w:sz w:val="20"/>
          <w:szCs w:val="20"/>
        </w:rPr>
        <w:t xml:space="preserve"> safer,</w:t>
      </w:r>
      <w:r w:rsidRPr="00050881">
        <w:rPr>
          <w:rFonts w:ascii="Arial" w:hAnsi="Arial" w:cs="Arial"/>
          <w:sz w:val="20"/>
          <w:szCs w:val="20"/>
        </w:rPr>
        <w:t xml:space="preserve"> more productive heavy vehicles</w:t>
      </w:r>
      <w:r w:rsidR="00A44D65">
        <w:rPr>
          <w:rFonts w:ascii="Arial" w:hAnsi="Arial" w:cs="Arial"/>
          <w:sz w:val="20"/>
          <w:szCs w:val="20"/>
        </w:rPr>
        <w:t xml:space="preserve"> access to local government roads</w:t>
      </w:r>
      <w:r w:rsidRPr="00050881">
        <w:rPr>
          <w:rFonts w:ascii="Arial" w:hAnsi="Arial" w:cs="Arial"/>
          <w:sz w:val="20"/>
          <w:szCs w:val="20"/>
        </w:rPr>
        <w:t xml:space="preserve"> reduces the number of heavy vehicles required to carry out the freight task. For instance</w:t>
      </w:r>
      <w:r w:rsidR="00352490">
        <w:rPr>
          <w:rFonts w:ascii="Arial" w:hAnsi="Arial" w:cs="Arial"/>
          <w:sz w:val="20"/>
          <w:szCs w:val="20"/>
        </w:rPr>
        <w:t>,</w:t>
      </w:r>
      <w:r w:rsidRPr="00050881">
        <w:rPr>
          <w:rFonts w:ascii="Arial" w:hAnsi="Arial" w:cs="Arial"/>
          <w:sz w:val="20"/>
          <w:szCs w:val="20"/>
        </w:rPr>
        <w:t xml:space="preserve"> a 6 axle Semi-trailer will take 42 trips to move 1000 tonnes of goods, whereas a </w:t>
      </w:r>
      <w:r w:rsidR="00320F07" w:rsidRPr="00050881">
        <w:rPr>
          <w:rFonts w:ascii="Arial" w:hAnsi="Arial" w:cs="Arial"/>
          <w:sz w:val="20"/>
          <w:szCs w:val="20"/>
        </w:rPr>
        <w:t xml:space="preserve">9 axle </w:t>
      </w:r>
      <w:r w:rsidRPr="00050881">
        <w:rPr>
          <w:rFonts w:ascii="Arial" w:hAnsi="Arial" w:cs="Arial"/>
          <w:sz w:val="20"/>
          <w:szCs w:val="20"/>
        </w:rPr>
        <w:t>B-double can do the same task in 26</w:t>
      </w:r>
      <w:r w:rsidR="00320F07" w:rsidRPr="00050881">
        <w:rPr>
          <w:rFonts w:ascii="Arial" w:hAnsi="Arial" w:cs="Arial"/>
          <w:sz w:val="20"/>
          <w:szCs w:val="20"/>
        </w:rPr>
        <w:t xml:space="preserve"> trips</w:t>
      </w:r>
      <w:r w:rsidR="00352490">
        <w:rPr>
          <w:rFonts w:ascii="Arial" w:hAnsi="Arial" w:cs="Arial"/>
          <w:sz w:val="20"/>
          <w:szCs w:val="20"/>
        </w:rPr>
        <w:t>,</w:t>
      </w:r>
      <w:r w:rsidRPr="00050881">
        <w:rPr>
          <w:rFonts w:ascii="Arial" w:hAnsi="Arial" w:cs="Arial"/>
          <w:sz w:val="20"/>
          <w:szCs w:val="20"/>
        </w:rPr>
        <w:t xml:space="preserve"> and</w:t>
      </w:r>
      <w:r w:rsidR="00320F07" w:rsidRPr="00050881">
        <w:rPr>
          <w:rFonts w:ascii="Arial" w:hAnsi="Arial" w:cs="Arial"/>
          <w:sz w:val="20"/>
          <w:szCs w:val="20"/>
        </w:rPr>
        <w:t xml:space="preserve"> one</w:t>
      </w:r>
      <w:r w:rsidRPr="00050881">
        <w:rPr>
          <w:rFonts w:ascii="Arial" w:hAnsi="Arial" w:cs="Arial"/>
          <w:sz w:val="20"/>
          <w:szCs w:val="20"/>
        </w:rPr>
        <w:t xml:space="preserve"> fitted with road friendly suspension in 23</w:t>
      </w:r>
      <w:r w:rsidR="00341FEC" w:rsidRPr="00050881">
        <w:rPr>
          <w:rFonts w:ascii="Arial" w:hAnsi="Arial" w:cs="Arial"/>
          <w:sz w:val="20"/>
          <w:szCs w:val="20"/>
        </w:rPr>
        <w:t xml:space="preserve"> trips</w:t>
      </w:r>
      <w:r w:rsidR="00320F07" w:rsidRPr="00050881">
        <w:rPr>
          <w:rStyle w:val="FootnoteReference"/>
          <w:rFonts w:ascii="Arial" w:hAnsi="Arial" w:cs="Arial"/>
          <w:sz w:val="20"/>
          <w:szCs w:val="20"/>
        </w:rPr>
        <w:footnoteReference w:id="5"/>
      </w:r>
      <w:r w:rsidRPr="00050881">
        <w:rPr>
          <w:rFonts w:ascii="Arial" w:hAnsi="Arial" w:cs="Arial"/>
          <w:sz w:val="20"/>
          <w:szCs w:val="20"/>
        </w:rPr>
        <w:t>. Therefore</w:t>
      </w:r>
      <w:r w:rsidR="00352490">
        <w:rPr>
          <w:rFonts w:ascii="Arial" w:hAnsi="Arial" w:cs="Arial"/>
          <w:sz w:val="20"/>
          <w:szCs w:val="20"/>
        </w:rPr>
        <w:t>,</w:t>
      </w:r>
      <w:r w:rsidRPr="00050881">
        <w:rPr>
          <w:rFonts w:ascii="Arial" w:hAnsi="Arial" w:cs="Arial"/>
          <w:sz w:val="20"/>
          <w:szCs w:val="20"/>
        </w:rPr>
        <w:t xml:space="preserve"> </w:t>
      </w:r>
      <w:r w:rsidR="00835DE7">
        <w:rPr>
          <w:rFonts w:ascii="Arial" w:hAnsi="Arial" w:cs="Arial"/>
          <w:sz w:val="20"/>
          <w:szCs w:val="20"/>
        </w:rPr>
        <w:t>fewer</w:t>
      </w:r>
      <w:r w:rsidRPr="00050881">
        <w:rPr>
          <w:rFonts w:ascii="Arial" w:hAnsi="Arial" w:cs="Arial"/>
          <w:sz w:val="20"/>
          <w:szCs w:val="20"/>
        </w:rPr>
        <w:t xml:space="preserve"> heavy vehicles are </w:t>
      </w:r>
      <w:r w:rsidR="00352490">
        <w:rPr>
          <w:rFonts w:ascii="Arial" w:hAnsi="Arial" w:cs="Arial"/>
          <w:sz w:val="20"/>
          <w:szCs w:val="20"/>
        </w:rPr>
        <w:t>on the road</w:t>
      </w:r>
      <w:r w:rsidRPr="00050881">
        <w:rPr>
          <w:rFonts w:ascii="Arial" w:hAnsi="Arial" w:cs="Arial"/>
          <w:sz w:val="20"/>
          <w:szCs w:val="20"/>
        </w:rPr>
        <w:t>,</w:t>
      </w:r>
      <w:r w:rsidR="00352490">
        <w:rPr>
          <w:rFonts w:ascii="Arial" w:hAnsi="Arial" w:cs="Arial"/>
          <w:sz w:val="20"/>
          <w:szCs w:val="20"/>
        </w:rPr>
        <w:t xml:space="preserve"> impact to infrastructure is less, </w:t>
      </w:r>
      <w:r w:rsidRPr="00050881">
        <w:rPr>
          <w:rFonts w:ascii="Arial" w:hAnsi="Arial" w:cs="Arial"/>
          <w:sz w:val="20"/>
          <w:szCs w:val="20"/>
        </w:rPr>
        <w:t>an</w:t>
      </w:r>
      <w:r w:rsidR="00352490">
        <w:rPr>
          <w:rFonts w:ascii="Arial" w:hAnsi="Arial" w:cs="Arial"/>
          <w:sz w:val="20"/>
          <w:szCs w:val="20"/>
        </w:rPr>
        <w:t>d safer combinations are operating on</w:t>
      </w:r>
      <w:r w:rsidRPr="00050881">
        <w:rPr>
          <w:rFonts w:ascii="Arial" w:hAnsi="Arial" w:cs="Arial"/>
          <w:sz w:val="20"/>
          <w:szCs w:val="20"/>
        </w:rPr>
        <w:t xml:space="preserve"> </w:t>
      </w:r>
      <w:r w:rsidR="00352490">
        <w:rPr>
          <w:rFonts w:ascii="Arial" w:hAnsi="Arial" w:cs="Arial"/>
          <w:sz w:val="20"/>
          <w:szCs w:val="20"/>
        </w:rPr>
        <w:t xml:space="preserve">our </w:t>
      </w:r>
      <w:r w:rsidRPr="00050881">
        <w:rPr>
          <w:rFonts w:ascii="Arial" w:hAnsi="Arial" w:cs="Arial"/>
          <w:sz w:val="20"/>
          <w:szCs w:val="20"/>
        </w:rPr>
        <w:t>road</w:t>
      </w:r>
      <w:r w:rsidR="00352490">
        <w:rPr>
          <w:rFonts w:ascii="Arial" w:hAnsi="Arial" w:cs="Arial"/>
          <w:sz w:val="20"/>
          <w:szCs w:val="20"/>
        </w:rPr>
        <w:t>s</w:t>
      </w:r>
      <w:r w:rsidRPr="00050881">
        <w:rPr>
          <w:rFonts w:ascii="Arial" w:hAnsi="Arial" w:cs="Arial"/>
          <w:sz w:val="20"/>
          <w:szCs w:val="20"/>
        </w:rPr>
        <w:t xml:space="preserve">. </w:t>
      </w:r>
    </w:p>
    <w:p w:rsidR="00E02771" w:rsidRPr="00050881" w:rsidRDefault="00E02771" w:rsidP="00C04619">
      <w:pPr>
        <w:rPr>
          <w:rFonts w:ascii="Arial" w:hAnsi="Arial" w:cs="Arial"/>
          <w:sz w:val="20"/>
          <w:szCs w:val="20"/>
        </w:rPr>
      </w:pPr>
    </w:p>
    <w:p w:rsidR="004164B0" w:rsidRPr="00050881" w:rsidRDefault="002B3AEF" w:rsidP="00C04619">
      <w:pPr>
        <w:rPr>
          <w:rFonts w:ascii="Arial" w:hAnsi="Arial" w:cs="Arial"/>
          <w:sz w:val="20"/>
          <w:szCs w:val="20"/>
        </w:rPr>
      </w:pPr>
      <w:r w:rsidRPr="00050881">
        <w:rPr>
          <w:rFonts w:ascii="Arial" w:hAnsi="Arial" w:cs="Arial"/>
          <w:sz w:val="20"/>
          <w:szCs w:val="20"/>
        </w:rPr>
        <w:t xml:space="preserve">The heavy vehicle industry and companies </w:t>
      </w:r>
      <w:r w:rsidR="00F06E9C">
        <w:rPr>
          <w:rFonts w:ascii="Arial" w:hAnsi="Arial" w:cs="Arial"/>
          <w:sz w:val="20"/>
          <w:szCs w:val="20"/>
        </w:rPr>
        <w:t>which</w:t>
      </w:r>
      <w:r w:rsidRPr="00050881">
        <w:rPr>
          <w:rFonts w:ascii="Arial" w:hAnsi="Arial" w:cs="Arial"/>
          <w:sz w:val="20"/>
          <w:szCs w:val="20"/>
        </w:rPr>
        <w:t xml:space="preserve"> need to use heavy vehicles are constantly confronted with ill-founded ideas about the effects of larger h</w:t>
      </w:r>
      <w:r w:rsidR="00352490">
        <w:rPr>
          <w:rFonts w:ascii="Arial" w:hAnsi="Arial" w:cs="Arial"/>
          <w:sz w:val="20"/>
          <w:szCs w:val="20"/>
        </w:rPr>
        <w:t>eavy vehicles. People see large</w:t>
      </w:r>
      <w:r w:rsidRPr="00050881">
        <w:rPr>
          <w:rFonts w:ascii="Arial" w:hAnsi="Arial" w:cs="Arial"/>
          <w:sz w:val="20"/>
          <w:szCs w:val="20"/>
        </w:rPr>
        <w:t xml:space="preserve"> heavy vehicles simply as bigger</w:t>
      </w:r>
      <w:r w:rsidR="00352490">
        <w:rPr>
          <w:rFonts w:ascii="Arial" w:hAnsi="Arial" w:cs="Arial"/>
          <w:sz w:val="20"/>
          <w:szCs w:val="20"/>
        </w:rPr>
        <w:t>,</w:t>
      </w:r>
      <w:r w:rsidRPr="00050881">
        <w:rPr>
          <w:rFonts w:ascii="Arial" w:hAnsi="Arial" w:cs="Arial"/>
          <w:sz w:val="20"/>
          <w:szCs w:val="20"/>
        </w:rPr>
        <w:t xml:space="preserve"> </w:t>
      </w:r>
      <w:r w:rsidR="00FB5163" w:rsidRPr="00050881">
        <w:rPr>
          <w:rFonts w:ascii="Arial" w:hAnsi="Arial" w:cs="Arial"/>
          <w:sz w:val="20"/>
          <w:szCs w:val="20"/>
        </w:rPr>
        <w:t>heavy vehicles</w:t>
      </w:r>
      <w:r w:rsidR="00352490">
        <w:rPr>
          <w:rFonts w:ascii="Arial" w:hAnsi="Arial" w:cs="Arial"/>
          <w:sz w:val="20"/>
          <w:szCs w:val="20"/>
        </w:rPr>
        <w:t xml:space="preserve"> not</w:t>
      </w:r>
      <w:r w:rsidRPr="00050881">
        <w:rPr>
          <w:rFonts w:ascii="Arial" w:hAnsi="Arial" w:cs="Arial"/>
          <w:sz w:val="20"/>
          <w:szCs w:val="20"/>
        </w:rPr>
        <w:t xml:space="preserve"> safer, more productive, less damaging </w:t>
      </w:r>
      <w:r w:rsidR="00FB5163" w:rsidRPr="00050881">
        <w:rPr>
          <w:rFonts w:ascii="Arial" w:hAnsi="Arial" w:cs="Arial"/>
          <w:sz w:val="20"/>
          <w:szCs w:val="20"/>
        </w:rPr>
        <w:t>heavy vehicles</w:t>
      </w:r>
      <w:r w:rsidRPr="00050881">
        <w:rPr>
          <w:rFonts w:ascii="Arial" w:hAnsi="Arial" w:cs="Arial"/>
          <w:sz w:val="20"/>
          <w:szCs w:val="20"/>
        </w:rPr>
        <w:t xml:space="preserve">. There needs to be a re-education, especially of those who make road provision and access decisions in order to </w:t>
      </w:r>
      <w:r w:rsidR="00352490">
        <w:rPr>
          <w:rFonts w:ascii="Arial" w:hAnsi="Arial" w:cs="Arial"/>
          <w:sz w:val="20"/>
          <w:szCs w:val="20"/>
        </w:rPr>
        <w:t>encourage</w:t>
      </w:r>
      <w:r w:rsidRPr="00050881">
        <w:rPr>
          <w:rFonts w:ascii="Arial" w:hAnsi="Arial" w:cs="Arial"/>
          <w:sz w:val="20"/>
          <w:szCs w:val="20"/>
        </w:rPr>
        <w:t xml:space="preserve"> the productive n</w:t>
      </w:r>
      <w:r w:rsidR="00FB5163" w:rsidRPr="00050881">
        <w:rPr>
          <w:rFonts w:ascii="Arial" w:hAnsi="Arial" w:cs="Arial"/>
          <w:sz w:val="20"/>
          <w:szCs w:val="20"/>
        </w:rPr>
        <w:t>ature of the economy</w:t>
      </w:r>
      <w:r w:rsidRPr="00050881">
        <w:rPr>
          <w:rFonts w:ascii="Arial" w:hAnsi="Arial" w:cs="Arial"/>
          <w:sz w:val="20"/>
          <w:szCs w:val="20"/>
        </w:rPr>
        <w:t xml:space="preserve">. </w:t>
      </w:r>
      <w:r w:rsidR="00C43BDE" w:rsidRPr="00050881">
        <w:rPr>
          <w:rFonts w:ascii="Arial" w:hAnsi="Arial" w:cs="Arial"/>
          <w:sz w:val="20"/>
          <w:szCs w:val="20"/>
        </w:rPr>
        <w:t xml:space="preserve">Provision of external review of decisions is </w:t>
      </w:r>
      <w:r w:rsidR="00D73280" w:rsidRPr="00050881">
        <w:rPr>
          <w:rFonts w:ascii="Arial" w:hAnsi="Arial" w:cs="Arial"/>
          <w:sz w:val="20"/>
          <w:szCs w:val="20"/>
        </w:rPr>
        <w:t>an</w:t>
      </w:r>
      <w:r w:rsidR="00C43BDE" w:rsidRPr="00050881">
        <w:rPr>
          <w:rFonts w:ascii="Arial" w:hAnsi="Arial" w:cs="Arial"/>
          <w:sz w:val="20"/>
          <w:szCs w:val="20"/>
        </w:rPr>
        <w:t xml:space="preserve"> </w:t>
      </w:r>
      <w:r w:rsidR="00D73280" w:rsidRPr="00050881">
        <w:rPr>
          <w:rFonts w:ascii="Arial" w:hAnsi="Arial" w:cs="Arial"/>
          <w:sz w:val="20"/>
          <w:szCs w:val="20"/>
        </w:rPr>
        <w:t>established</w:t>
      </w:r>
      <w:r w:rsidR="00C43BDE" w:rsidRPr="00050881">
        <w:rPr>
          <w:rFonts w:ascii="Arial" w:hAnsi="Arial" w:cs="Arial"/>
          <w:sz w:val="20"/>
          <w:szCs w:val="20"/>
        </w:rPr>
        <w:t xml:space="preserve"> method of improving decision making. </w:t>
      </w:r>
    </w:p>
    <w:p w:rsidR="002B3AEF" w:rsidRPr="00050881" w:rsidRDefault="002B3AEF" w:rsidP="00C04619">
      <w:pPr>
        <w:rPr>
          <w:rFonts w:ascii="Arial" w:hAnsi="Arial" w:cs="Arial"/>
          <w:sz w:val="20"/>
          <w:szCs w:val="20"/>
        </w:rPr>
      </w:pPr>
    </w:p>
    <w:p w:rsidR="002E782F" w:rsidRDefault="00F06E9C" w:rsidP="00F26D5F">
      <w:pPr>
        <w:autoSpaceDE w:val="0"/>
        <w:autoSpaceDN w:val="0"/>
        <w:adjustRightInd w:val="0"/>
        <w:rPr>
          <w:rFonts w:ascii="Arial" w:hAnsi="Arial" w:cs="Arial"/>
          <w:sz w:val="20"/>
          <w:szCs w:val="20"/>
          <w:lang w:eastAsia="en-AU"/>
        </w:rPr>
      </w:pPr>
      <w:r>
        <w:rPr>
          <w:rFonts w:ascii="Arial" w:hAnsi="Arial" w:cs="Arial"/>
          <w:sz w:val="20"/>
          <w:szCs w:val="20"/>
        </w:rPr>
        <w:t>It should also be noted</w:t>
      </w:r>
      <w:r w:rsidR="002B3AEF" w:rsidRPr="00050881">
        <w:rPr>
          <w:rFonts w:ascii="Arial" w:hAnsi="Arial" w:cs="Arial"/>
          <w:sz w:val="20"/>
          <w:szCs w:val="20"/>
        </w:rPr>
        <w:t xml:space="preserve"> the </w:t>
      </w:r>
      <w:r w:rsidR="00352490">
        <w:rPr>
          <w:rFonts w:ascii="Arial" w:hAnsi="Arial" w:cs="Arial"/>
          <w:sz w:val="20"/>
          <w:szCs w:val="20"/>
        </w:rPr>
        <w:t>environmental</w:t>
      </w:r>
      <w:r w:rsidR="002B3AEF" w:rsidRPr="00050881">
        <w:rPr>
          <w:rFonts w:ascii="Arial" w:hAnsi="Arial" w:cs="Arial"/>
          <w:sz w:val="20"/>
          <w:szCs w:val="20"/>
        </w:rPr>
        <w:t xml:space="preserve"> credentials of the industry are improving year on year</w:t>
      </w:r>
      <w:r w:rsidR="00352490">
        <w:rPr>
          <w:rFonts w:ascii="Arial" w:hAnsi="Arial" w:cs="Arial"/>
          <w:sz w:val="20"/>
          <w:szCs w:val="20"/>
        </w:rPr>
        <w:t>,</w:t>
      </w:r>
      <w:r w:rsidR="002B3AEF" w:rsidRPr="00050881">
        <w:rPr>
          <w:rFonts w:ascii="Arial" w:hAnsi="Arial" w:cs="Arial"/>
          <w:sz w:val="20"/>
          <w:szCs w:val="20"/>
        </w:rPr>
        <w:t xml:space="preserve"> and the difference </w:t>
      </w:r>
      <w:r w:rsidR="00341FEC" w:rsidRPr="00050881">
        <w:rPr>
          <w:rFonts w:ascii="Arial" w:hAnsi="Arial" w:cs="Arial"/>
          <w:sz w:val="20"/>
          <w:szCs w:val="20"/>
        </w:rPr>
        <w:t>between the performance of a B-double</w:t>
      </w:r>
      <w:r w:rsidR="00D73280">
        <w:rPr>
          <w:rFonts w:ascii="Arial" w:hAnsi="Arial" w:cs="Arial"/>
          <w:sz w:val="20"/>
          <w:szCs w:val="20"/>
        </w:rPr>
        <w:t xml:space="preserve"> and</w:t>
      </w:r>
      <w:r w:rsidR="00835DE7">
        <w:rPr>
          <w:rFonts w:ascii="Arial" w:hAnsi="Arial" w:cs="Arial"/>
          <w:sz w:val="20"/>
          <w:szCs w:val="20"/>
        </w:rPr>
        <w:t xml:space="preserve"> a</w:t>
      </w:r>
      <w:r w:rsidR="00D73280">
        <w:rPr>
          <w:rFonts w:ascii="Arial" w:hAnsi="Arial" w:cs="Arial"/>
          <w:sz w:val="20"/>
          <w:szCs w:val="20"/>
        </w:rPr>
        <w:t xml:space="preserve"> </w:t>
      </w:r>
      <w:r w:rsidR="00D73280" w:rsidRPr="00050881">
        <w:rPr>
          <w:rFonts w:ascii="Arial" w:hAnsi="Arial" w:cs="Arial"/>
          <w:sz w:val="20"/>
          <w:szCs w:val="20"/>
        </w:rPr>
        <w:t>semi-trailer for the given freight task above</w:t>
      </w:r>
      <w:r w:rsidR="00D73280">
        <w:rPr>
          <w:rFonts w:ascii="Arial" w:hAnsi="Arial" w:cs="Arial"/>
          <w:sz w:val="20"/>
          <w:szCs w:val="20"/>
        </w:rPr>
        <w:t xml:space="preserve"> </w:t>
      </w:r>
      <w:r>
        <w:rPr>
          <w:rFonts w:ascii="Arial" w:hAnsi="Arial" w:cs="Arial"/>
          <w:sz w:val="20"/>
          <w:szCs w:val="20"/>
        </w:rPr>
        <w:t>is</w:t>
      </w:r>
      <w:r w:rsidR="00C43BDE" w:rsidRPr="00050881">
        <w:rPr>
          <w:rFonts w:ascii="Arial" w:hAnsi="Arial" w:cs="Arial"/>
          <w:sz w:val="20"/>
          <w:szCs w:val="20"/>
        </w:rPr>
        <w:t xml:space="preserve"> </w:t>
      </w:r>
      <w:r w:rsidR="00D73280">
        <w:rPr>
          <w:rFonts w:ascii="Arial" w:hAnsi="Arial" w:cs="Arial"/>
          <w:sz w:val="20"/>
          <w:szCs w:val="20"/>
        </w:rPr>
        <w:t xml:space="preserve">a B-double </w:t>
      </w:r>
      <w:r w:rsidR="002B3AEF" w:rsidRPr="00050881">
        <w:rPr>
          <w:rFonts w:ascii="Arial" w:hAnsi="Arial" w:cs="Arial"/>
          <w:sz w:val="20"/>
          <w:szCs w:val="20"/>
        </w:rPr>
        <w:t xml:space="preserve">produces </w:t>
      </w:r>
      <w:r w:rsidR="001817F5">
        <w:rPr>
          <w:rFonts w:ascii="Arial" w:hAnsi="Arial" w:cs="Arial"/>
          <w:sz w:val="20"/>
          <w:szCs w:val="20"/>
        </w:rPr>
        <w:t>three-quarters</w:t>
      </w:r>
      <w:r w:rsidR="002B3AEF" w:rsidRPr="00050881">
        <w:rPr>
          <w:rFonts w:ascii="Arial" w:hAnsi="Arial" w:cs="Arial"/>
          <w:sz w:val="20"/>
          <w:szCs w:val="20"/>
        </w:rPr>
        <w:t xml:space="preserve"> the emissions</w:t>
      </w:r>
      <w:r w:rsidR="00D73280">
        <w:rPr>
          <w:rFonts w:ascii="Arial" w:hAnsi="Arial" w:cs="Arial"/>
          <w:sz w:val="20"/>
          <w:szCs w:val="20"/>
        </w:rPr>
        <w:t xml:space="preserve"> of a semi-trailer</w:t>
      </w:r>
      <w:r w:rsidR="00352490">
        <w:rPr>
          <w:rFonts w:ascii="Arial" w:hAnsi="Arial" w:cs="Arial"/>
          <w:sz w:val="20"/>
          <w:szCs w:val="20"/>
        </w:rPr>
        <w:t xml:space="preserve"> to complete the same freight task</w:t>
      </w:r>
      <w:r w:rsidR="00D73280">
        <w:rPr>
          <w:rFonts w:ascii="Arial" w:hAnsi="Arial" w:cs="Arial"/>
          <w:sz w:val="20"/>
          <w:szCs w:val="20"/>
        </w:rPr>
        <w:t>.</w:t>
      </w:r>
      <w:r w:rsidR="001C121B" w:rsidRPr="00050881">
        <w:rPr>
          <w:rStyle w:val="FootnoteReference"/>
          <w:rFonts w:ascii="Arial" w:hAnsi="Arial" w:cs="Arial"/>
          <w:sz w:val="20"/>
          <w:szCs w:val="20"/>
        </w:rPr>
        <w:footnoteReference w:id="6"/>
      </w:r>
      <w:r w:rsidR="00F26D5F">
        <w:rPr>
          <w:rFonts w:ascii="Arial" w:hAnsi="Arial" w:cs="Arial"/>
          <w:sz w:val="20"/>
          <w:szCs w:val="20"/>
          <w:lang w:eastAsia="en-AU"/>
        </w:rPr>
        <w:t>Emissions of carbon monoxide, hydrocarbons, nitrogen oxides and particulates from new engines fell dramatically between 1995 and 2010.</w:t>
      </w:r>
      <w:r w:rsidR="00F26D5F">
        <w:rPr>
          <w:rStyle w:val="FootnoteReference"/>
          <w:rFonts w:ascii="Arial" w:hAnsi="Arial"/>
          <w:sz w:val="20"/>
          <w:szCs w:val="20"/>
          <w:lang w:eastAsia="en-AU"/>
        </w:rPr>
        <w:footnoteReference w:id="7"/>
      </w:r>
    </w:p>
    <w:p w:rsidR="002E782F" w:rsidRPr="00050881" w:rsidRDefault="002E782F" w:rsidP="00C04619">
      <w:pPr>
        <w:rPr>
          <w:rFonts w:ascii="Arial" w:hAnsi="Arial" w:cs="Arial"/>
          <w:sz w:val="20"/>
          <w:szCs w:val="20"/>
        </w:rPr>
      </w:pPr>
    </w:p>
    <w:p w:rsidR="008E3CD2" w:rsidRPr="00050881" w:rsidRDefault="008E3CD2" w:rsidP="00C04619">
      <w:pPr>
        <w:pStyle w:val="RecommendationStyle"/>
        <w:tabs>
          <w:tab w:val="clear" w:pos="1192"/>
        </w:tabs>
        <w:spacing w:before="0" w:after="0"/>
        <w:rPr>
          <w:color w:val="000000" w:themeColor="text1"/>
        </w:rPr>
      </w:pPr>
      <w:bookmarkStart w:id="188" w:name="_Toc304815342"/>
      <w:bookmarkStart w:id="189" w:name="_Toc304815839"/>
      <w:bookmarkStart w:id="190" w:name="_Toc304818328"/>
      <w:bookmarkStart w:id="191" w:name="_Toc304884381"/>
      <w:bookmarkStart w:id="192" w:name="_Toc304970881"/>
      <w:bookmarkStart w:id="193" w:name="_Toc305498111"/>
      <w:bookmarkStart w:id="194" w:name="_Toc305498170"/>
      <w:bookmarkStart w:id="195" w:name="_Toc305498222"/>
      <w:bookmarkStart w:id="196" w:name="_Toc305498339"/>
      <w:bookmarkStart w:id="197" w:name="_Toc306622944"/>
      <w:bookmarkStart w:id="198" w:name="_Toc306690329"/>
      <w:bookmarkStart w:id="199" w:name="_Toc306699153"/>
      <w:bookmarkStart w:id="200" w:name="_Toc306879739"/>
      <w:bookmarkStart w:id="201" w:name="_Toc306883079"/>
      <w:bookmarkStart w:id="202" w:name="_Toc306890750"/>
      <w:bookmarkStart w:id="203" w:name="_Toc306890768"/>
      <w:bookmarkStart w:id="204" w:name="_Toc306890882"/>
      <w:bookmarkStart w:id="205" w:name="_Toc306891313"/>
      <w:bookmarkStart w:id="206" w:name="_Toc306950032"/>
      <w:bookmarkStart w:id="207" w:name="_Toc30695016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C81D29" w:rsidRDefault="00C81D29" w:rsidP="00C04619">
      <w:pPr>
        <w:pStyle w:val="RecommendationStyle"/>
        <w:numPr>
          <w:ilvl w:val="0"/>
          <w:numId w:val="0"/>
        </w:numPr>
        <w:spacing w:before="0" w:after="0"/>
        <w:rPr>
          <w:color w:val="000000" w:themeColor="text1"/>
        </w:rPr>
      </w:pPr>
      <w:bookmarkStart w:id="208" w:name="_Toc304815343"/>
      <w:bookmarkStart w:id="209" w:name="_Toc304815840"/>
      <w:bookmarkStart w:id="210" w:name="_Toc304818329"/>
      <w:bookmarkStart w:id="211" w:name="_Toc304884382"/>
      <w:bookmarkStart w:id="212" w:name="_Toc304970882"/>
      <w:bookmarkStart w:id="213" w:name="_Toc305498112"/>
      <w:bookmarkStart w:id="214" w:name="_Toc305498171"/>
      <w:bookmarkStart w:id="215" w:name="_Toc305498223"/>
      <w:bookmarkStart w:id="216" w:name="_Toc305498340"/>
    </w:p>
    <w:p w:rsidR="008E3CD2" w:rsidRPr="00050881" w:rsidRDefault="008E3CD2" w:rsidP="00C04619">
      <w:pPr>
        <w:pStyle w:val="RecommendationStyle"/>
        <w:numPr>
          <w:ilvl w:val="0"/>
          <w:numId w:val="0"/>
        </w:numPr>
        <w:spacing w:before="0" w:after="0"/>
        <w:rPr>
          <w:color w:val="000000" w:themeColor="text1"/>
        </w:rPr>
      </w:pPr>
      <w:bookmarkStart w:id="217" w:name="_Toc306622945"/>
      <w:bookmarkStart w:id="218" w:name="_Toc306690330"/>
      <w:bookmarkStart w:id="219" w:name="_Toc306699154"/>
      <w:bookmarkStart w:id="220" w:name="_Toc306879740"/>
      <w:bookmarkStart w:id="221" w:name="_Toc306883080"/>
      <w:bookmarkStart w:id="222" w:name="_Toc306890751"/>
      <w:bookmarkStart w:id="223" w:name="_Toc306890769"/>
      <w:bookmarkStart w:id="224" w:name="_Toc306890883"/>
      <w:bookmarkStart w:id="225" w:name="_Toc306891314"/>
      <w:bookmarkStart w:id="226" w:name="_Toc306950033"/>
      <w:bookmarkStart w:id="227" w:name="_Toc306950168"/>
      <w:r w:rsidRPr="00050881">
        <w:rPr>
          <w:color w:val="000000" w:themeColor="text1"/>
        </w:rPr>
        <w:t xml:space="preserve">The ATA recommends that logistics should be able to react </w:t>
      </w:r>
      <w:r w:rsidR="002F42BE" w:rsidRPr="00050881">
        <w:rPr>
          <w:color w:val="000000" w:themeColor="text1"/>
        </w:rPr>
        <w:t>as flexibly</w:t>
      </w:r>
      <w:r w:rsidR="00A05C28" w:rsidRPr="00050881">
        <w:rPr>
          <w:color w:val="000000" w:themeColor="text1"/>
        </w:rPr>
        <w:t xml:space="preserve"> as</w:t>
      </w:r>
      <w:r w:rsidRPr="00050881">
        <w:rPr>
          <w:color w:val="000000" w:themeColor="text1"/>
        </w:rPr>
        <w:t xml:space="preserve"> possi</w:t>
      </w:r>
      <w:r w:rsidR="00CC4C0C" w:rsidRPr="00050881">
        <w:rPr>
          <w:color w:val="000000" w:themeColor="text1"/>
        </w:rPr>
        <w:t>ble to demands in order to be optimally</w:t>
      </w:r>
      <w:r w:rsidRPr="00050881">
        <w:rPr>
          <w:color w:val="000000" w:themeColor="text1"/>
        </w:rPr>
        <w:t xml:space="preserve"> efficient</w:t>
      </w:r>
      <w:bookmarkEnd w:id="208"/>
      <w:bookmarkEnd w:id="209"/>
      <w:bookmarkEnd w:id="210"/>
      <w:r w:rsidR="00A71876">
        <w:rPr>
          <w:color w:val="000000" w:themeColor="text1"/>
        </w:rPr>
        <w:t xml:space="preserve">. </w:t>
      </w:r>
      <w:r w:rsidR="00A71876" w:rsidRPr="0090183B">
        <w:rPr>
          <w:color w:val="000000" w:themeColor="text1"/>
        </w:rPr>
        <w:t>T</w:t>
      </w:r>
      <w:r w:rsidR="00C43BDE" w:rsidRPr="0090183B">
        <w:rPr>
          <w:color w:val="000000" w:themeColor="text1"/>
        </w:rPr>
        <w:t>his requires regulations that facilitate pro</w:t>
      </w:r>
      <w:r w:rsidR="00CC4C0C" w:rsidRPr="0090183B">
        <w:rPr>
          <w:color w:val="000000" w:themeColor="text1"/>
        </w:rPr>
        <w:t xml:space="preserve">ductivity and include external </w:t>
      </w:r>
      <w:r w:rsidR="00C43BDE" w:rsidRPr="0090183B">
        <w:rPr>
          <w:color w:val="000000" w:themeColor="text1"/>
        </w:rPr>
        <w:t xml:space="preserve">review of access decisions to promote good </w:t>
      </w:r>
      <w:r w:rsidR="00CC4C0C" w:rsidRPr="0090183B">
        <w:rPr>
          <w:color w:val="000000" w:themeColor="text1"/>
        </w:rPr>
        <w:t>judgment</w:t>
      </w:r>
      <w:r w:rsidR="00C43BDE" w:rsidRPr="0090183B">
        <w:rPr>
          <w:color w:val="000000" w:themeColor="text1"/>
        </w:rPr>
        <w: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C43BDE" w:rsidRPr="00A71876">
        <w:rPr>
          <w:color w:val="000000" w:themeColor="text1"/>
          <w:u w:val="single"/>
        </w:rPr>
        <w:t xml:space="preserve"> </w:t>
      </w:r>
    </w:p>
    <w:p w:rsidR="00D66519" w:rsidRDefault="00D66519" w:rsidP="00C04619">
      <w:pPr>
        <w:pStyle w:val="Heading1"/>
        <w:numPr>
          <w:ilvl w:val="0"/>
          <w:numId w:val="0"/>
        </w:numPr>
        <w:rPr>
          <w:sz w:val="20"/>
          <w:szCs w:val="20"/>
        </w:rPr>
      </w:pPr>
    </w:p>
    <w:p w:rsidR="00C81D29" w:rsidRPr="00C81D29" w:rsidRDefault="00C81D29" w:rsidP="00C04619"/>
    <w:p w:rsidR="002B3AEF" w:rsidRPr="00D73280" w:rsidRDefault="0090183B" w:rsidP="00C04619">
      <w:pPr>
        <w:pStyle w:val="Heading1"/>
        <w:numPr>
          <w:ilvl w:val="0"/>
          <w:numId w:val="0"/>
        </w:numPr>
        <w:ind w:left="709" w:hanging="709"/>
      </w:pPr>
      <w:bookmarkStart w:id="228" w:name="_Toc306890896"/>
      <w:r>
        <w:t>7</w:t>
      </w:r>
      <w:r w:rsidR="00990F9E" w:rsidRPr="00D73280">
        <w:t>.2</w:t>
      </w:r>
      <w:r w:rsidR="00E03E14">
        <w:tab/>
        <w:t xml:space="preserve"> </w:t>
      </w:r>
      <w:r w:rsidR="00A05C28" w:rsidRPr="00D73280">
        <w:t>Heavy vehicle regulation in the resources s</w:t>
      </w:r>
      <w:r w:rsidR="00990F9E" w:rsidRPr="00D73280">
        <w:t>ector</w:t>
      </w:r>
      <w:bookmarkEnd w:id="228"/>
      <w:r w:rsidR="00990F9E" w:rsidRPr="00D73280">
        <w:t xml:space="preserve"> </w:t>
      </w:r>
    </w:p>
    <w:p w:rsidR="002B3AEF" w:rsidRPr="00050881" w:rsidRDefault="002B3AEF" w:rsidP="00C04619">
      <w:pPr>
        <w:rPr>
          <w:rFonts w:ascii="Arial" w:hAnsi="Arial" w:cs="Arial"/>
          <w:sz w:val="20"/>
          <w:szCs w:val="20"/>
        </w:rPr>
      </w:pPr>
    </w:p>
    <w:p w:rsidR="00C93193" w:rsidRPr="00050881" w:rsidRDefault="00FB5163" w:rsidP="00C04619">
      <w:pPr>
        <w:rPr>
          <w:rFonts w:ascii="Arial" w:hAnsi="Arial" w:cs="Arial"/>
          <w:sz w:val="20"/>
          <w:szCs w:val="20"/>
        </w:rPr>
      </w:pPr>
      <w:r w:rsidRPr="00050881">
        <w:rPr>
          <w:rFonts w:ascii="Arial" w:hAnsi="Arial" w:cs="Arial"/>
          <w:sz w:val="20"/>
          <w:szCs w:val="20"/>
        </w:rPr>
        <w:t xml:space="preserve">Movements </w:t>
      </w:r>
      <w:r w:rsidR="00352490">
        <w:rPr>
          <w:rFonts w:ascii="Arial" w:hAnsi="Arial" w:cs="Arial"/>
          <w:sz w:val="20"/>
          <w:szCs w:val="20"/>
        </w:rPr>
        <w:t>in the resources sector</w:t>
      </w:r>
      <w:r w:rsidR="00213C59" w:rsidRPr="00050881">
        <w:rPr>
          <w:rFonts w:ascii="Arial" w:hAnsi="Arial" w:cs="Arial"/>
          <w:sz w:val="20"/>
          <w:szCs w:val="20"/>
        </w:rPr>
        <w:t xml:space="preserve"> </w:t>
      </w:r>
      <w:r w:rsidRPr="00050881">
        <w:rPr>
          <w:rFonts w:ascii="Arial" w:hAnsi="Arial" w:cs="Arial"/>
          <w:sz w:val="20"/>
          <w:szCs w:val="20"/>
        </w:rPr>
        <w:t>can require permits</w:t>
      </w:r>
      <w:r w:rsidR="00213C59" w:rsidRPr="00050881">
        <w:rPr>
          <w:rFonts w:ascii="Arial" w:hAnsi="Arial" w:cs="Arial"/>
          <w:sz w:val="20"/>
          <w:szCs w:val="20"/>
        </w:rPr>
        <w:t xml:space="preserve"> because of the nature of the good</w:t>
      </w:r>
      <w:r w:rsidRPr="00050881">
        <w:rPr>
          <w:rFonts w:ascii="Arial" w:hAnsi="Arial" w:cs="Arial"/>
          <w:sz w:val="20"/>
          <w:szCs w:val="20"/>
        </w:rPr>
        <w:t>s</w:t>
      </w:r>
      <w:r w:rsidR="00213C59" w:rsidRPr="00050881">
        <w:rPr>
          <w:rFonts w:ascii="Arial" w:hAnsi="Arial" w:cs="Arial"/>
          <w:sz w:val="20"/>
          <w:szCs w:val="20"/>
        </w:rPr>
        <w:t xml:space="preserve"> </w:t>
      </w:r>
      <w:r w:rsidR="00352490" w:rsidRPr="00050881">
        <w:rPr>
          <w:rFonts w:ascii="Arial" w:hAnsi="Arial" w:cs="Arial"/>
          <w:sz w:val="20"/>
          <w:szCs w:val="20"/>
        </w:rPr>
        <w:t>carried;</w:t>
      </w:r>
      <w:r w:rsidR="00C43BDE" w:rsidRPr="00050881">
        <w:rPr>
          <w:rFonts w:ascii="Arial" w:hAnsi="Arial" w:cs="Arial"/>
          <w:sz w:val="20"/>
          <w:szCs w:val="20"/>
        </w:rPr>
        <w:t xml:space="preserve"> generally they are </w:t>
      </w:r>
      <w:r w:rsidR="00352490">
        <w:rPr>
          <w:rFonts w:ascii="Arial" w:hAnsi="Arial" w:cs="Arial"/>
          <w:sz w:val="20"/>
          <w:szCs w:val="20"/>
        </w:rPr>
        <w:t xml:space="preserve">indivisible, large, bulky machinery. </w:t>
      </w:r>
      <w:r w:rsidR="00213C59" w:rsidRPr="00050881">
        <w:rPr>
          <w:rFonts w:ascii="Arial" w:hAnsi="Arial" w:cs="Arial"/>
          <w:sz w:val="20"/>
          <w:szCs w:val="20"/>
        </w:rPr>
        <w:t xml:space="preserve">While this is increasingly necessary for </w:t>
      </w:r>
      <w:r w:rsidR="00F06E9C" w:rsidRPr="00050881">
        <w:rPr>
          <w:rFonts w:ascii="Arial" w:hAnsi="Arial" w:cs="Arial"/>
          <w:sz w:val="20"/>
          <w:szCs w:val="20"/>
        </w:rPr>
        <w:t>saf</w:t>
      </w:r>
      <w:r w:rsidR="00F06E9C">
        <w:rPr>
          <w:rFonts w:ascii="Arial" w:hAnsi="Arial" w:cs="Arial"/>
          <w:sz w:val="20"/>
          <w:szCs w:val="20"/>
        </w:rPr>
        <w:t>ety’s</w:t>
      </w:r>
      <w:r w:rsidR="00213C59" w:rsidRPr="00050881">
        <w:rPr>
          <w:rFonts w:ascii="Arial" w:hAnsi="Arial" w:cs="Arial"/>
          <w:sz w:val="20"/>
          <w:szCs w:val="20"/>
        </w:rPr>
        <w:t xml:space="preserve"> sake, the system is far from effective</w:t>
      </w:r>
      <w:r w:rsidR="00352490">
        <w:rPr>
          <w:rFonts w:ascii="Arial" w:hAnsi="Arial" w:cs="Arial"/>
          <w:sz w:val="20"/>
          <w:szCs w:val="20"/>
        </w:rPr>
        <w:t>,</w:t>
      </w:r>
      <w:r w:rsidR="00213C59" w:rsidRPr="00050881">
        <w:rPr>
          <w:rFonts w:ascii="Arial" w:hAnsi="Arial" w:cs="Arial"/>
          <w:sz w:val="20"/>
          <w:szCs w:val="20"/>
        </w:rPr>
        <w:t xml:space="preserve"> as </w:t>
      </w:r>
      <w:r w:rsidR="00C93193" w:rsidRPr="00050881">
        <w:rPr>
          <w:rFonts w:ascii="Arial" w:hAnsi="Arial" w:cs="Arial"/>
          <w:sz w:val="20"/>
          <w:szCs w:val="20"/>
        </w:rPr>
        <w:t xml:space="preserve">there </w:t>
      </w:r>
      <w:r w:rsidR="0090183B">
        <w:rPr>
          <w:rFonts w:ascii="Arial" w:hAnsi="Arial" w:cs="Arial"/>
          <w:sz w:val="20"/>
          <w:szCs w:val="20"/>
        </w:rPr>
        <w:t>is</w:t>
      </w:r>
      <w:r w:rsidR="0090183B" w:rsidRPr="00050881">
        <w:rPr>
          <w:rFonts w:ascii="Arial" w:hAnsi="Arial" w:cs="Arial"/>
          <w:sz w:val="20"/>
          <w:szCs w:val="20"/>
        </w:rPr>
        <w:t xml:space="preserve"> a significant overlapping difference</w:t>
      </w:r>
      <w:r w:rsidR="00C43BDE" w:rsidRPr="00050881">
        <w:rPr>
          <w:rFonts w:ascii="Arial" w:hAnsi="Arial" w:cs="Arial"/>
          <w:sz w:val="20"/>
          <w:szCs w:val="20"/>
        </w:rPr>
        <w:t xml:space="preserve"> </w:t>
      </w:r>
      <w:r w:rsidR="00C93193" w:rsidRPr="00050881">
        <w:rPr>
          <w:rFonts w:ascii="Arial" w:hAnsi="Arial" w:cs="Arial"/>
          <w:sz w:val="20"/>
          <w:szCs w:val="20"/>
        </w:rPr>
        <w:t xml:space="preserve">in what is </w:t>
      </w:r>
      <w:r w:rsidRPr="00050881">
        <w:rPr>
          <w:rFonts w:ascii="Arial" w:hAnsi="Arial" w:cs="Arial"/>
          <w:sz w:val="20"/>
          <w:szCs w:val="20"/>
        </w:rPr>
        <w:t>compulsory</w:t>
      </w:r>
      <w:r w:rsidR="00C93193" w:rsidRPr="00050881">
        <w:rPr>
          <w:rFonts w:ascii="Arial" w:hAnsi="Arial" w:cs="Arial"/>
          <w:sz w:val="20"/>
          <w:szCs w:val="20"/>
        </w:rPr>
        <w:t xml:space="preserve"> </w:t>
      </w:r>
      <w:r w:rsidRPr="00050881">
        <w:rPr>
          <w:rFonts w:ascii="Arial" w:hAnsi="Arial" w:cs="Arial"/>
          <w:sz w:val="20"/>
          <w:szCs w:val="20"/>
        </w:rPr>
        <w:t>for</w:t>
      </w:r>
      <w:r w:rsidR="00C93193" w:rsidRPr="00050881">
        <w:rPr>
          <w:rFonts w:ascii="Arial" w:hAnsi="Arial" w:cs="Arial"/>
          <w:sz w:val="20"/>
          <w:szCs w:val="20"/>
        </w:rPr>
        <w:t xml:space="preserve"> operators in different local government areas. </w:t>
      </w:r>
    </w:p>
    <w:p w:rsidR="001D1836" w:rsidRDefault="001D1836" w:rsidP="00C04619">
      <w:pPr>
        <w:rPr>
          <w:rFonts w:ascii="Arial" w:hAnsi="Arial" w:cs="Arial"/>
          <w:sz w:val="20"/>
          <w:szCs w:val="20"/>
        </w:rPr>
      </w:pPr>
    </w:p>
    <w:p w:rsidR="00802A51" w:rsidRDefault="00802A51" w:rsidP="00C04619">
      <w:pPr>
        <w:rPr>
          <w:rFonts w:ascii="Arial" w:hAnsi="Arial" w:cs="Arial"/>
          <w:sz w:val="20"/>
          <w:szCs w:val="20"/>
        </w:rPr>
      </w:pPr>
      <w:r>
        <w:rPr>
          <w:rFonts w:ascii="Arial" w:hAnsi="Arial" w:cs="Arial"/>
          <w:sz w:val="20"/>
          <w:szCs w:val="20"/>
        </w:rPr>
        <w:t>For instance, a mining company finds it better for business to move resources by short sea shipping between Queensland and New South Wales rather than using heavy vehicles</w:t>
      </w:r>
      <w:r w:rsidR="00C04619">
        <w:rPr>
          <w:rFonts w:ascii="Arial" w:hAnsi="Arial" w:cs="Arial"/>
          <w:sz w:val="20"/>
          <w:szCs w:val="20"/>
        </w:rPr>
        <w:t>.</w:t>
      </w:r>
      <w:r>
        <w:rPr>
          <w:rFonts w:ascii="Arial" w:hAnsi="Arial" w:cs="Arial"/>
          <w:sz w:val="20"/>
          <w:szCs w:val="20"/>
        </w:rPr>
        <w:t xml:space="preserve"> NSW does not permit the larger vehicles to operate on the road and would require significant de-coupling of heavy vehicles in order to access its roads. Short sea shipping takes more time, has a higher cost and means that heavy vehicles have to travel to port and back again, however</w:t>
      </w:r>
      <w:r w:rsidR="00151950">
        <w:rPr>
          <w:rFonts w:ascii="Arial" w:hAnsi="Arial" w:cs="Arial"/>
          <w:sz w:val="20"/>
          <w:szCs w:val="20"/>
        </w:rPr>
        <w:t>,</w:t>
      </w:r>
      <w:r>
        <w:rPr>
          <w:rFonts w:ascii="Arial" w:hAnsi="Arial" w:cs="Arial"/>
          <w:sz w:val="20"/>
          <w:szCs w:val="20"/>
        </w:rPr>
        <w:t xml:space="preserve"> for the mine it is a more attractive way to move freight compared to using heavy vehicles</w:t>
      </w:r>
      <w:r w:rsidR="00C04619">
        <w:rPr>
          <w:rFonts w:ascii="Arial" w:hAnsi="Arial" w:cs="Arial"/>
          <w:sz w:val="20"/>
          <w:szCs w:val="20"/>
        </w:rPr>
        <w:t xml:space="preserve"> because of the regulation</w:t>
      </w:r>
      <w:r>
        <w:rPr>
          <w:rFonts w:ascii="Arial" w:hAnsi="Arial" w:cs="Arial"/>
          <w:sz w:val="20"/>
          <w:szCs w:val="20"/>
        </w:rPr>
        <w:t xml:space="preserve">. </w:t>
      </w:r>
    </w:p>
    <w:p w:rsidR="002E782F" w:rsidRPr="00050881" w:rsidRDefault="002E782F" w:rsidP="00C04619">
      <w:pPr>
        <w:rPr>
          <w:rFonts w:ascii="Arial" w:hAnsi="Arial" w:cs="Arial"/>
          <w:sz w:val="20"/>
          <w:szCs w:val="20"/>
        </w:rPr>
      </w:pPr>
    </w:p>
    <w:p w:rsidR="008E3CD2" w:rsidRPr="00050881" w:rsidRDefault="008E3CD2" w:rsidP="00C04619">
      <w:pPr>
        <w:pStyle w:val="RecommendationStyle"/>
        <w:tabs>
          <w:tab w:val="clear" w:pos="1192"/>
        </w:tabs>
        <w:spacing w:before="0" w:after="0"/>
        <w:rPr>
          <w:color w:val="000000" w:themeColor="text1"/>
        </w:rPr>
      </w:pPr>
      <w:bookmarkStart w:id="229" w:name="_Toc304815344"/>
      <w:bookmarkStart w:id="230" w:name="_Toc304815841"/>
      <w:bookmarkStart w:id="231" w:name="_Toc304818330"/>
      <w:bookmarkStart w:id="232" w:name="_Toc304884383"/>
      <w:bookmarkStart w:id="233" w:name="_Toc304970883"/>
      <w:bookmarkStart w:id="234" w:name="_Toc305498113"/>
      <w:bookmarkStart w:id="235" w:name="_Toc305498172"/>
      <w:bookmarkStart w:id="236" w:name="_Toc305498224"/>
      <w:bookmarkStart w:id="237" w:name="_Toc305498341"/>
      <w:bookmarkStart w:id="238" w:name="_Toc306622946"/>
      <w:bookmarkStart w:id="239" w:name="_Toc306690331"/>
      <w:bookmarkStart w:id="240" w:name="_Toc306699155"/>
      <w:bookmarkStart w:id="241" w:name="_Toc306879741"/>
      <w:bookmarkStart w:id="242" w:name="_Toc306883081"/>
      <w:bookmarkStart w:id="243" w:name="_Toc306890752"/>
      <w:bookmarkStart w:id="244" w:name="_Toc306890770"/>
      <w:bookmarkStart w:id="245" w:name="_Toc306890884"/>
      <w:bookmarkStart w:id="246" w:name="_Toc306891315"/>
      <w:bookmarkStart w:id="247" w:name="_Toc306950034"/>
      <w:bookmarkStart w:id="248" w:name="_Toc30695016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C81D29" w:rsidRDefault="00C81D29" w:rsidP="00C04619">
      <w:pPr>
        <w:pStyle w:val="RecommendationStyle"/>
        <w:numPr>
          <w:ilvl w:val="0"/>
          <w:numId w:val="0"/>
        </w:numPr>
        <w:spacing w:before="0" w:after="0"/>
        <w:rPr>
          <w:color w:val="000000" w:themeColor="text1"/>
        </w:rPr>
      </w:pPr>
      <w:bookmarkStart w:id="249" w:name="_Toc304815345"/>
      <w:bookmarkStart w:id="250" w:name="_Toc304815842"/>
      <w:bookmarkStart w:id="251" w:name="_Toc304818331"/>
      <w:bookmarkStart w:id="252" w:name="_Toc304884384"/>
      <w:bookmarkStart w:id="253" w:name="_Toc304970884"/>
      <w:bookmarkStart w:id="254" w:name="_Toc305498114"/>
      <w:bookmarkStart w:id="255" w:name="_Toc305498173"/>
      <w:bookmarkStart w:id="256" w:name="_Toc305498225"/>
      <w:bookmarkStart w:id="257" w:name="_Toc305498342"/>
    </w:p>
    <w:p w:rsidR="008E3CD2" w:rsidRPr="00050881" w:rsidRDefault="008E3CD2" w:rsidP="00C04619">
      <w:pPr>
        <w:pStyle w:val="RecommendationStyle"/>
        <w:numPr>
          <w:ilvl w:val="0"/>
          <w:numId w:val="0"/>
        </w:numPr>
        <w:spacing w:before="0" w:after="0"/>
        <w:rPr>
          <w:color w:val="000000" w:themeColor="text1"/>
        </w:rPr>
      </w:pPr>
      <w:bookmarkStart w:id="258" w:name="_Toc306622947"/>
      <w:bookmarkStart w:id="259" w:name="_Toc306690332"/>
      <w:bookmarkStart w:id="260" w:name="_Toc306699156"/>
      <w:bookmarkStart w:id="261" w:name="_Toc306879742"/>
      <w:bookmarkStart w:id="262" w:name="_Toc306883082"/>
      <w:bookmarkStart w:id="263" w:name="_Toc306890753"/>
      <w:bookmarkStart w:id="264" w:name="_Toc306890771"/>
      <w:bookmarkStart w:id="265" w:name="_Toc306890885"/>
      <w:bookmarkStart w:id="266" w:name="_Toc306891316"/>
      <w:bookmarkStart w:id="267" w:name="_Toc306950035"/>
      <w:bookmarkStart w:id="268" w:name="_Toc306950170"/>
      <w:r w:rsidRPr="00050881">
        <w:rPr>
          <w:color w:val="000000" w:themeColor="text1"/>
        </w:rPr>
        <w:t xml:space="preserve">The ATA recommends </w:t>
      </w:r>
      <w:bookmarkEnd w:id="249"/>
      <w:r w:rsidR="00F83C66" w:rsidRPr="00050881">
        <w:rPr>
          <w:color w:val="000000" w:themeColor="text1"/>
        </w:rPr>
        <w:t>regulation should be standardised</w:t>
      </w:r>
      <w:r w:rsidR="00F769BB" w:rsidRPr="00050881">
        <w:rPr>
          <w:color w:val="000000" w:themeColor="text1"/>
        </w:rPr>
        <w:t xml:space="preserve"> on best practice</w:t>
      </w:r>
      <w:r w:rsidR="00F83C66" w:rsidRPr="00050881">
        <w:rPr>
          <w:color w:val="000000" w:themeColor="text1"/>
        </w:rPr>
        <w:t xml:space="preserve"> to make sure </w:t>
      </w:r>
      <w:r w:rsidR="002D5D45">
        <w:rPr>
          <w:color w:val="000000" w:themeColor="text1"/>
        </w:rPr>
        <w:t>it</w:t>
      </w:r>
      <w:r w:rsidR="00F83C66" w:rsidRPr="00050881">
        <w:rPr>
          <w:color w:val="000000" w:themeColor="text1"/>
        </w:rPr>
        <w:t xml:space="preserve"> is </w:t>
      </w:r>
      <w:r w:rsidR="00C04619">
        <w:rPr>
          <w:color w:val="000000" w:themeColor="text1"/>
        </w:rPr>
        <w:t xml:space="preserve">as </w:t>
      </w:r>
      <w:r w:rsidR="00F83C66" w:rsidRPr="00050881">
        <w:rPr>
          <w:color w:val="000000" w:themeColor="text1"/>
        </w:rPr>
        <w:t>effective as possible.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F83C66" w:rsidRDefault="00F83C66" w:rsidP="00C04619">
      <w:pPr>
        <w:rPr>
          <w:rFonts w:ascii="Arial" w:hAnsi="Arial" w:cs="Arial"/>
          <w:sz w:val="20"/>
          <w:szCs w:val="20"/>
        </w:rPr>
      </w:pPr>
    </w:p>
    <w:p w:rsidR="00C81D29" w:rsidRPr="00050881" w:rsidRDefault="00C81D29" w:rsidP="00C04619">
      <w:pPr>
        <w:rPr>
          <w:rFonts w:ascii="Arial" w:hAnsi="Arial" w:cs="Arial"/>
          <w:sz w:val="20"/>
          <w:szCs w:val="20"/>
        </w:rPr>
      </w:pPr>
    </w:p>
    <w:p w:rsidR="002B3AEF" w:rsidRPr="00D73280" w:rsidRDefault="0090183B" w:rsidP="00C04619">
      <w:pPr>
        <w:pStyle w:val="Heading1"/>
        <w:numPr>
          <w:ilvl w:val="0"/>
          <w:numId w:val="0"/>
        </w:numPr>
        <w:ind w:left="360" w:hanging="360"/>
      </w:pPr>
      <w:bookmarkStart w:id="269" w:name="_Toc306890897"/>
      <w:r>
        <w:t>7</w:t>
      </w:r>
      <w:r w:rsidR="00990F9E" w:rsidRPr="00D73280">
        <w:t>.3</w:t>
      </w:r>
      <w:r w:rsidR="00F83C66" w:rsidRPr="00D73280">
        <w:t xml:space="preserve"> </w:t>
      </w:r>
      <w:r w:rsidR="00F83C66" w:rsidRPr="00D73280">
        <w:tab/>
      </w:r>
      <w:r w:rsidR="00E03E14">
        <w:t xml:space="preserve"> </w:t>
      </w:r>
      <w:r w:rsidR="00A05C28" w:rsidRPr="00D73280">
        <w:t>Heavy vehicle regulation in the primary p</w:t>
      </w:r>
      <w:r w:rsidR="00990F9E" w:rsidRPr="00D73280">
        <w:t xml:space="preserve">roduct </w:t>
      </w:r>
      <w:r w:rsidR="00F769BB" w:rsidRPr="00D73280">
        <w:t>sector</w:t>
      </w:r>
      <w:bookmarkEnd w:id="269"/>
      <w:r w:rsidR="00F769BB" w:rsidRPr="00D73280">
        <w:t xml:space="preserve"> </w:t>
      </w:r>
    </w:p>
    <w:p w:rsidR="008B4B63" w:rsidRPr="00050881" w:rsidRDefault="008B4B63" w:rsidP="00C04619">
      <w:pPr>
        <w:rPr>
          <w:rFonts w:ascii="Arial" w:hAnsi="Arial" w:cs="Arial"/>
          <w:sz w:val="20"/>
          <w:szCs w:val="20"/>
        </w:rPr>
      </w:pPr>
    </w:p>
    <w:p w:rsidR="008B4B63" w:rsidRPr="00050881" w:rsidRDefault="008B4B63" w:rsidP="00C04619">
      <w:pPr>
        <w:rPr>
          <w:rFonts w:ascii="Arial" w:hAnsi="Arial" w:cs="Arial"/>
          <w:sz w:val="20"/>
          <w:szCs w:val="20"/>
        </w:rPr>
      </w:pPr>
      <w:r w:rsidRPr="00050881">
        <w:rPr>
          <w:rFonts w:ascii="Arial" w:hAnsi="Arial" w:cs="Arial"/>
          <w:sz w:val="20"/>
          <w:szCs w:val="20"/>
        </w:rPr>
        <w:t xml:space="preserve">The agricultural industry relies </w:t>
      </w:r>
      <w:r w:rsidR="001C121B" w:rsidRPr="00050881">
        <w:rPr>
          <w:rFonts w:ascii="Arial" w:hAnsi="Arial" w:cs="Arial"/>
          <w:sz w:val="20"/>
          <w:szCs w:val="20"/>
        </w:rPr>
        <w:t>a great deal</w:t>
      </w:r>
      <w:r w:rsidRPr="00050881">
        <w:rPr>
          <w:rFonts w:ascii="Arial" w:hAnsi="Arial" w:cs="Arial"/>
          <w:sz w:val="20"/>
          <w:szCs w:val="20"/>
        </w:rPr>
        <w:t xml:space="preserve"> on the heavy vehicle industry as the prime mode of transport for the majority of goods produced. </w:t>
      </w:r>
      <w:r w:rsidR="001D1836">
        <w:rPr>
          <w:rFonts w:ascii="Arial" w:hAnsi="Arial" w:cs="Arial"/>
          <w:sz w:val="20"/>
          <w:szCs w:val="20"/>
        </w:rPr>
        <w:t xml:space="preserve">Many places cannot access high </w:t>
      </w:r>
      <w:r w:rsidR="009D07EF" w:rsidRPr="00050881">
        <w:rPr>
          <w:rFonts w:ascii="Arial" w:hAnsi="Arial" w:cs="Arial"/>
          <w:sz w:val="20"/>
          <w:szCs w:val="20"/>
        </w:rPr>
        <w:t>productivity vehicles</w:t>
      </w:r>
      <w:r w:rsidR="0018136A" w:rsidRPr="00050881">
        <w:rPr>
          <w:rFonts w:ascii="Arial" w:hAnsi="Arial" w:cs="Arial"/>
          <w:sz w:val="20"/>
          <w:szCs w:val="20"/>
        </w:rPr>
        <w:t xml:space="preserve"> due to the lack of road</w:t>
      </w:r>
      <w:r w:rsidR="009D07EF" w:rsidRPr="00050881">
        <w:rPr>
          <w:rFonts w:ascii="Arial" w:hAnsi="Arial" w:cs="Arial"/>
          <w:sz w:val="20"/>
          <w:szCs w:val="20"/>
        </w:rPr>
        <w:t xml:space="preserve"> access. </w:t>
      </w:r>
      <w:r w:rsidR="0018136A" w:rsidRPr="00050881">
        <w:rPr>
          <w:rFonts w:ascii="Arial" w:hAnsi="Arial" w:cs="Arial"/>
          <w:sz w:val="20"/>
          <w:szCs w:val="20"/>
        </w:rPr>
        <w:t>Local governments can provide quote</w:t>
      </w:r>
      <w:r w:rsidR="007B6A76">
        <w:rPr>
          <w:rFonts w:ascii="Arial" w:hAnsi="Arial" w:cs="Arial"/>
          <w:sz w:val="20"/>
          <w:szCs w:val="20"/>
        </w:rPr>
        <w:t>s o</w:t>
      </w:r>
      <w:r w:rsidR="0018136A" w:rsidRPr="00050881">
        <w:rPr>
          <w:rFonts w:ascii="Arial" w:hAnsi="Arial" w:cs="Arial"/>
          <w:sz w:val="20"/>
          <w:szCs w:val="20"/>
        </w:rPr>
        <w:t xml:space="preserve">n how much it would cost to </w:t>
      </w:r>
      <w:r w:rsidR="00250E06" w:rsidRPr="00050881">
        <w:rPr>
          <w:rFonts w:ascii="Arial" w:hAnsi="Arial" w:cs="Arial"/>
          <w:sz w:val="20"/>
          <w:szCs w:val="20"/>
        </w:rPr>
        <w:t>upgrade</w:t>
      </w:r>
      <w:r w:rsidR="0018136A" w:rsidRPr="00050881">
        <w:rPr>
          <w:rFonts w:ascii="Arial" w:hAnsi="Arial" w:cs="Arial"/>
          <w:sz w:val="20"/>
          <w:szCs w:val="20"/>
        </w:rPr>
        <w:t>, however</w:t>
      </w:r>
      <w:r w:rsidR="00250E06" w:rsidRPr="00050881">
        <w:rPr>
          <w:rFonts w:ascii="Arial" w:hAnsi="Arial" w:cs="Arial"/>
          <w:sz w:val="20"/>
          <w:szCs w:val="20"/>
        </w:rPr>
        <w:t>,</w:t>
      </w:r>
      <w:r w:rsidR="0018136A" w:rsidRPr="00050881">
        <w:rPr>
          <w:rFonts w:ascii="Arial" w:hAnsi="Arial" w:cs="Arial"/>
          <w:sz w:val="20"/>
          <w:szCs w:val="20"/>
        </w:rPr>
        <w:t xml:space="preserve"> past cases have show there can be considerable differences between private and local government quotes, with private quotes being cheaper. C</w:t>
      </w:r>
      <w:r w:rsidR="009D07EF" w:rsidRPr="00050881">
        <w:rPr>
          <w:rFonts w:ascii="Arial" w:hAnsi="Arial" w:cs="Arial"/>
          <w:sz w:val="20"/>
          <w:szCs w:val="20"/>
        </w:rPr>
        <w:t xml:space="preserve">oncerns exist over the cost-effective nature of local governments in providing the </w:t>
      </w:r>
      <w:r w:rsidR="009D07EF" w:rsidRPr="00050881">
        <w:rPr>
          <w:rFonts w:ascii="Arial" w:hAnsi="Arial" w:cs="Arial"/>
          <w:sz w:val="20"/>
          <w:szCs w:val="20"/>
        </w:rPr>
        <w:lastRenderedPageBreak/>
        <w:t xml:space="preserve">most competitive price for road provision. This directly </w:t>
      </w:r>
      <w:r w:rsidR="0018136A" w:rsidRPr="00050881">
        <w:rPr>
          <w:rFonts w:ascii="Arial" w:hAnsi="Arial" w:cs="Arial"/>
          <w:sz w:val="20"/>
          <w:szCs w:val="20"/>
        </w:rPr>
        <w:t>affects</w:t>
      </w:r>
      <w:r w:rsidR="009D07EF" w:rsidRPr="00050881">
        <w:rPr>
          <w:rFonts w:ascii="Arial" w:hAnsi="Arial" w:cs="Arial"/>
          <w:sz w:val="20"/>
          <w:szCs w:val="20"/>
        </w:rPr>
        <w:t xml:space="preserve"> the productive capacity of the business which produces goods. </w:t>
      </w:r>
    </w:p>
    <w:p w:rsidR="0049414B" w:rsidRDefault="0049414B" w:rsidP="00C04619">
      <w:pPr>
        <w:rPr>
          <w:rFonts w:ascii="Arial" w:hAnsi="Arial" w:cs="Arial"/>
          <w:sz w:val="20"/>
          <w:szCs w:val="20"/>
        </w:rPr>
      </w:pPr>
    </w:p>
    <w:p w:rsidR="0018136A" w:rsidRPr="00050881" w:rsidRDefault="0018136A" w:rsidP="00C04619">
      <w:pPr>
        <w:rPr>
          <w:rFonts w:ascii="Arial" w:hAnsi="Arial" w:cs="Arial"/>
          <w:sz w:val="20"/>
          <w:szCs w:val="20"/>
        </w:rPr>
      </w:pPr>
      <w:r w:rsidRPr="00050881">
        <w:rPr>
          <w:rFonts w:ascii="Arial" w:hAnsi="Arial" w:cs="Arial"/>
          <w:sz w:val="20"/>
          <w:szCs w:val="20"/>
        </w:rPr>
        <w:t xml:space="preserve">Agricultural goods </w:t>
      </w:r>
      <w:r w:rsidR="00151950">
        <w:rPr>
          <w:rFonts w:ascii="Arial" w:hAnsi="Arial" w:cs="Arial"/>
          <w:sz w:val="20"/>
          <w:szCs w:val="20"/>
        </w:rPr>
        <w:t xml:space="preserve">producers </w:t>
      </w:r>
      <w:r w:rsidRPr="00050881">
        <w:rPr>
          <w:rFonts w:ascii="Arial" w:hAnsi="Arial" w:cs="Arial"/>
          <w:sz w:val="20"/>
          <w:szCs w:val="20"/>
        </w:rPr>
        <w:t xml:space="preserve">come up against pressures such as </w:t>
      </w:r>
      <w:r w:rsidR="001D1836">
        <w:rPr>
          <w:rFonts w:ascii="Arial" w:hAnsi="Arial" w:cs="Arial"/>
          <w:sz w:val="20"/>
          <w:szCs w:val="20"/>
        </w:rPr>
        <w:t>ensuring</w:t>
      </w:r>
      <w:r w:rsidRPr="00050881">
        <w:rPr>
          <w:rFonts w:ascii="Arial" w:hAnsi="Arial" w:cs="Arial"/>
          <w:sz w:val="20"/>
          <w:szCs w:val="20"/>
        </w:rPr>
        <w:t xml:space="preserve"> their produce arrives as fr</w:t>
      </w:r>
      <w:r w:rsidR="001D1836">
        <w:rPr>
          <w:rFonts w:ascii="Arial" w:hAnsi="Arial" w:cs="Arial"/>
          <w:sz w:val="20"/>
          <w:szCs w:val="20"/>
        </w:rPr>
        <w:t xml:space="preserve">esh as possible to </w:t>
      </w:r>
      <w:r w:rsidR="001D1836" w:rsidRPr="00050881">
        <w:rPr>
          <w:rFonts w:ascii="Arial" w:hAnsi="Arial" w:cs="Arial"/>
          <w:sz w:val="20"/>
          <w:szCs w:val="20"/>
        </w:rPr>
        <w:t>buyers</w:t>
      </w:r>
      <w:r w:rsidR="00CD3D90" w:rsidRPr="00050881">
        <w:rPr>
          <w:rFonts w:ascii="Arial" w:hAnsi="Arial" w:cs="Arial"/>
          <w:sz w:val="20"/>
          <w:szCs w:val="20"/>
        </w:rPr>
        <w:t xml:space="preserve">, </w:t>
      </w:r>
      <w:r w:rsidR="001D1836">
        <w:rPr>
          <w:rFonts w:ascii="Arial" w:hAnsi="Arial" w:cs="Arial"/>
          <w:sz w:val="20"/>
          <w:szCs w:val="20"/>
        </w:rPr>
        <w:t xml:space="preserve">and </w:t>
      </w:r>
      <w:r w:rsidR="00AE51CF" w:rsidRPr="00050881">
        <w:rPr>
          <w:rFonts w:ascii="Arial" w:hAnsi="Arial" w:cs="Arial"/>
          <w:sz w:val="20"/>
          <w:szCs w:val="20"/>
        </w:rPr>
        <w:t xml:space="preserve">restriction </w:t>
      </w:r>
      <w:r w:rsidR="001D1836">
        <w:rPr>
          <w:rFonts w:ascii="Arial" w:hAnsi="Arial" w:cs="Arial"/>
          <w:sz w:val="20"/>
          <w:szCs w:val="20"/>
        </w:rPr>
        <w:t xml:space="preserve">of </w:t>
      </w:r>
      <w:r w:rsidR="00AE51CF" w:rsidRPr="00050881">
        <w:rPr>
          <w:rFonts w:ascii="Arial" w:hAnsi="Arial" w:cs="Arial"/>
          <w:sz w:val="20"/>
          <w:szCs w:val="20"/>
        </w:rPr>
        <w:t>hours of delivery limits the flexibility of deliver</w:t>
      </w:r>
      <w:r w:rsidR="001C121B" w:rsidRPr="00050881">
        <w:rPr>
          <w:rFonts w:ascii="Arial" w:hAnsi="Arial" w:cs="Arial"/>
          <w:sz w:val="20"/>
          <w:szCs w:val="20"/>
        </w:rPr>
        <w:t>ing goods</w:t>
      </w:r>
      <w:r w:rsidR="001D1836">
        <w:rPr>
          <w:rFonts w:ascii="Arial" w:hAnsi="Arial" w:cs="Arial"/>
          <w:sz w:val="20"/>
          <w:szCs w:val="20"/>
        </w:rPr>
        <w:t xml:space="preserve"> at their optimum</w:t>
      </w:r>
      <w:r w:rsidR="001C121B" w:rsidRPr="00050881">
        <w:rPr>
          <w:rFonts w:ascii="Arial" w:hAnsi="Arial" w:cs="Arial"/>
          <w:sz w:val="20"/>
          <w:szCs w:val="20"/>
        </w:rPr>
        <w:t>.</w:t>
      </w:r>
      <w:r w:rsidR="00CE0EFD">
        <w:rPr>
          <w:rFonts w:ascii="Arial" w:hAnsi="Arial" w:cs="Arial"/>
          <w:sz w:val="20"/>
          <w:szCs w:val="20"/>
        </w:rPr>
        <w:t xml:space="preserve"> </w:t>
      </w:r>
      <w:r w:rsidR="00151950">
        <w:rPr>
          <w:rFonts w:ascii="Arial" w:hAnsi="Arial" w:cs="Arial"/>
          <w:sz w:val="20"/>
          <w:szCs w:val="20"/>
        </w:rPr>
        <w:t>Also m</w:t>
      </w:r>
      <w:r w:rsidR="00CE0EFD">
        <w:rPr>
          <w:rFonts w:ascii="Arial" w:hAnsi="Arial" w:cs="Arial"/>
          <w:sz w:val="20"/>
          <w:szCs w:val="20"/>
        </w:rPr>
        <w:t>any orchards and market gardens are</w:t>
      </w:r>
      <w:r w:rsidR="007B6A76">
        <w:rPr>
          <w:rFonts w:ascii="Arial" w:hAnsi="Arial" w:cs="Arial"/>
          <w:sz w:val="20"/>
          <w:szCs w:val="20"/>
        </w:rPr>
        <w:t xml:space="preserve"> </w:t>
      </w:r>
      <w:r w:rsidR="00CE0EFD">
        <w:rPr>
          <w:rFonts w:ascii="Arial" w:hAnsi="Arial" w:cs="Arial"/>
          <w:sz w:val="20"/>
          <w:szCs w:val="20"/>
        </w:rPr>
        <w:t xml:space="preserve">becoming </w:t>
      </w:r>
      <w:r w:rsidR="007B6A76">
        <w:rPr>
          <w:rFonts w:ascii="Arial" w:hAnsi="Arial" w:cs="Arial"/>
          <w:sz w:val="20"/>
          <w:szCs w:val="20"/>
        </w:rPr>
        <w:t>engulfed by</w:t>
      </w:r>
      <w:r w:rsidR="00CE0EFD">
        <w:rPr>
          <w:rFonts w:ascii="Arial" w:hAnsi="Arial" w:cs="Arial"/>
          <w:sz w:val="20"/>
          <w:szCs w:val="20"/>
        </w:rPr>
        <w:t xml:space="preserve"> residential </w:t>
      </w:r>
      <w:r w:rsidR="007B6A76">
        <w:rPr>
          <w:rFonts w:ascii="Arial" w:hAnsi="Arial" w:cs="Arial"/>
          <w:sz w:val="20"/>
          <w:szCs w:val="20"/>
        </w:rPr>
        <w:t>suburbs which mean</w:t>
      </w:r>
      <w:r w:rsidR="00CE0EFD">
        <w:rPr>
          <w:rFonts w:ascii="Arial" w:hAnsi="Arial" w:cs="Arial"/>
          <w:sz w:val="20"/>
          <w:szCs w:val="20"/>
        </w:rPr>
        <w:t xml:space="preserve"> that access granted to heavy vehicles is becoming an issue due to community pressure.  </w:t>
      </w:r>
    </w:p>
    <w:p w:rsidR="00D903A6" w:rsidRPr="00050881" w:rsidRDefault="00D903A6" w:rsidP="00C04619">
      <w:pPr>
        <w:rPr>
          <w:rFonts w:ascii="Arial" w:hAnsi="Arial" w:cs="Arial"/>
          <w:sz w:val="20"/>
          <w:szCs w:val="20"/>
        </w:rPr>
      </w:pPr>
    </w:p>
    <w:p w:rsidR="00CE0EFD" w:rsidRPr="00050881" w:rsidRDefault="00AE51CF" w:rsidP="00C04619">
      <w:pPr>
        <w:rPr>
          <w:rFonts w:ascii="Arial" w:hAnsi="Arial" w:cs="Arial"/>
          <w:sz w:val="20"/>
          <w:szCs w:val="20"/>
        </w:rPr>
      </w:pPr>
      <w:r w:rsidRPr="00050881">
        <w:rPr>
          <w:rFonts w:ascii="Arial" w:hAnsi="Arial" w:cs="Arial"/>
          <w:sz w:val="20"/>
          <w:szCs w:val="20"/>
        </w:rPr>
        <w:t>Having a strong export presence is</w:t>
      </w:r>
      <w:r w:rsidR="00250E06" w:rsidRPr="00050881">
        <w:rPr>
          <w:rFonts w:ascii="Arial" w:hAnsi="Arial" w:cs="Arial"/>
          <w:sz w:val="20"/>
          <w:szCs w:val="20"/>
        </w:rPr>
        <w:t xml:space="preserve"> an economic essential for Australia</w:t>
      </w:r>
      <w:r w:rsidRPr="00050881">
        <w:rPr>
          <w:rFonts w:ascii="Arial" w:hAnsi="Arial" w:cs="Arial"/>
          <w:sz w:val="20"/>
          <w:szCs w:val="20"/>
        </w:rPr>
        <w:t xml:space="preserve">. The livestock export market </w:t>
      </w:r>
      <w:r w:rsidR="001D1836">
        <w:rPr>
          <w:rFonts w:ascii="Arial" w:hAnsi="Arial" w:cs="Arial"/>
          <w:sz w:val="20"/>
          <w:szCs w:val="20"/>
        </w:rPr>
        <w:t>plays</w:t>
      </w:r>
      <w:r w:rsidRPr="00050881">
        <w:rPr>
          <w:rFonts w:ascii="Arial" w:hAnsi="Arial" w:cs="Arial"/>
          <w:sz w:val="20"/>
          <w:szCs w:val="20"/>
        </w:rPr>
        <w:t xml:space="preserve"> a substantial</w:t>
      </w:r>
      <w:r w:rsidR="001D1836">
        <w:rPr>
          <w:rFonts w:ascii="Arial" w:hAnsi="Arial" w:cs="Arial"/>
          <w:sz w:val="20"/>
          <w:szCs w:val="20"/>
        </w:rPr>
        <w:t xml:space="preserve"> role in</w:t>
      </w:r>
      <w:r w:rsidRPr="00050881">
        <w:rPr>
          <w:rFonts w:ascii="Arial" w:hAnsi="Arial" w:cs="Arial"/>
          <w:sz w:val="20"/>
          <w:szCs w:val="20"/>
        </w:rPr>
        <w:t xml:space="preserve"> Australia’s export income</w:t>
      </w:r>
      <w:r w:rsidR="00DC2D7A">
        <w:rPr>
          <w:rFonts w:ascii="Arial" w:hAnsi="Arial" w:cs="Arial"/>
          <w:sz w:val="20"/>
          <w:szCs w:val="20"/>
        </w:rPr>
        <w:t>. R</w:t>
      </w:r>
      <w:r w:rsidRPr="00050881">
        <w:rPr>
          <w:rFonts w:ascii="Arial" w:hAnsi="Arial" w:cs="Arial"/>
          <w:sz w:val="20"/>
          <w:szCs w:val="20"/>
        </w:rPr>
        <w:t>egulation that seeks to limit the productivity of livestock movements will have significant effects on the export status of Australia.</w:t>
      </w:r>
      <w:r w:rsidR="001D1836">
        <w:rPr>
          <w:rFonts w:ascii="Arial" w:hAnsi="Arial" w:cs="Arial"/>
          <w:sz w:val="20"/>
          <w:szCs w:val="20"/>
        </w:rPr>
        <w:t xml:space="preserve"> Transporting</w:t>
      </w:r>
      <w:r w:rsidR="00A832A0" w:rsidRPr="00050881">
        <w:rPr>
          <w:rFonts w:ascii="Arial" w:hAnsi="Arial" w:cs="Arial"/>
          <w:sz w:val="20"/>
          <w:szCs w:val="20"/>
        </w:rPr>
        <w:t xml:space="preserve"> humanely, quickly and efficiently as possible will mean that animals are in better condition for export. </w:t>
      </w:r>
    </w:p>
    <w:p w:rsidR="00A832A0" w:rsidRPr="00050881" w:rsidRDefault="00A832A0" w:rsidP="00C04619">
      <w:pPr>
        <w:rPr>
          <w:rFonts w:ascii="Arial" w:hAnsi="Arial" w:cs="Arial"/>
          <w:sz w:val="20"/>
          <w:szCs w:val="20"/>
        </w:rPr>
      </w:pPr>
    </w:p>
    <w:p w:rsidR="00910C5A" w:rsidRPr="00050881" w:rsidRDefault="00A832A0" w:rsidP="00C04619">
      <w:pPr>
        <w:rPr>
          <w:rFonts w:ascii="Arial" w:hAnsi="Arial" w:cs="Arial"/>
          <w:sz w:val="20"/>
          <w:szCs w:val="20"/>
        </w:rPr>
      </w:pPr>
      <w:r w:rsidRPr="00050881">
        <w:rPr>
          <w:rFonts w:ascii="Arial" w:hAnsi="Arial" w:cs="Arial"/>
          <w:sz w:val="20"/>
          <w:szCs w:val="20"/>
        </w:rPr>
        <w:t xml:space="preserve">As noted in this section there are many areas for improvement in the function of regulation and the sectors mentioned here </w:t>
      </w:r>
      <w:r w:rsidR="001D1836">
        <w:rPr>
          <w:rFonts w:ascii="Arial" w:hAnsi="Arial" w:cs="Arial"/>
          <w:sz w:val="20"/>
          <w:szCs w:val="20"/>
        </w:rPr>
        <w:t>are just the tip of the iceberg. A</w:t>
      </w:r>
      <w:r w:rsidRPr="00050881">
        <w:rPr>
          <w:rFonts w:ascii="Arial" w:hAnsi="Arial" w:cs="Arial"/>
          <w:sz w:val="20"/>
          <w:szCs w:val="20"/>
        </w:rPr>
        <w:t>ny industries that uses logistics has to consider regulation and road provision decisions.</w:t>
      </w:r>
    </w:p>
    <w:p w:rsidR="00A832A0" w:rsidRDefault="00A832A0" w:rsidP="00C04619">
      <w:pPr>
        <w:rPr>
          <w:rFonts w:ascii="Arial" w:hAnsi="Arial" w:cs="Arial"/>
          <w:sz w:val="20"/>
          <w:szCs w:val="20"/>
        </w:rPr>
      </w:pPr>
    </w:p>
    <w:p w:rsidR="00E03E14" w:rsidRPr="00050881" w:rsidRDefault="00E03E14" w:rsidP="00C04619">
      <w:pPr>
        <w:rPr>
          <w:rFonts w:ascii="Arial" w:hAnsi="Arial" w:cs="Arial"/>
          <w:sz w:val="20"/>
          <w:szCs w:val="20"/>
        </w:rPr>
      </w:pPr>
    </w:p>
    <w:p w:rsidR="00B55488" w:rsidRPr="00D73280" w:rsidRDefault="001D1836" w:rsidP="00C04619">
      <w:pPr>
        <w:pStyle w:val="Heading1"/>
      </w:pPr>
      <w:bookmarkStart w:id="270" w:name="_Toc306890898"/>
      <w:proofErr w:type="gramStart"/>
      <w:r>
        <w:t>The National Heavy Vehicle R</w:t>
      </w:r>
      <w:r w:rsidR="00B55488" w:rsidRPr="00D73280">
        <w:t>egulator.</w:t>
      </w:r>
      <w:bookmarkEnd w:id="270"/>
      <w:proofErr w:type="gramEnd"/>
      <w:r w:rsidR="00B55488" w:rsidRPr="00D73280">
        <w:t xml:space="preserve"> </w:t>
      </w:r>
    </w:p>
    <w:p w:rsidR="00B55488" w:rsidRPr="00050881" w:rsidRDefault="00B55488" w:rsidP="00C04619">
      <w:pPr>
        <w:rPr>
          <w:rFonts w:ascii="Arial" w:hAnsi="Arial" w:cs="Arial"/>
          <w:sz w:val="20"/>
          <w:szCs w:val="20"/>
        </w:rPr>
      </w:pPr>
    </w:p>
    <w:p w:rsidR="001A5FE2" w:rsidRPr="00050881" w:rsidRDefault="000C594D" w:rsidP="00C04619">
      <w:pPr>
        <w:rPr>
          <w:rFonts w:ascii="Arial" w:hAnsi="Arial" w:cs="Arial"/>
          <w:sz w:val="20"/>
          <w:szCs w:val="20"/>
        </w:rPr>
      </w:pPr>
      <w:r w:rsidRPr="00050881">
        <w:rPr>
          <w:rFonts w:ascii="Arial" w:hAnsi="Arial" w:cs="Arial"/>
          <w:sz w:val="20"/>
          <w:szCs w:val="20"/>
        </w:rPr>
        <w:t>If the productive possib</w:t>
      </w:r>
      <w:r w:rsidR="00A05C28" w:rsidRPr="00050881">
        <w:rPr>
          <w:rFonts w:ascii="Arial" w:hAnsi="Arial" w:cs="Arial"/>
          <w:sz w:val="20"/>
          <w:szCs w:val="20"/>
        </w:rPr>
        <w:t>ility</w:t>
      </w:r>
      <w:r w:rsidRPr="00050881">
        <w:rPr>
          <w:rFonts w:ascii="Arial" w:hAnsi="Arial" w:cs="Arial"/>
          <w:sz w:val="20"/>
          <w:szCs w:val="20"/>
        </w:rPr>
        <w:t xml:space="preserve"> of the industry is to be met then there has to be a culture change around local governments </w:t>
      </w:r>
      <w:r w:rsidR="00151950" w:rsidRPr="00050881">
        <w:rPr>
          <w:rFonts w:ascii="Arial" w:hAnsi="Arial" w:cs="Arial"/>
          <w:sz w:val="20"/>
          <w:szCs w:val="20"/>
        </w:rPr>
        <w:t>altering</w:t>
      </w:r>
      <w:r w:rsidRPr="00050881">
        <w:rPr>
          <w:rFonts w:ascii="Arial" w:hAnsi="Arial" w:cs="Arial"/>
          <w:sz w:val="20"/>
          <w:szCs w:val="20"/>
        </w:rPr>
        <w:t xml:space="preserve"> regulation to suit their own wishes</w:t>
      </w:r>
      <w:r w:rsidR="001C121B" w:rsidRPr="00050881">
        <w:rPr>
          <w:rFonts w:ascii="Arial" w:hAnsi="Arial" w:cs="Arial"/>
          <w:sz w:val="20"/>
          <w:szCs w:val="20"/>
        </w:rPr>
        <w:t>,</w:t>
      </w:r>
      <w:r w:rsidR="0031301A" w:rsidRPr="00050881">
        <w:rPr>
          <w:rFonts w:ascii="Arial" w:hAnsi="Arial" w:cs="Arial"/>
          <w:sz w:val="20"/>
          <w:szCs w:val="20"/>
        </w:rPr>
        <w:t xml:space="preserve"> industry innovation for productivity should be nurtured</w:t>
      </w:r>
      <w:r w:rsidRPr="00050881">
        <w:rPr>
          <w:rFonts w:ascii="Arial" w:hAnsi="Arial" w:cs="Arial"/>
          <w:sz w:val="20"/>
          <w:szCs w:val="20"/>
        </w:rPr>
        <w:t xml:space="preserve">. </w:t>
      </w:r>
      <w:r w:rsidR="001A5FE2" w:rsidRPr="00050881">
        <w:rPr>
          <w:rFonts w:ascii="Arial" w:hAnsi="Arial" w:cs="Arial"/>
          <w:sz w:val="20"/>
          <w:szCs w:val="20"/>
        </w:rPr>
        <w:t xml:space="preserve">Currently a National Heavy Vehicle Regulator </w:t>
      </w:r>
      <w:r w:rsidR="0031301A" w:rsidRPr="00050881">
        <w:rPr>
          <w:rFonts w:ascii="Arial" w:hAnsi="Arial" w:cs="Arial"/>
          <w:sz w:val="20"/>
          <w:szCs w:val="20"/>
        </w:rPr>
        <w:t>is being created</w:t>
      </w:r>
      <w:r w:rsidR="001A5FE2" w:rsidRPr="00050881">
        <w:rPr>
          <w:rFonts w:ascii="Arial" w:hAnsi="Arial" w:cs="Arial"/>
          <w:sz w:val="20"/>
          <w:szCs w:val="20"/>
        </w:rPr>
        <w:t xml:space="preserve"> and should address some of the specific areas that we have mentioned above. </w:t>
      </w:r>
    </w:p>
    <w:p w:rsidR="001A5FE2" w:rsidRPr="00050881" w:rsidRDefault="001A5FE2" w:rsidP="00C04619">
      <w:pPr>
        <w:rPr>
          <w:rFonts w:ascii="Arial" w:hAnsi="Arial" w:cs="Arial"/>
          <w:sz w:val="20"/>
          <w:szCs w:val="20"/>
        </w:rPr>
      </w:pPr>
    </w:p>
    <w:p w:rsidR="001A5FE2" w:rsidRPr="00050881" w:rsidRDefault="001A5FE2" w:rsidP="00C04619">
      <w:pPr>
        <w:rPr>
          <w:rFonts w:ascii="Arial" w:hAnsi="Arial" w:cs="Arial"/>
          <w:sz w:val="20"/>
          <w:szCs w:val="20"/>
        </w:rPr>
      </w:pPr>
      <w:r w:rsidRPr="00050881">
        <w:rPr>
          <w:rFonts w:ascii="Arial" w:hAnsi="Arial" w:cs="Arial"/>
          <w:sz w:val="20"/>
          <w:szCs w:val="20"/>
        </w:rPr>
        <w:t>Specifically the NHVR should put an end to disconnected, subjective and inefficient regulation as well as making the cost</w:t>
      </w:r>
      <w:r w:rsidR="006F513F" w:rsidRPr="00050881">
        <w:rPr>
          <w:rFonts w:ascii="Arial" w:hAnsi="Arial" w:cs="Arial"/>
          <w:sz w:val="20"/>
          <w:szCs w:val="20"/>
        </w:rPr>
        <w:t xml:space="preserve"> and use</w:t>
      </w:r>
      <w:r w:rsidRPr="00050881">
        <w:rPr>
          <w:rFonts w:ascii="Arial" w:hAnsi="Arial" w:cs="Arial"/>
          <w:sz w:val="20"/>
          <w:szCs w:val="20"/>
        </w:rPr>
        <w:t xml:space="preserve"> of permits</w:t>
      </w:r>
      <w:r w:rsidR="001D1836">
        <w:rPr>
          <w:rFonts w:ascii="Arial" w:hAnsi="Arial" w:cs="Arial"/>
          <w:sz w:val="20"/>
          <w:szCs w:val="20"/>
        </w:rPr>
        <w:t xml:space="preserve"> more</w:t>
      </w:r>
      <w:r w:rsidRPr="00050881">
        <w:rPr>
          <w:rFonts w:ascii="Arial" w:hAnsi="Arial" w:cs="Arial"/>
          <w:sz w:val="20"/>
          <w:szCs w:val="20"/>
        </w:rPr>
        <w:t xml:space="preserve"> </w:t>
      </w:r>
      <w:r w:rsidR="001C121B" w:rsidRPr="00050881">
        <w:rPr>
          <w:rFonts w:ascii="Arial" w:hAnsi="Arial" w:cs="Arial"/>
          <w:sz w:val="20"/>
          <w:szCs w:val="20"/>
        </w:rPr>
        <w:t>transparent</w:t>
      </w:r>
      <w:r w:rsidR="006F513F" w:rsidRPr="00050881">
        <w:rPr>
          <w:rFonts w:ascii="Arial" w:hAnsi="Arial" w:cs="Arial"/>
          <w:sz w:val="20"/>
          <w:szCs w:val="20"/>
        </w:rPr>
        <w:t xml:space="preserve"> for </w:t>
      </w:r>
      <w:r w:rsidRPr="00050881">
        <w:rPr>
          <w:rFonts w:ascii="Arial" w:hAnsi="Arial" w:cs="Arial"/>
          <w:sz w:val="20"/>
          <w:szCs w:val="20"/>
        </w:rPr>
        <w:t>operators across the nation.</w:t>
      </w:r>
    </w:p>
    <w:p w:rsidR="001A5FE2" w:rsidRPr="00050881" w:rsidRDefault="001A5FE2" w:rsidP="00C04619">
      <w:pPr>
        <w:rPr>
          <w:rFonts w:ascii="Arial" w:hAnsi="Arial" w:cs="Arial"/>
          <w:sz w:val="20"/>
          <w:szCs w:val="20"/>
        </w:rPr>
      </w:pPr>
    </w:p>
    <w:p w:rsidR="00AC2FD9" w:rsidRPr="00050881" w:rsidRDefault="001A5FE2" w:rsidP="00C04619">
      <w:pPr>
        <w:rPr>
          <w:rFonts w:ascii="Arial" w:hAnsi="Arial" w:cs="Arial"/>
          <w:sz w:val="20"/>
          <w:szCs w:val="20"/>
        </w:rPr>
      </w:pPr>
      <w:r w:rsidRPr="00050881">
        <w:rPr>
          <w:rFonts w:ascii="Arial" w:hAnsi="Arial" w:cs="Arial"/>
          <w:sz w:val="20"/>
          <w:szCs w:val="20"/>
        </w:rPr>
        <w:t xml:space="preserve">The heavy vehicle </w:t>
      </w:r>
      <w:r w:rsidR="009B19FF" w:rsidRPr="00050881">
        <w:rPr>
          <w:rFonts w:ascii="Arial" w:hAnsi="Arial" w:cs="Arial"/>
          <w:sz w:val="20"/>
          <w:szCs w:val="20"/>
        </w:rPr>
        <w:t>industry</w:t>
      </w:r>
      <w:r w:rsidRPr="00050881">
        <w:rPr>
          <w:rFonts w:ascii="Arial" w:hAnsi="Arial" w:cs="Arial"/>
          <w:sz w:val="20"/>
          <w:szCs w:val="20"/>
        </w:rPr>
        <w:t xml:space="preserve"> is hoping this reform</w:t>
      </w:r>
      <w:r w:rsidR="001533EC">
        <w:rPr>
          <w:rFonts w:ascii="Arial" w:hAnsi="Arial" w:cs="Arial"/>
          <w:sz w:val="20"/>
          <w:szCs w:val="20"/>
        </w:rPr>
        <w:t>,</w:t>
      </w:r>
      <w:r w:rsidRPr="00050881">
        <w:rPr>
          <w:rFonts w:ascii="Arial" w:hAnsi="Arial" w:cs="Arial"/>
          <w:sz w:val="20"/>
          <w:szCs w:val="20"/>
        </w:rPr>
        <w:t xml:space="preserve"> which is </w:t>
      </w:r>
      <w:r w:rsidR="009B19FF" w:rsidRPr="00050881">
        <w:rPr>
          <w:rFonts w:ascii="Arial" w:hAnsi="Arial" w:cs="Arial"/>
          <w:sz w:val="20"/>
          <w:szCs w:val="20"/>
        </w:rPr>
        <w:t>dependent</w:t>
      </w:r>
      <w:r w:rsidRPr="00050881">
        <w:rPr>
          <w:rFonts w:ascii="Arial" w:hAnsi="Arial" w:cs="Arial"/>
          <w:sz w:val="20"/>
          <w:szCs w:val="20"/>
        </w:rPr>
        <w:t xml:space="preserve"> on each state agreeing to </w:t>
      </w:r>
      <w:r w:rsidR="00AC2FD9" w:rsidRPr="00050881">
        <w:rPr>
          <w:rFonts w:ascii="Arial" w:hAnsi="Arial" w:cs="Arial"/>
          <w:sz w:val="20"/>
          <w:szCs w:val="20"/>
        </w:rPr>
        <w:t>uniform heavy vehicle regulation</w:t>
      </w:r>
      <w:r w:rsidR="00A06C96">
        <w:rPr>
          <w:rFonts w:ascii="Arial" w:hAnsi="Arial" w:cs="Arial"/>
          <w:sz w:val="20"/>
          <w:szCs w:val="20"/>
        </w:rPr>
        <w:t>,</w:t>
      </w:r>
      <w:r w:rsidR="007E257F" w:rsidRPr="00050881">
        <w:rPr>
          <w:rFonts w:ascii="Arial" w:hAnsi="Arial" w:cs="Arial"/>
          <w:sz w:val="20"/>
          <w:szCs w:val="20"/>
        </w:rPr>
        <w:t xml:space="preserve"> will deliver better outcomes</w:t>
      </w:r>
      <w:r w:rsidR="00AC2FD9" w:rsidRPr="00050881">
        <w:rPr>
          <w:rFonts w:ascii="Arial" w:hAnsi="Arial" w:cs="Arial"/>
          <w:sz w:val="20"/>
          <w:szCs w:val="20"/>
        </w:rPr>
        <w:t>. The potential for</w:t>
      </w:r>
      <w:r w:rsidRPr="00050881">
        <w:rPr>
          <w:rFonts w:ascii="Arial" w:hAnsi="Arial" w:cs="Arial"/>
          <w:sz w:val="20"/>
          <w:szCs w:val="20"/>
        </w:rPr>
        <w:t xml:space="preserve"> cost-</w:t>
      </w:r>
      <w:r w:rsidR="009B19FF" w:rsidRPr="00050881">
        <w:rPr>
          <w:rFonts w:ascii="Arial" w:hAnsi="Arial" w:cs="Arial"/>
          <w:sz w:val="20"/>
          <w:szCs w:val="20"/>
        </w:rPr>
        <w:t>efficient</w:t>
      </w:r>
      <w:r w:rsidRPr="00050881">
        <w:rPr>
          <w:rFonts w:ascii="Arial" w:hAnsi="Arial" w:cs="Arial"/>
          <w:sz w:val="20"/>
          <w:szCs w:val="20"/>
        </w:rPr>
        <w:t xml:space="preserve"> savings made by operators and industry are </w:t>
      </w:r>
      <w:r w:rsidR="00A06C96">
        <w:rPr>
          <w:rFonts w:ascii="Arial" w:hAnsi="Arial" w:cs="Arial"/>
          <w:sz w:val="20"/>
          <w:szCs w:val="20"/>
        </w:rPr>
        <w:t>large</w:t>
      </w:r>
      <w:r w:rsidRPr="00050881">
        <w:rPr>
          <w:rFonts w:ascii="Arial" w:hAnsi="Arial" w:cs="Arial"/>
          <w:sz w:val="20"/>
          <w:szCs w:val="20"/>
        </w:rPr>
        <w:t xml:space="preserve">, so it is vital the process is taken seriously by </w:t>
      </w:r>
      <w:r w:rsidR="009B19FF" w:rsidRPr="00050881">
        <w:rPr>
          <w:rFonts w:ascii="Arial" w:hAnsi="Arial" w:cs="Arial"/>
          <w:sz w:val="20"/>
          <w:szCs w:val="20"/>
        </w:rPr>
        <w:t>those</w:t>
      </w:r>
      <w:r w:rsidRPr="00050881">
        <w:rPr>
          <w:rFonts w:ascii="Arial" w:hAnsi="Arial" w:cs="Arial"/>
          <w:sz w:val="20"/>
          <w:szCs w:val="20"/>
        </w:rPr>
        <w:t xml:space="preserve"> creating the regulation. </w:t>
      </w:r>
    </w:p>
    <w:p w:rsidR="00AC2FD9" w:rsidRPr="00050881" w:rsidRDefault="00AC2FD9" w:rsidP="00C04619">
      <w:pPr>
        <w:rPr>
          <w:rFonts w:ascii="Arial" w:hAnsi="Arial" w:cs="Arial"/>
          <w:sz w:val="20"/>
          <w:szCs w:val="20"/>
        </w:rPr>
      </w:pPr>
    </w:p>
    <w:p w:rsidR="001A5FE2" w:rsidRDefault="00AC2FD9" w:rsidP="00C04619">
      <w:pPr>
        <w:rPr>
          <w:rFonts w:ascii="Arial" w:hAnsi="Arial" w:cs="Arial"/>
          <w:sz w:val="20"/>
          <w:szCs w:val="20"/>
        </w:rPr>
      </w:pPr>
      <w:r w:rsidRPr="00050881">
        <w:rPr>
          <w:rFonts w:ascii="Arial" w:hAnsi="Arial" w:cs="Arial"/>
          <w:sz w:val="20"/>
          <w:szCs w:val="20"/>
        </w:rPr>
        <w:t>I</w:t>
      </w:r>
      <w:r w:rsidR="001A5FE2" w:rsidRPr="00050881">
        <w:rPr>
          <w:rFonts w:ascii="Arial" w:hAnsi="Arial" w:cs="Arial"/>
          <w:sz w:val="20"/>
          <w:szCs w:val="20"/>
        </w:rPr>
        <w:t>ndustry is invo</w:t>
      </w:r>
      <w:r w:rsidR="009B19FF" w:rsidRPr="00050881">
        <w:rPr>
          <w:rFonts w:ascii="Arial" w:hAnsi="Arial" w:cs="Arial"/>
          <w:sz w:val="20"/>
          <w:szCs w:val="20"/>
        </w:rPr>
        <w:t xml:space="preserve">lved in consultation with the NHVR, but there are fears that industry could be left with </w:t>
      </w:r>
      <w:r w:rsidR="007E257F" w:rsidRPr="00050881">
        <w:rPr>
          <w:rFonts w:ascii="Arial" w:hAnsi="Arial" w:cs="Arial"/>
          <w:sz w:val="20"/>
          <w:szCs w:val="20"/>
        </w:rPr>
        <w:t xml:space="preserve">unmet expectations. </w:t>
      </w:r>
      <w:r w:rsidR="00A06C96">
        <w:rPr>
          <w:rFonts w:ascii="Arial" w:hAnsi="Arial" w:cs="Arial"/>
          <w:sz w:val="20"/>
          <w:szCs w:val="20"/>
        </w:rPr>
        <w:t>This enhances</w:t>
      </w:r>
      <w:r w:rsidR="00DF53D7" w:rsidRPr="00050881">
        <w:rPr>
          <w:rFonts w:ascii="Arial" w:hAnsi="Arial" w:cs="Arial"/>
          <w:sz w:val="20"/>
          <w:szCs w:val="20"/>
        </w:rPr>
        <w:t xml:space="preserve"> the </w:t>
      </w:r>
      <w:r w:rsidR="00A06C96">
        <w:rPr>
          <w:rFonts w:ascii="Arial" w:hAnsi="Arial" w:cs="Arial"/>
          <w:sz w:val="20"/>
          <w:szCs w:val="20"/>
        </w:rPr>
        <w:t>concern</w:t>
      </w:r>
      <w:r w:rsidR="00DF53D7" w:rsidRPr="00050881">
        <w:rPr>
          <w:rFonts w:ascii="Arial" w:hAnsi="Arial" w:cs="Arial"/>
          <w:sz w:val="20"/>
          <w:szCs w:val="20"/>
        </w:rPr>
        <w:t xml:space="preserve"> that the Australian federal system will never be able to enforce uniformity with </w:t>
      </w:r>
      <w:r w:rsidR="007E257F" w:rsidRPr="00050881">
        <w:rPr>
          <w:rFonts w:ascii="Arial" w:hAnsi="Arial" w:cs="Arial"/>
          <w:sz w:val="20"/>
          <w:szCs w:val="20"/>
        </w:rPr>
        <w:t xml:space="preserve">best practice </w:t>
      </w:r>
      <w:r w:rsidR="00DF53D7" w:rsidRPr="00050881">
        <w:rPr>
          <w:rFonts w:ascii="Arial" w:hAnsi="Arial" w:cs="Arial"/>
          <w:sz w:val="20"/>
          <w:szCs w:val="20"/>
        </w:rPr>
        <w:t>regulation</w:t>
      </w:r>
      <w:r w:rsidR="00A06C96">
        <w:rPr>
          <w:rFonts w:ascii="Arial" w:hAnsi="Arial" w:cs="Arial"/>
          <w:sz w:val="20"/>
          <w:szCs w:val="20"/>
        </w:rPr>
        <w:t>,</w:t>
      </w:r>
      <w:r w:rsidR="00DF53D7" w:rsidRPr="00050881">
        <w:rPr>
          <w:rFonts w:ascii="Arial" w:hAnsi="Arial" w:cs="Arial"/>
          <w:sz w:val="20"/>
          <w:szCs w:val="20"/>
        </w:rPr>
        <w:t xml:space="preserve"> as states and local government will fight hard for their ow</w:t>
      </w:r>
      <w:r w:rsidR="007E257F" w:rsidRPr="00050881">
        <w:rPr>
          <w:rFonts w:ascii="Arial" w:hAnsi="Arial" w:cs="Arial"/>
          <w:sz w:val="20"/>
          <w:szCs w:val="20"/>
        </w:rPr>
        <w:t xml:space="preserve">n determination of regulations and to be </w:t>
      </w:r>
      <w:r w:rsidR="00A06C96">
        <w:rPr>
          <w:rFonts w:ascii="Arial" w:hAnsi="Arial" w:cs="Arial"/>
          <w:sz w:val="20"/>
          <w:szCs w:val="20"/>
        </w:rPr>
        <w:t>above investigation</w:t>
      </w:r>
      <w:r w:rsidR="007E257F" w:rsidRPr="00050881">
        <w:rPr>
          <w:rFonts w:ascii="Arial" w:hAnsi="Arial" w:cs="Arial"/>
          <w:sz w:val="20"/>
          <w:szCs w:val="20"/>
        </w:rPr>
        <w:t xml:space="preserve">. For example, agencies are refusing to allow the national law to provide external review of </w:t>
      </w:r>
      <w:r w:rsidR="00A06C96">
        <w:rPr>
          <w:rFonts w:ascii="Arial" w:hAnsi="Arial" w:cs="Arial"/>
          <w:sz w:val="20"/>
          <w:szCs w:val="20"/>
        </w:rPr>
        <w:t xml:space="preserve">access </w:t>
      </w:r>
      <w:r w:rsidR="007E257F" w:rsidRPr="00050881">
        <w:rPr>
          <w:rFonts w:ascii="Arial" w:hAnsi="Arial" w:cs="Arial"/>
          <w:sz w:val="20"/>
          <w:szCs w:val="20"/>
        </w:rPr>
        <w:t xml:space="preserve">decisions. </w:t>
      </w:r>
    </w:p>
    <w:p w:rsidR="00C81D29" w:rsidRPr="00050881" w:rsidRDefault="00C81D29" w:rsidP="00C04619">
      <w:pPr>
        <w:rPr>
          <w:rFonts w:ascii="Arial" w:hAnsi="Arial" w:cs="Arial"/>
          <w:sz w:val="20"/>
          <w:szCs w:val="20"/>
        </w:rPr>
      </w:pPr>
    </w:p>
    <w:p w:rsidR="00C71638" w:rsidRPr="00050881" w:rsidRDefault="00C71638" w:rsidP="00C04619">
      <w:pPr>
        <w:pStyle w:val="RecommendationStyle"/>
        <w:spacing w:before="0" w:after="0"/>
        <w:rPr>
          <w:color w:val="000000" w:themeColor="text1"/>
        </w:rPr>
      </w:pPr>
      <w:bookmarkStart w:id="271" w:name="_Toc304544521"/>
      <w:bookmarkStart w:id="272" w:name="_Toc304544815"/>
      <w:bookmarkStart w:id="273" w:name="_Toc304553159"/>
      <w:bookmarkStart w:id="274" w:name="_Toc304815346"/>
      <w:bookmarkStart w:id="275" w:name="_Toc304815843"/>
      <w:bookmarkStart w:id="276" w:name="_Toc304818332"/>
      <w:bookmarkStart w:id="277" w:name="_Toc304884385"/>
      <w:bookmarkStart w:id="278" w:name="_Toc304970885"/>
      <w:bookmarkStart w:id="279" w:name="_Toc305498115"/>
      <w:bookmarkStart w:id="280" w:name="_Toc305498174"/>
      <w:bookmarkStart w:id="281" w:name="_Toc305498226"/>
      <w:bookmarkStart w:id="282" w:name="_Toc305498343"/>
      <w:bookmarkStart w:id="283" w:name="_Toc306622948"/>
      <w:bookmarkStart w:id="284" w:name="_Toc306690333"/>
      <w:bookmarkStart w:id="285" w:name="_Toc306699157"/>
      <w:bookmarkStart w:id="286" w:name="_Toc306879743"/>
      <w:bookmarkStart w:id="287" w:name="_Toc306883083"/>
      <w:bookmarkStart w:id="288" w:name="_Toc306890754"/>
      <w:bookmarkStart w:id="289" w:name="_Toc306890772"/>
      <w:bookmarkStart w:id="290" w:name="_Toc306890886"/>
      <w:bookmarkStart w:id="291" w:name="_Toc306891317"/>
      <w:bookmarkStart w:id="292" w:name="_Toc306950036"/>
      <w:bookmarkStart w:id="293" w:name="_Toc306950171"/>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C81D29" w:rsidRDefault="00C81D29" w:rsidP="00C04619">
      <w:pPr>
        <w:pStyle w:val="RecommendationStyle"/>
        <w:numPr>
          <w:ilvl w:val="0"/>
          <w:numId w:val="0"/>
        </w:numPr>
        <w:spacing w:before="0" w:after="0"/>
        <w:rPr>
          <w:color w:val="000000" w:themeColor="text1"/>
        </w:rPr>
      </w:pPr>
      <w:bookmarkStart w:id="294" w:name="_Toc304544522"/>
      <w:bookmarkStart w:id="295" w:name="_Toc304544816"/>
      <w:bookmarkStart w:id="296" w:name="_Toc304553160"/>
      <w:bookmarkStart w:id="297" w:name="_Toc304815347"/>
      <w:bookmarkStart w:id="298" w:name="_Toc304815844"/>
      <w:bookmarkStart w:id="299" w:name="_Toc304818333"/>
      <w:bookmarkStart w:id="300" w:name="_Toc304884386"/>
      <w:bookmarkStart w:id="301" w:name="_Toc304970886"/>
      <w:bookmarkStart w:id="302" w:name="_Toc305498116"/>
      <w:bookmarkStart w:id="303" w:name="_Toc305498175"/>
      <w:bookmarkStart w:id="304" w:name="_Toc305498227"/>
      <w:bookmarkStart w:id="305" w:name="_Toc305498344"/>
    </w:p>
    <w:p w:rsidR="007A3E56" w:rsidRPr="00050881" w:rsidRDefault="003B6150" w:rsidP="00C04619">
      <w:pPr>
        <w:pStyle w:val="RecommendationStyle"/>
        <w:numPr>
          <w:ilvl w:val="0"/>
          <w:numId w:val="0"/>
        </w:numPr>
        <w:spacing w:before="0" w:after="0"/>
        <w:rPr>
          <w:color w:val="000000" w:themeColor="text1"/>
        </w:rPr>
      </w:pPr>
      <w:bookmarkStart w:id="306" w:name="_Toc306622949"/>
      <w:bookmarkStart w:id="307" w:name="_Toc306690334"/>
      <w:bookmarkStart w:id="308" w:name="_Toc306699158"/>
      <w:bookmarkStart w:id="309" w:name="_Toc306879744"/>
      <w:bookmarkStart w:id="310" w:name="_Toc306883084"/>
      <w:bookmarkStart w:id="311" w:name="_Toc306890755"/>
      <w:bookmarkStart w:id="312" w:name="_Toc306890773"/>
      <w:bookmarkStart w:id="313" w:name="_Toc306890887"/>
      <w:bookmarkStart w:id="314" w:name="_Toc306891318"/>
      <w:bookmarkStart w:id="315" w:name="_Toc306950037"/>
      <w:bookmarkStart w:id="316" w:name="_Toc306950172"/>
      <w:r w:rsidRPr="00050881">
        <w:rPr>
          <w:color w:val="000000" w:themeColor="text1"/>
        </w:rPr>
        <w:t xml:space="preserve">The ATA recommends </w:t>
      </w:r>
      <w:r w:rsidR="00A06C96">
        <w:rPr>
          <w:color w:val="000000" w:themeColor="text1"/>
        </w:rPr>
        <w:t xml:space="preserve">the BRCWG </w:t>
      </w:r>
      <w:r w:rsidRPr="00050881">
        <w:rPr>
          <w:color w:val="000000" w:themeColor="text1"/>
        </w:rPr>
        <w:t xml:space="preserve">focus on the outcome of the NHVR </w:t>
      </w:r>
      <w:r w:rsidR="00A06C96">
        <w:rPr>
          <w:color w:val="000000" w:themeColor="text1"/>
        </w:rPr>
        <w:t>to ensure</w:t>
      </w:r>
      <w:r w:rsidRPr="00050881">
        <w:rPr>
          <w:color w:val="000000" w:themeColor="text1"/>
        </w:rPr>
        <w:t xml:space="preserve"> regulatory uniformity </w:t>
      </w:r>
      <w:r w:rsidR="006A41AF">
        <w:rPr>
          <w:color w:val="000000" w:themeColor="text1"/>
        </w:rPr>
        <w:t>is</w:t>
      </w:r>
      <w:r w:rsidRPr="00050881">
        <w:rPr>
          <w:color w:val="000000" w:themeColor="text1"/>
        </w:rPr>
        <w:t xml:space="preserve"> achieved</w:t>
      </w:r>
      <w:bookmarkEnd w:id="294"/>
      <w:bookmarkEnd w:id="295"/>
      <w:bookmarkEnd w:id="296"/>
      <w:bookmarkEnd w:id="297"/>
      <w:bookmarkEnd w:id="298"/>
      <w:bookmarkEnd w:id="299"/>
      <w:r w:rsidR="00586C72" w:rsidRPr="00050881">
        <w:rPr>
          <w:color w:val="000000" w:themeColor="text1"/>
        </w:rPr>
        <w:t xml:space="preserve">, with </w:t>
      </w:r>
      <w:r w:rsidR="00E338FA" w:rsidRPr="00050881">
        <w:rPr>
          <w:color w:val="000000" w:themeColor="text1"/>
        </w:rPr>
        <w:t>a national</w:t>
      </w:r>
      <w:r w:rsidR="007E257F" w:rsidRPr="00050881">
        <w:rPr>
          <w:color w:val="000000" w:themeColor="text1"/>
        </w:rPr>
        <w:t xml:space="preserve"> law</w:t>
      </w:r>
      <w:r w:rsidR="006A41AF">
        <w:rPr>
          <w:color w:val="000000" w:themeColor="text1"/>
        </w:rPr>
        <w:t xml:space="preserve"> that</w:t>
      </w:r>
      <w:r w:rsidR="007E257F" w:rsidRPr="00050881">
        <w:rPr>
          <w:color w:val="000000" w:themeColor="text1"/>
        </w:rPr>
        <w:t xml:space="preserve"> facilitate</w:t>
      </w:r>
      <w:r w:rsidR="002D5D45">
        <w:rPr>
          <w:color w:val="000000" w:themeColor="text1"/>
        </w:rPr>
        <w:t>s</w:t>
      </w:r>
      <w:r w:rsidR="007E257F" w:rsidRPr="00050881">
        <w:rPr>
          <w:color w:val="000000" w:themeColor="text1"/>
        </w:rPr>
        <w:t xml:space="preserve"> productivity</w:t>
      </w:r>
      <w:r w:rsidR="006A41AF">
        <w:rPr>
          <w:color w:val="000000" w:themeColor="text1"/>
        </w:rPr>
        <w:t xml:space="preserve">, innovation and sound accountable decision </w:t>
      </w:r>
      <w:r w:rsidR="006A41AF" w:rsidRPr="00050881">
        <w:rPr>
          <w:color w:val="000000" w:themeColor="text1"/>
        </w:rPr>
        <w:t>making</w:t>
      </w:r>
      <w:r w:rsidR="007E257F" w:rsidRPr="00050881">
        <w:rPr>
          <w:color w:val="000000" w:themeColor="text1"/>
        </w:rPr>
        <w:t>.</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007E257F" w:rsidRPr="00050881">
        <w:rPr>
          <w:color w:val="000000" w:themeColor="text1"/>
        </w:rPr>
        <w:t xml:space="preserve"> </w:t>
      </w:r>
    </w:p>
    <w:p w:rsidR="00D735FF" w:rsidRDefault="00D735FF" w:rsidP="00C04619">
      <w:pPr>
        <w:rPr>
          <w:rFonts w:ascii="Arial" w:hAnsi="Arial" w:cs="Arial"/>
          <w:sz w:val="20"/>
          <w:szCs w:val="20"/>
        </w:rPr>
      </w:pPr>
    </w:p>
    <w:p w:rsidR="00C81D29" w:rsidRPr="00050881" w:rsidRDefault="00C81D29" w:rsidP="00C04619">
      <w:pPr>
        <w:rPr>
          <w:rFonts w:ascii="Arial" w:hAnsi="Arial" w:cs="Arial"/>
          <w:sz w:val="20"/>
          <w:szCs w:val="20"/>
        </w:rPr>
      </w:pPr>
    </w:p>
    <w:p w:rsidR="00AC2FD9" w:rsidRPr="00D73280" w:rsidRDefault="00AC2FD9" w:rsidP="00C04619">
      <w:pPr>
        <w:pStyle w:val="Heading1"/>
      </w:pPr>
      <w:bookmarkStart w:id="317" w:name="_Toc306890899"/>
      <w:r w:rsidRPr="00D73280">
        <w:t>Conclusion</w:t>
      </w:r>
      <w:bookmarkEnd w:id="317"/>
      <w:r w:rsidRPr="00D73280">
        <w:t xml:space="preserve"> </w:t>
      </w:r>
    </w:p>
    <w:p w:rsidR="00AC2FD9" w:rsidRPr="00050881" w:rsidRDefault="00AC2FD9" w:rsidP="00C04619">
      <w:pPr>
        <w:rPr>
          <w:rFonts w:ascii="Arial" w:hAnsi="Arial" w:cs="Arial"/>
          <w:sz w:val="20"/>
          <w:szCs w:val="20"/>
        </w:rPr>
      </w:pPr>
    </w:p>
    <w:p w:rsidR="00AC2FD9" w:rsidRPr="00050881" w:rsidRDefault="00AC2FD9" w:rsidP="00C04619">
      <w:pPr>
        <w:rPr>
          <w:rFonts w:ascii="Arial" w:hAnsi="Arial" w:cs="Arial"/>
          <w:sz w:val="20"/>
          <w:szCs w:val="20"/>
        </w:rPr>
      </w:pPr>
      <w:r w:rsidRPr="00050881">
        <w:rPr>
          <w:rFonts w:ascii="Arial" w:hAnsi="Arial" w:cs="Arial"/>
          <w:sz w:val="20"/>
          <w:szCs w:val="20"/>
        </w:rPr>
        <w:t>While the National Heavy Vehicle Regulator is in the process of being created</w:t>
      </w:r>
      <w:r w:rsidR="00023B28" w:rsidRPr="00050881">
        <w:rPr>
          <w:rFonts w:ascii="Arial" w:hAnsi="Arial" w:cs="Arial"/>
          <w:sz w:val="20"/>
          <w:szCs w:val="20"/>
        </w:rPr>
        <w:t>,</w:t>
      </w:r>
      <w:r w:rsidRPr="00050881">
        <w:rPr>
          <w:rFonts w:ascii="Arial" w:hAnsi="Arial" w:cs="Arial"/>
          <w:sz w:val="20"/>
          <w:szCs w:val="20"/>
        </w:rPr>
        <w:t xml:space="preserve"> the industry can still do with greater productivity </w:t>
      </w:r>
      <w:r w:rsidR="00B63232">
        <w:rPr>
          <w:rFonts w:ascii="Arial" w:hAnsi="Arial" w:cs="Arial"/>
          <w:sz w:val="20"/>
          <w:szCs w:val="20"/>
        </w:rPr>
        <w:t>incentives</w:t>
      </w:r>
      <w:r w:rsidRPr="00050881">
        <w:rPr>
          <w:rFonts w:ascii="Arial" w:hAnsi="Arial" w:cs="Arial"/>
          <w:sz w:val="20"/>
          <w:szCs w:val="20"/>
        </w:rPr>
        <w:t>. The NTC has recently</w:t>
      </w:r>
      <w:r w:rsidR="007E257F" w:rsidRPr="00050881">
        <w:rPr>
          <w:rFonts w:ascii="Arial" w:hAnsi="Arial" w:cs="Arial"/>
          <w:sz w:val="20"/>
          <w:szCs w:val="20"/>
        </w:rPr>
        <w:t xml:space="preserve"> recommended agencies </w:t>
      </w:r>
      <w:r w:rsidR="00D73280" w:rsidRPr="00050881">
        <w:rPr>
          <w:rFonts w:ascii="Arial" w:hAnsi="Arial" w:cs="Arial"/>
          <w:sz w:val="20"/>
          <w:szCs w:val="20"/>
        </w:rPr>
        <w:t>support</w:t>
      </w:r>
      <w:r w:rsidRPr="00050881">
        <w:rPr>
          <w:rFonts w:ascii="Arial" w:hAnsi="Arial" w:cs="Arial"/>
          <w:sz w:val="20"/>
          <w:szCs w:val="20"/>
        </w:rPr>
        <w:t xml:space="preserve"> the use of B-</w:t>
      </w:r>
      <w:proofErr w:type="gramStart"/>
      <w:r w:rsidRPr="00050881">
        <w:rPr>
          <w:rFonts w:ascii="Arial" w:hAnsi="Arial" w:cs="Arial"/>
          <w:sz w:val="20"/>
          <w:szCs w:val="20"/>
        </w:rPr>
        <w:t>triples</w:t>
      </w:r>
      <w:r w:rsidR="00B63232">
        <w:rPr>
          <w:rFonts w:ascii="Arial" w:hAnsi="Arial" w:cs="Arial"/>
          <w:sz w:val="20"/>
          <w:szCs w:val="20"/>
        </w:rPr>
        <w:t>,</w:t>
      </w:r>
      <w:proofErr w:type="gramEnd"/>
      <w:r w:rsidR="00B63232">
        <w:rPr>
          <w:rFonts w:ascii="Arial" w:hAnsi="Arial" w:cs="Arial"/>
          <w:sz w:val="20"/>
          <w:szCs w:val="20"/>
        </w:rPr>
        <w:t xml:space="preserve"> </w:t>
      </w:r>
      <w:r w:rsidR="007B6A76">
        <w:rPr>
          <w:rFonts w:ascii="Arial" w:hAnsi="Arial" w:cs="Arial"/>
          <w:sz w:val="20"/>
          <w:szCs w:val="20"/>
        </w:rPr>
        <w:t>they</w:t>
      </w:r>
      <w:r w:rsidR="00B63232">
        <w:rPr>
          <w:rFonts w:ascii="Arial" w:hAnsi="Arial" w:cs="Arial"/>
          <w:sz w:val="20"/>
          <w:szCs w:val="20"/>
        </w:rPr>
        <w:t xml:space="preserve"> are larger than B-doubles, </w:t>
      </w:r>
      <w:r w:rsidRPr="00050881">
        <w:rPr>
          <w:rFonts w:ascii="Arial" w:hAnsi="Arial" w:cs="Arial"/>
          <w:sz w:val="20"/>
          <w:szCs w:val="20"/>
        </w:rPr>
        <w:t>carry more and</w:t>
      </w:r>
      <w:r w:rsidR="007B6A76">
        <w:rPr>
          <w:rFonts w:ascii="Arial" w:hAnsi="Arial" w:cs="Arial"/>
          <w:sz w:val="20"/>
          <w:szCs w:val="20"/>
        </w:rPr>
        <w:t xml:space="preserve"> are</w:t>
      </w:r>
      <w:r w:rsidR="00B63232" w:rsidRPr="00050881">
        <w:rPr>
          <w:rFonts w:ascii="Arial" w:hAnsi="Arial" w:cs="Arial"/>
          <w:sz w:val="20"/>
          <w:szCs w:val="20"/>
        </w:rPr>
        <w:t xml:space="preserve"> a safer combination</w:t>
      </w:r>
      <w:r w:rsidR="00B63232">
        <w:rPr>
          <w:rFonts w:ascii="Arial" w:hAnsi="Arial" w:cs="Arial"/>
          <w:sz w:val="20"/>
          <w:szCs w:val="20"/>
        </w:rPr>
        <w:t xml:space="preserve"> than road trains</w:t>
      </w:r>
      <w:r w:rsidRPr="00050881">
        <w:rPr>
          <w:rFonts w:ascii="Arial" w:hAnsi="Arial" w:cs="Arial"/>
          <w:sz w:val="20"/>
          <w:szCs w:val="20"/>
        </w:rPr>
        <w:t xml:space="preserve">. While </w:t>
      </w:r>
      <w:r w:rsidR="00B63232">
        <w:rPr>
          <w:rFonts w:ascii="Arial" w:hAnsi="Arial" w:cs="Arial"/>
          <w:sz w:val="20"/>
          <w:szCs w:val="20"/>
        </w:rPr>
        <w:t>the</w:t>
      </w:r>
      <w:r w:rsidRPr="00050881">
        <w:rPr>
          <w:rFonts w:ascii="Arial" w:hAnsi="Arial" w:cs="Arial"/>
          <w:sz w:val="20"/>
          <w:szCs w:val="20"/>
        </w:rPr>
        <w:t xml:space="preserve"> NHVR can enforce uniform regu</w:t>
      </w:r>
      <w:r w:rsidR="007B6A76">
        <w:rPr>
          <w:rFonts w:ascii="Arial" w:hAnsi="Arial" w:cs="Arial"/>
          <w:sz w:val="20"/>
          <w:szCs w:val="20"/>
        </w:rPr>
        <w:t>lation, the industry needs the C</w:t>
      </w:r>
      <w:r w:rsidRPr="00050881">
        <w:rPr>
          <w:rFonts w:ascii="Arial" w:hAnsi="Arial" w:cs="Arial"/>
          <w:sz w:val="20"/>
          <w:szCs w:val="20"/>
        </w:rPr>
        <w:t xml:space="preserve">ommonwealth and ministers to push for more productive vehicles to access </w:t>
      </w:r>
      <w:r w:rsidR="007E257F" w:rsidRPr="00050881">
        <w:rPr>
          <w:rFonts w:ascii="Arial" w:hAnsi="Arial" w:cs="Arial"/>
          <w:sz w:val="20"/>
          <w:szCs w:val="20"/>
        </w:rPr>
        <w:t xml:space="preserve">state and </w:t>
      </w:r>
      <w:r w:rsidRPr="00050881">
        <w:rPr>
          <w:rFonts w:ascii="Arial" w:hAnsi="Arial" w:cs="Arial"/>
          <w:sz w:val="20"/>
          <w:szCs w:val="20"/>
        </w:rPr>
        <w:t xml:space="preserve">local government areas. </w:t>
      </w:r>
    </w:p>
    <w:p w:rsidR="00A10889" w:rsidRPr="00050881" w:rsidRDefault="00A10889" w:rsidP="00C04619">
      <w:pPr>
        <w:rPr>
          <w:rFonts w:ascii="Arial" w:hAnsi="Arial" w:cs="Arial"/>
          <w:sz w:val="20"/>
          <w:szCs w:val="20"/>
        </w:rPr>
      </w:pPr>
    </w:p>
    <w:p w:rsidR="00A10889" w:rsidRPr="00050881" w:rsidRDefault="00A10889" w:rsidP="00C04619">
      <w:pPr>
        <w:rPr>
          <w:rFonts w:ascii="Arial" w:hAnsi="Arial" w:cs="Arial"/>
          <w:sz w:val="20"/>
          <w:szCs w:val="20"/>
        </w:rPr>
      </w:pPr>
      <w:r w:rsidRPr="00050881">
        <w:rPr>
          <w:rFonts w:ascii="Arial" w:hAnsi="Arial" w:cs="Arial"/>
          <w:sz w:val="20"/>
          <w:szCs w:val="20"/>
        </w:rPr>
        <w:t>The work of the Business Regulation and Competition Working Group has identified sectors that need regulatory improvements, however</w:t>
      </w:r>
      <w:r w:rsidR="007E257F" w:rsidRPr="00050881">
        <w:rPr>
          <w:rFonts w:ascii="Arial" w:hAnsi="Arial" w:cs="Arial"/>
          <w:sz w:val="20"/>
          <w:szCs w:val="20"/>
        </w:rPr>
        <w:t>,</w:t>
      </w:r>
      <w:r w:rsidRPr="00050881">
        <w:rPr>
          <w:rFonts w:ascii="Arial" w:hAnsi="Arial" w:cs="Arial"/>
          <w:sz w:val="20"/>
          <w:szCs w:val="20"/>
        </w:rPr>
        <w:t xml:space="preserve"> improving the one thing</w:t>
      </w:r>
      <w:r w:rsidR="00EB52D8">
        <w:rPr>
          <w:rFonts w:ascii="Arial" w:hAnsi="Arial" w:cs="Arial"/>
          <w:sz w:val="20"/>
          <w:szCs w:val="20"/>
        </w:rPr>
        <w:t xml:space="preserve"> which</w:t>
      </w:r>
      <w:r w:rsidRPr="00050881">
        <w:rPr>
          <w:rFonts w:ascii="Arial" w:hAnsi="Arial" w:cs="Arial"/>
          <w:sz w:val="20"/>
          <w:szCs w:val="20"/>
        </w:rPr>
        <w:t xml:space="preserve"> nearly all sectors of </w:t>
      </w:r>
      <w:r w:rsidR="003B6150" w:rsidRPr="00050881">
        <w:rPr>
          <w:rFonts w:ascii="Arial" w:hAnsi="Arial" w:cs="Arial"/>
          <w:sz w:val="20"/>
          <w:szCs w:val="20"/>
        </w:rPr>
        <w:t>Australia’s industries</w:t>
      </w:r>
      <w:r w:rsidRPr="00050881">
        <w:rPr>
          <w:rFonts w:ascii="Arial" w:hAnsi="Arial" w:cs="Arial"/>
          <w:sz w:val="20"/>
          <w:szCs w:val="20"/>
        </w:rPr>
        <w:t xml:space="preserve"> use, heavy vehicles</w:t>
      </w:r>
      <w:r w:rsidR="00023B28" w:rsidRPr="00050881">
        <w:rPr>
          <w:rFonts w:ascii="Arial" w:hAnsi="Arial" w:cs="Arial"/>
          <w:sz w:val="20"/>
          <w:szCs w:val="20"/>
        </w:rPr>
        <w:t>,</w:t>
      </w:r>
      <w:r w:rsidR="00B63232">
        <w:rPr>
          <w:rFonts w:ascii="Arial" w:hAnsi="Arial" w:cs="Arial"/>
          <w:sz w:val="20"/>
          <w:szCs w:val="20"/>
        </w:rPr>
        <w:t xml:space="preserve"> would provide the greatest </w:t>
      </w:r>
      <w:r w:rsidR="003B6150" w:rsidRPr="00050881">
        <w:rPr>
          <w:rFonts w:ascii="Arial" w:hAnsi="Arial" w:cs="Arial"/>
          <w:sz w:val="20"/>
          <w:szCs w:val="20"/>
        </w:rPr>
        <w:t>benefit</w:t>
      </w:r>
      <w:r w:rsidRPr="00050881">
        <w:rPr>
          <w:rFonts w:ascii="Arial" w:hAnsi="Arial" w:cs="Arial"/>
          <w:sz w:val="20"/>
          <w:szCs w:val="20"/>
        </w:rPr>
        <w:t xml:space="preserve">. </w:t>
      </w:r>
    </w:p>
    <w:p w:rsidR="00050881" w:rsidRDefault="00050881" w:rsidP="00C04619">
      <w:pPr>
        <w:rPr>
          <w:rFonts w:ascii="Arial" w:hAnsi="Arial" w:cs="Arial"/>
          <w:color w:val="000000" w:themeColor="text1"/>
          <w:sz w:val="20"/>
          <w:szCs w:val="20"/>
        </w:rPr>
      </w:pPr>
    </w:p>
    <w:p w:rsidR="00F00BBD" w:rsidRPr="00050881" w:rsidRDefault="00CF65B7" w:rsidP="00C04619">
      <w:pPr>
        <w:rPr>
          <w:rFonts w:ascii="Arial" w:hAnsi="Arial" w:cs="Arial"/>
          <w:color w:val="000000" w:themeColor="text1"/>
          <w:sz w:val="20"/>
          <w:szCs w:val="20"/>
        </w:rPr>
      </w:pPr>
      <w:r>
        <w:rPr>
          <w:rFonts w:ascii="Arial" w:hAnsi="Arial" w:cs="Arial"/>
          <w:color w:val="000000" w:themeColor="text1"/>
          <w:sz w:val="20"/>
          <w:szCs w:val="20"/>
        </w:rPr>
        <w:br w:type="page"/>
      </w:r>
    </w:p>
    <w:p w:rsidR="00F00BBD" w:rsidRPr="00C81D29" w:rsidRDefault="00F00BBD" w:rsidP="00C04619">
      <w:pPr>
        <w:pStyle w:val="Heading1"/>
        <w:numPr>
          <w:ilvl w:val="0"/>
          <w:numId w:val="0"/>
        </w:numPr>
        <w:ind w:left="360" w:hanging="360"/>
      </w:pPr>
      <w:bookmarkStart w:id="318" w:name="_Toc306890900"/>
      <w:r w:rsidRPr="00C81D29">
        <w:lastRenderedPageBreak/>
        <w:t>APPENDIX A: The ATA and Barkwood Consulting Pty Ltd Truck Impact Chart</w:t>
      </w:r>
      <w:bookmarkEnd w:id="318"/>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The ATA and Barkwood Consulting Pty Ltd have developed a Truck Impact Chart that clearly demonstrates a number of different heavy vehicle combinations and covers GCM, payload, the equivalent standard axles (ESAs) for each vehicle combination, being the measure by which impact of a truck on the road is measured, the amount of trips required to move 1,000 tonnes of freight, the amount of fuel required to move 1,000 tonnes of freight, emissions and driver requirement. The information provided in the tables throughout this document is taken from the Truck Impact Chart.</w:t>
      </w: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 xml:space="preserve">The Truck Impact Chart has been reviewed RTA’s Senior Pavement Engineer, </w:t>
      </w:r>
      <w:proofErr w:type="spellStart"/>
      <w:r w:rsidRPr="00050881">
        <w:rPr>
          <w:rFonts w:ascii="Arial" w:hAnsi="Arial" w:cs="Arial"/>
          <w:color w:val="000000" w:themeColor="text1"/>
          <w:sz w:val="20"/>
          <w:szCs w:val="20"/>
        </w:rPr>
        <w:t>Ravindra</w:t>
      </w:r>
      <w:proofErr w:type="spellEnd"/>
      <w:r w:rsidRPr="00050881">
        <w:rPr>
          <w:rFonts w:ascii="Arial" w:hAnsi="Arial" w:cs="Arial"/>
          <w:color w:val="000000" w:themeColor="text1"/>
          <w:sz w:val="20"/>
          <w:szCs w:val="20"/>
        </w:rPr>
        <w:t xml:space="preserve"> </w:t>
      </w:r>
      <w:proofErr w:type="spellStart"/>
      <w:r w:rsidRPr="00050881">
        <w:rPr>
          <w:rFonts w:ascii="Arial" w:hAnsi="Arial" w:cs="Arial"/>
          <w:color w:val="000000" w:themeColor="text1"/>
          <w:sz w:val="20"/>
          <w:szCs w:val="20"/>
        </w:rPr>
        <w:t>Prathapa</w:t>
      </w:r>
      <w:proofErr w:type="spellEnd"/>
      <w:r w:rsidRPr="00050881">
        <w:rPr>
          <w:rFonts w:ascii="Arial" w:hAnsi="Arial" w:cs="Arial"/>
          <w:color w:val="000000" w:themeColor="text1"/>
          <w:sz w:val="20"/>
          <w:szCs w:val="20"/>
        </w:rPr>
        <w:t xml:space="preserve">. The Truck Impact Chart has also been separately peer reviewed by Bob Pearson, Pearson Transport Resources, and was referred to by </w:t>
      </w:r>
      <w:proofErr w:type="spellStart"/>
      <w:r w:rsidRPr="00050881">
        <w:rPr>
          <w:rFonts w:ascii="Arial" w:hAnsi="Arial" w:cs="Arial"/>
          <w:color w:val="000000" w:themeColor="text1"/>
          <w:sz w:val="20"/>
          <w:szCs w:val="20"/>
        </w:rPr>
        <w:t>TheCIE</w:t>
      </w:r>
      <w:proofErr w:type="spellEnd"/>
      <w:r w:rsidRPr="00050881">
        <w:rPr>
          <w:rFonts w:ascii="Arial" w:hAnsi="Arial" w:cs="Arial"/>
          <w:color w:val="000000" w:themeColor="text1"/>
          <w:sz w:val="20"/>
          <w:szCs w:val="20"/>
        </w:rPr>
        <w:t xml:space="preserve"> in the Benefit/Cost Analysis for the National Heavy Vehicle Regulator draft Regulatory Impact Statement, released in February 2011.</w:t>
      </w:r>
    </w:p>
    <w:p w:rsidR="00F00BBD" w:rsidRPr="00050881" w:rsidRDefault="00F00BBD" w:rsidP="00C04619">
      <w:pPr>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1"/>
        <w:gridCol w:w="1160"/>
        <w:gridCol w:w="3132"/>
        <w:gridCol w:w="2811"/>
      </w:tblGrid>
      <w:tr w:rsidR="00F00BBD" w:rsidRPr="00050881" w:rsidTr="00852CAE">
        <w:trPr>
          <w:trHeight w:val="495"/>
        </w:trPr>
        <w:tc>
          <w:tcPr>
            <w:tcW w:w="3052" w:type="dxa"/>
            <w:vMerge w:val="restart"/>
          </w:tcPr>
          <w:p w:rsidR="00F00BBD" w:rsidRPr="00050881" w:rsidRDefault="00F00BBD" w:rsidP="00C04619">
            <w:pPr>
              <w:rPr>
                <w:rFonts w:ascii="Arial" w:hAnsi="Arial" w:cs="Arial"/>
                <w:color w:val="000000" w:themeColor="text1"/>
                <w:sz w:val="20"/>
                <w:szCs w:val="20"/>
              </w:rPr>
            </w:pPr>
            <w:r w:rsidRPr="00050881">
              <w:rPr>
                <w:rFonts w:ascii="Arial" w:hAnsi="Arial" w:cs="Arial"/>
                <w:noProof/>
                <w:color w:val="000000" w:themeColor="text1"/>
                <w:sz w:val="20"/>
                <w:szCs w:val="20"/>
                <w:lang w:eastAsia="en-AU"/>
              </w:rPr>
              <w:drawing>
                <wp:inline distT="0" distB="0" distL="0" distR="0">
                  <wp:extent cx="1440000" cy="632601"/>
                  <wp:effectExtent l="19050" t="0" r="7800" b="0"/>
                  <wp:docPr id="5" name="Picture 1" descr="E:\Public\Logos\Internal\ATA LOGO 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blic\Logos\Internal\ATA LOGO C.bmp"/>
                          <pic:cNvPicPr>
                            <a:picLocks noChangeAspect="1" noChangeArrowheads="1"/>
                          </pic:cNvPicPr>
                        </pic:nvPicPr>
                        <pic:blipFill>
                          <a:blip r:embed="rId12" cstate="print"/>
                          <a:srcRect/>
                          <a:stretch>
                            <a:fillRect/>
                          </a:stretch>
                        </pic:blipFill>
                        <pic:spPr bwMode="auto">
                          <a:xfrm>
                            <a:off x="0" y="0"/>
                            <a:ext cx="1440000" cy="632601"/>
                          </a:xfrm>
                          <a:prstGeom prst="rect">
                            <a:avLst/>
                          </a:prstGeom>
                          <a:noFill/>
                          <a:ln w="9525">
                            <a:noFill/>
                            <a:miter lim="800000"/>
                            <a:headEnd/>
                            <a:tailEnd/>
                          </a:ln>
                        </pic:spPr>
                      </pic:pic>
                    </a:graphicData>
                  </a:graphic>
                </wp:inline>
              </w:drawing>
            </w:r>
          </w:p>
        </w:tc>
        <w:tc>
          <w:tcPr>
            <w:tcW w:w="1309" w:type="dxa"/>
            <w:vMerge w:val="restart"/>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Authors:</w:t>
            </w:r>
          </w:p>
        </w:tc>
        <w:tc>
          <w:tcPr>
            <w:tcW w:w="5528" w:type="dxa"/>
            <w:vAlign w:val="bottom"/>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David Coonan - Australian Trucking Association</w:t>
            </w:r>
          </w:p>
        </w:tc>
        <w:tc>
          <w:tcPr>
            <w:tcW w:w="4536" w:type="dxa"/>
            <w:vMerge w:val="restart"/>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BARKWOOD CONSULTING Pty Ltd</w:t>
            </w:r>
          </w:p>
        </w:tc>
      </w:tr>
      <w:tr w:rsidR="00F00BBD" w:rsidRPr="00050881" w:rsidTr="00852CAE">
        <w:trPr>
          <w:trHeight w:val="495"/>
        </w:trPr>
        <w:tc>
          <w:tcPr>
            <w:tcW w:w="3052" w:type="dxa"/>
            <w:vMerge/>
          </w:tcPr>
          <w:p w:rsidR="00F00BBD" w:rsidRPr="00050881" w:rsidRDefault="00F00BBD" w:rsidP="00C04619">
            <w:pPr>
              <w:rPr>
                <w:rFonts w:ascii="Arial" w:hAnsi="Arial" w:cs="Arial"/>
                <w:color w:val="000000" w:themeColor="text1"/>
                <w:sz w:val="20"/>
                <w:szCs w:val="20"/>
              </w:rPr>
            </w:pPr>
          </w:p>
        </w:tc>
        <w:tc>
          <w:tcPr>
            <w:tcW w:w="1309" w:type="dxa"/>
            <w:vMerge/>
          </w:tcPr>
          <w:p w:rsidR="00F00BBD" w:rsidRPr="00050881" w:rsidRDefault="00F00BBD" w:rsidP="00C04619">
            <w:pPr>
              <w:rPr>
                <w:rFonts w:ascii="Arial" w:hAnsi="Arial" w:cs="Arial"/>
                <w:color w:val="000000" w:themeColor="text1"/>
                <w:sz w:val="20"/>
                <w:szCs w:val="20"/>
              </w:rPr>
            </w:pPr>
          </w:p>
        </w:tc>
        <w:tc>
          <w:tcPr>
            <w:tcW w:w="5528" w:type="dxa"/>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Bob Woodward - Barkwood Consulting Pty Ltd.</w:t>
            </w:r>
          </w:p>
        </w:tc>
        <w:tc>
          <w:tcPr>
            <w:tcW w:w="4536" w:type="dxa"/>
            <w:vMerge/>
            <w:vAlign w:val="center"/>
          </w:tcPr>
          <w:p w:rsidR="00F00BBD" w:rsidRPr="00050881" w:rsidRDefault="00F00BBD" w:rsidP="00C04619">
            <w:pPr>
              <w:rPr>
                <w:rFonts w:ascii="Arial" w:hAnsi="Arial" w:cs="Arial"/>
                <w:color w:val="000000" w:themeColor="text1"/>
                <w:sz w:val="20"/>
                <w:szCs w:val="20"/>
              </w:rPr>
            </w:pPr>
          </w:p>
        </w:tc>
      </w:tr>
    </w:tbl>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This document has been prepared to assist operators and road asset managers in assessing the merits of utilising larger vehicle combinations in a transport task.</w:t>
      </w:r>
    </w:p>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 xml:space="preserve">The assessment process assumes that the vehicle is dedicated to a specific task, operating travel being 50% </w:t>
      </w:r>
      <w:proofErr w:type="spellStart"/>
      <w:r w:rsidRPr="00050881">
        <w:rPr>
          <w:rFonts w:ascii="Arial" w:hAnsi="Arial" w:cs="Arial"/>
          <w:color w:val="000000" w:themeColor="text1"/>
          <w:sz w:val="20"/>
          <w:szCs w:val="20"/>
        </w:rPr>
        <w:t>unladen</w:t>
      </w:r>
      <w:proofErr w:type="spellEnd"/>
      <w:r w:rsidRPr="00050881">
        <w:rPr>
          <w:rFonts w:ascii="Arial" w:hAnsi="Arial" w:cs="Arial"/>
          <w:color w:val="000000" w:themeColor="text1"/>
          <w:sz w:val="20"/>
          <w:szCs w:val="20"/>
        </w:rPr>
        <w:t xml:space="preserve"> and 50% laden.  The task relativities are 1000 tonnes with a lead of 1000 kilometres.</w:t>
      </w:r>
    </w:p>
    <w:tbl>
      <w:tblPr>
        <w:tblStyle w:val="TableGrid"/>
        <w:tblW w:w="0" w:type="auto"/>
        <w:tblLook w:val="04A0"/>
      </w:tblPr>
      <w:tblGrid>
        <w:gridCol w:w="2370"/>
        <w:gridCol w:w="7484"/>
      </w:tblGrid>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Equivalent Standard Axles:</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 xml:space="preserve">ESA’s are calculated by the average of the sum of ESA’s for zero </w:t>
            </w:r>
            <w:proofErr w:type="gramStart"/>
            <w:r w:rsidRPr="00050881">
              <w:rPr>
                <w:rFonts w:ascii="Arial" w:hAnsi="Arial" w:cs="Arial"/>
                <w:color w:val="000000" w:themeColor="text1"/>
                <w:sz w:val="20"/>
                <w:szCs w:val="20"/>
              </w:rPr>
              <w:t>load</w:t>
            </w:r>
            <w:proofErr w:type="gramEnd"/>
            <w:r w:rsidRPr="00050881">
              <w:rPr>
                <w:rFonts w:ascii="Arial" w:hAnsi="Arial" w:cs="Arial"/>
                <w:color w:val="000000" w:themeColor="text1"/>
                <w:sz w:val="20"/>
                <w:szCs w:val="20"/>
              </w:rPr>
              <w:t xml:space="preserve"> (empty) plus ESA’s for 100% load and multiplied by the number of trips as required for the transport task.</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Vehicle tare weights:</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 xml:space="preserve">Are predictions based on the averages for a range of equipment within each combination </w:t>
            </w:r>
            <w:proofErr w:type="gramStart"/>
            <w:r w:rsidRPr="00050881">
              <w:rPr>
                <w:rFonts w:ascii="Arial" w:hAnsi="Arial" w:cs="Arial"/>
                <w:color w:val="000000" w:themeColor="text1"/>
                <w:sz w:val="20"/>
                <w:szCs w:val="20"/>
              </w:rPr>
              <w:t>category.</w:t>
            </w:r>
            <w:proofErr w:type="gramEnd"/>
            <w:r w:rsidRPr="00050881">
              <w:rPr>
                <w:rFonts w:ascii="Arial" w:hAnsi="Arial" w:cs="Arial"/>
                <w:color w:val="000000" w:themeColor="text1"/>
                <w:sz w:val="20"/>
                <w:szCs w:val="20"/>
              </w:rPr>
              <w:t xml:space="preserve">  These estimates have been reviewed by a number of operators and confirmed as being representative of “real” vehicles of the category.</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Fuel consumption estimates:</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 xml:space="preserve">Are predictions based on accumulated averages where operation is nominally 50% </w:t>
            </w:r>
            <w:proofErr w:type="spellStart"/>
            <w:r w:rsidRPr="00050881">
              <w:rPr>
                <w:rFonts w:ascii="Arial" w:hAnsi="Arial" w:cs="Arial"/>
                <w:color w:val="000000" w:themeColor="text1"/>
                <w:sz w:val="20"/>
                <w:szCs w:val="20"/>
              </w:rPr>
              <w:t>unladen</w:t>
            </w:r>
            <w:proofErr w:type="spellEnd"/>
            <w:r w:rsidRPr="00050881">
              <w:rPr>
                <w:rFonts w:ascii="Arial" w:hAnsi="Arial" w:cs="Arial"/>
                <w:color w:val="000000" w:themeColor="text1"/>
                <w:sz w:val="20"/>
                <w:szCs w:val="20"/>
              </w:rPr>
              <w:t xml:space="preserve"> and 50% </w:t>
            </w:r>
            <w:proofErr w:type="gramStart"/>
            <w:r w:rsidRPr="00050881">
              <w:rPr>
                <w:rFonts w:ascii="Arial" w:hAnsi="Arial" w:cs="Arial"/>
                <w:color w:val="000000" w:themeColor="text1"/>
                <w:sz w:val="20"/>
                <w:szCs w:val="20"/>
              </w:rPr>
              <w:t>laden.</w:t>
            </w:r>
            <w:proofErr w:type="gramEnd"/>
            <w:r w:rsidRPr="00050881">
              <w:rPr>
                <w:rFonts w:ascii="Arial" w:hAnsi="Arial" w:cs="Arial"/>
                <w:color w:val="000000" w:themeColor="text1"/>
                <w:sz w:val="20"/>
                <w:szCs w:val="20"/>
              </w:rPr>
              <w:t xml:space="preserve">  Actual consumption will vary with operating conditions.</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Emissions:</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Reference is based on total fuel consumption only.</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20 metre 7 axle Truck &amp; Dog:</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The maximum allowable mass limits for this combination at either CML or HML (for standard combination) is 55.5 tonnes.</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19 metre 7 Axle B-double:</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The maximum allowable mass limits for this combination at either CML or HML (for standard combination) is 55.5 tonnes.</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B-triple:</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Consists of a complying B-double with an additional complying leading trailer.</w:t>
            </w:r>
          </w:p>
        </w:tc>
      </w:tr>
      <w:tr w:rsidR="00F00BBD" w:rsidRPr="00050881" w:rsidTr="00852CAE">
        <w:trPr>
          <w:trHeight w:val="460"/>
        </w:trPr>
        <w:tc>
          <w:tcPr>
            <w:tcW w:w="3085"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b/>
                <w:color w:val="000000" w:themeColor="text1"/>
                <w:sz w:val="20"/>
                <w:szCs w:val="20"/>
              </w:rPr>
              <w:t>Converter Dolly:</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All combinations utilizing a converter dolly are configured with a tandem axle.   The configured vertical imposed loading of a 6x4 prime mover is similar to the allowable imposed vertical loading of a tandem axle converter dolly.</w:t>
            </w:r>
          </w:p>
        </w:tc>
      </w:tr>
      <w:tr w:rsidR="00F00BBD" w:rsidRPr="00050881" w:rsidTr="00852CAE">
        <w:trPr>
          <w:trHeight w:val="460"/>
        </w:trPr>
        <w:tc>
          <w:tcPr>
            <w:tcW w:w="3085" w:type="dxa"/>
            <w:vAlign w:val="center"/>
          </w:tcPr>
          <w:p w:rsidR="00F00BBD" w:rsidRPr="00050881" w:rsidRDefault="00F00BBD" w:rsidP="00C04619">
            <w:pPr>
              <w:rPr>
                <w:rFonts w:ascii="Arial" w:hAnsi="Arial" w:cs="Arial"/>
                <w:b/>
                <w:color w:val="000000" w:themeColor="text1"/>
                <w:sz w:val="20"/>
                <w:szCs w:val="20"/>
              </w:rPr>
            </w:pPr>
            <w:r w:rsidRPr="00050881">
              <w:rPr>
                <w:rFonts w:ascii="Arial" w:hAnsi="Arial" w:cs="Arial"/>
                <w:b/>
                <w:color w:val="000000" w:themeColor="text1"/>
                <w:sz w:val="20"/>
                <w:szCs w:val="20"/>
              </w:rPr>
              <w:t>AB-triple:</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Consists of a complying B-double with an additional complying road train leading trailer and a complying converter dolly.</w:t>
            </w:r>
          </w:p>
        </w:tc>
      </w:tr>
      <w:tr w:rsidR="00F00BBD" w:rsidRPr="00050881" w:rsidTr="00852CAE">
        <w:trPr>
          <w:trHeight w:val="460"/>
        </w:trPr>
        <w:tc>
          <w:tcPr>
            <w:tcW w:w="3085" w:type="dxa"/>
            <w:vAlign w:val="center"/>
          </w:tcPr>
          <w:p w:rsidR="00F00BBD" w:rsidRPr="00050881" w:rsidRDefault="00F00BBD" w:rsidP="00C04619">
            <w:pPr>
              <w:rPr>
                <w:rFonts w:ascii="Arial" w:hAnsi="Arial" w:cs="Arial"/>
                <w:b/>
                <w:color w:val="000000" w:themeColor="text1"/>
                <w:sz w:val="20"/>
                <w:szCs w:val="20"/>
              </w:rPr>
            </w:pPr>
            <w:r w:rsidRPr="00050881">
              <w:rPr>
                <w:rFonts w:ascii="Arial" w:hAnsi="Arial" w:cs="Arial"/>
                <w:b/>
                <w:color w:val="000000" w:themeColor="text1"/>
                <w:sz w:val="20"/>
                <w:szCs w:val="20"/>
              </w:rPr>
              <w:t>BAB-Quad:</w:t>
            </w:r>
            <w:r w:rsidRPr="00050881">
              <w:rPr>
                <w:rFonts w:ascii="Arial" w:hAnsi="Arial" w:cs="Arial"/>
                <w:color w:val="000000" w:themeColor="text1"/>
                <w:sz w:val="20"/>
                <w:szCs w:val="20"/>
              </w:rPr>
              <w:t xml:space="preserve">  </w:t>
            </w:r>
          </w:p>
        </w:tc>
        <w:tc>
          <w:tcPr>
            <w:tcW w:w="12268" w:type="dxa"/>
            <w:vAlign w:val="center"/>
          </w:tcPr>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t>Consists of a complying B-double with an additional complying converter dolly and additional complying set of B-double trailers.</w:t>
            </w:r>
          </w:p>
        </w:tc>
      </w:tr>
    </w:tbl>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p>
    <w:p w:rsidR="00F00BBD" w:rsidRPr="00050881" w:rsidRDefault="00F00BBD" w:rsidP="00C04619">
      <w:pPr>
        <w:rPr>
          <w:rFonts w:ascii="Arial" w:hAnsi="Arial" w:cs="Arial"/>
          <w:color w:val="000000" w:themeColor="text1"/>
          <w:sz w:val="20"/>
          <w:szCs w:val="20"/>
        </w:rPr>
      </w:pPr>
      <w:r w:rsidRPr="00050881">
        <w:rPr>
          <w:rFonts w:ascii="Arial" w:hAnsi="Arial" w:cs="Arial"/>
          <w:color w:val="000000" w:themeColor="text1"/>
          <w:sz w:val="20"/>
          <w:szCs w:val="20"/>
        </w:rPr>
        <w:br w:type="page"/>
      </w:r>
    </w:p>
    <w:p w:rsidR="00F00BBD" w:rsidRPr="00050881" w:rsidRDefault="00F00BBD" w:rsidP="00C04619">
      <w:pPr>
        <w:rPr>
          <w:rFonts w:ascii="Arial" w:hAnsi="Arial" w:cs="Arial"/>
          <w:color w:val="000000" w:themeColor="text1"/>
          <w:sz w:val="20"/>
          <w:szCs w:val="20"/>
        </w:rPr>
      </w:pPr>
      <w:r w:rsidRPr="00050881">
        <w:rPr>
          <w:rFonts w:ascii="Arial" w:hAnsi="Arial" w:cs="Arial"/>
          <w:noProof/>
          <w:color w:val="000000" w:themeColor="text1"/>
          <w:sz w:val="20"/>
          <w:szCs w:val="20"/>
          <w:lang w:eastAsia="en-AU"/>
        </w:rPr>
        <w:lastRenderedPageBreak/>
        <w:drawing>
          <wp:anchor distT="0" distB="0" distL="114300" distR="114300" simplePos="0" relativeHeight="251659264" behindDoc="1" locked="0" layoutInCell="1" allowOverlap="1">
            <wp:simplePos x="0" y="0"/>
            <wp:positionH relativeFrom="column">
              <wp:posOffset>-1929765</wp:posOffset>
            </wp:positionH>
            <wp:positionV relativeFrom="paragraph">
              <wp:posOffset>1623060</wp:posOffset>
            </wp:positionV>
            <wp:extent cx="9620250" cy="6120130"/>
            <wp:effectExtent l="0" t="1752600" r="0" b="172847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rot="5400000">
                      <a:off x="0" y="0"/>
                      <a:ext cx="9620250" cy="6120130"/>
                    </a:xfrm>
                    <a:prstGeom prst="rect">
                      <a:avLst/>
                    </a:prstGeom>
                    <a:noFill/>
                    <a:ln w="9525">
                      <a:noFill/>
                      <a:miter lim="800000"/>
                      <a:headEnd/>
                      <a:tailEnd/>
                    </a:ln>
                  </pic:spPr>
                </pic:pic>
              </a:graphicData>
            </a:graphic>
          </wp:anchor>
        </w:drawing>
      </w:r>
    </w:p>
    <w:p w:rsidR="00F00BBD" w:rsidRPr="00050881" w:rsidRDefault="00F00BBD" w:rsidP="00C04619">
      <w:pPr>
        <w:rPr>
          <w:rFonts w:ascii="Arial" w:hAnsi="Arial" w:cs="Arial"/>
          <w:color w:val="000000" w:themeColor="text1"/>
          <w:sz w:val="20"/>
          <w:szCs w:val="20"/>
        </w:rPr>
      </w:pPr>
    </w:p>
    <w:p w:rsidR="00050881" w:rsidRPr="00050881" w:rsidRDefault="00050881" w:rsidP="00C04619">
      <w:pPr>
        <w:rPr>
          <w:rFonts w:ascii="Arial" w:hAnsi="Arial" w:cs="Arial"/>
          <w:color w:val="000000" w:themeColor="text1"/>
          <w:sz w:val="20"/>
          <w:szCs w:val="20"/>
        </w:rPr>
      </w:pPr>
    </w:p>
    <w:sectPr w:rsidR="00050881" w:rsidRPr="00050881"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24" w:rsidRDefault="00B01724" w:rsidP="000F3D9F">
      <w:r>
        <w:separator/>
      </w:r>
    </w:p>
  </w:endnote>
  <w:endnote w:type="continuationSeparator" w:id="0">
    <w:p w:rsidR="00B01724" w:rsidRDefault="00B01724" w:rsidP="000F3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852CAE" w:rsidRPr="00E8056B" w:rsidRDefault="00852CAE" w:rsidP="00E8056B">
    <w:pPr>
      <w:jc w:val="right"/>
      <w:rPr>
        <w:rFonts w:ascii="Arial" w:hAnsi="Arial" w:cs="Arial"/>
        <w:sz w:val="16"/>
        <w:szCs w:val="16"/>
      </w:rPr>
    </w:pPr>
  </w:p>
  <w:p w:rsidR="00852CAE" w:rsidRPr="00E8056B" w:rsidRDefault="00852CAE"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852CAE" w:rsidRPr="00E8056B" w:rsidRDefault="00852CAE"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sidRPr="00E8056B">
      <w:rPr>
        <w:rFonts w:ascii="Arial" w:hAnsi="Arial" w:cs="Arial"/>
        <w:bCs/>
        <w:sz w:val="16"/>
        <w:szCs w:val="16"/>
      </w:rPr>
      <w:t>ata@atatruck.net.au</w:t>
    </w:r>
    <w:r w:rsidRPr="00E8056B">
      <w:rPr>
        <w:rFonts w:ascii="Arial" w:hAnsi="Arial" w:cs="Arial"/>
        <w:b/>
        <w:sz w:val="16"/>
        <w:szCs w:val="16"/>
      </w:rPr>
      <w:t xml:space="preserve"> W</w:t>
    </w:r>
    <w:r w:rsidRPr="00E8056B">
      <w:rPr>
        <w:rFonts w:ascii="Arial" w:hAnsi="Arial" w:cs="Arial"/>
        <w:sz w:val="16"/>
        <w:szCs w:val="16"/>
      </w:rPr>
      <w:t xml:space="preserve"> </w:t>
    </w:r>
    <w:r w:rsidRPr="00E8056B">
      <w:rPr>
        <w:rFonts w:ascii="Arial" w:hAnsi="Arial" w:cs="Arial"/>
        <w:bCs/>
        <w:sz w:val="16"/>
        <w:szCs w:val="16"/>
      </w:rPr>
      <w:t>www.atatruck.net.au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F105BF">
    <w:pPr>
      <w:pStyle w:val="Footer"/>
      <w:jc w:val="right"/>
    </w:pPr>
    <w:fldSimple w:instr=" PAGE   \* MERGEFORMAT ">
      <w:r w:rsidR="00852CAE">
        <w:rPr>
          <w:noProof/>
        </w:rPr>
        <w:t>7</w:t>
      </w:r>
    </w:fldSimple>
  </w:p>
  <w:p w:rsidR="00852CAE" w:rsidRDefault="00852C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insideH w:val="single" w:sz="4" w:space="0" w:color="000000"/>
      </w:tblBorders>
      <w:tblLook w:val="04A0"/>
    </w:tblPr>
    <w:tblGrid>
      <w:gridCol w:w="4927"/>
      <w:gridCol w:w="4927"/>
    </w:tblGrid>
    <w:tr w:rsidR="00852CAE" w:rsidRPr="00A91411" w:rsidTr="00D735FF">
      <w:trPr>
        <w:trHeight w:val="278"/>
      </w:trPr>
      <w:tc>
        <w:tcPr>
          <w:tcW w:w="4927" w:type="dxa"/>
          <w:vAlign w:val="center"/>
        </w:tcPr>
        <w:p w:rsidR="00852CAE" w:rsidRPr="00A91411" w:rsidRDefault="00852CAE" w:rsidP="009D2BC0">
          <w:pPr>
            <w:pStyle w:val="Footer"/>
            <w:rPr>
              <w:rFonts w:ascii="Arial" w:hAnsi="Arial" w:cs="Arial"/>
              <w:sz w:val="14"/>
              <w:szCs w:val="14"/>
            </w:rPr>
          </w:pPr>
          <w:r w:rsidRPr="00A91411">
            <w:rPr>
              <w:rFonts w:ascii="Arial" w:hAnsi="Arial" w:cs="Arial"/>
              <w:sz w:val="14"/>
              <w:szCs w:val="14"/>
            </w:rPr>
            <w:t xml:space="preserve">Submission </w:t>
          </w:r>
          <w:r>
            <w:rPr>
              <w:rFonts w:ascii="Arial" w:hAnsi="Arial" w:cs="Arial"/>
              <w:sz w:val="14"/>
              <w:szCs w:val="14"/>
            </w:rPr>
            <w:t xml:space="preserve">Future COAG Regulatory Reform Agenda Stakeholder Consultation Paper </w:t>
          </w:r>
        </w:p>
      </w:tc>
      <w:tc>
        <w:tcPr>
          <w:tcW w:w="4927" w:type="dxa"/>
          <w:vAlign w:val="center"/>
        </w:tcPr>
        <w:p w:rsidR="00852CAE" w:rsidRPr="00A91411" w:rsidRDefault="00852CAE" w:rsidP="00D735FF">
          <w:pPr>
            <w:pStyle w:val="Footer"/>
            <w:jc w:val="right"/>
            <w:rPr>
              <w:rFonts w:ascii="Arial" w:hAnsi="Arial" w:cs="Arial"/>
              <w:sz w:val="14"/>
              <w:szCs w:val="14"/>
            </w:rPr>
          </w:pPr>
          <w:r w:rsidRPr="00A91411">
            <w:rPr>
              <w:rFonts w:ascii="Arial" w:hAnsi="Arial" w:cs="Arial"/>
              <w:sz w:val="14"/>
              <w:szCs w:val="14"/>
            </w:rPr>
            <w:t xml:space="preserve">Page </w:t>
          </w:r>
          <w:r w:rsidR="00F105BF"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00F105BF" w:rsidRPr="00A91411">
            <w:rPr>
              <w:rFonts w:ascii="Arial" w:hAnsi="Arial" w:cs="Arial"/>
              <w:sz w:val="14"/>
              <w:szCs w:val="14"/>
            </w:rPr>
            <w:fldChar w:fldCharType="separate"/>
          </w:r>
          <w:r w:rsidR="000C01AC">
            <w:rPr>
              <w:rFonts w:ascii="Arial" w:hAnsi="Arial" w:cs="Arial"/>
              <w:noProof/>
              <w:sz w:val="14"/>
              <w:szCs w:val="14"/>
            </w:rPr>
            <w:t>2</w:t>
          </w:r>
          <w:r w:rsidR="00F105BF" w:rsidRPr="00A91411">
            <w:rPr>
              <w:rFonts w:ascii="Arial" w:hAnsi="Arial" w:cs="Arial"/>
              <w:sz w:val="14"/>
              <w:szCs w:val="14"/>
            </w:rPr>
            <w:fldChar w:fldCharType="end"/>
          </w:r>
        </w:p>
      </w:tc>
    </w:tr>
  </w:tbl>
  <w:p w:rsidR="00852CAE" w:rsidRPr="00A91411" w:rsidRDefault="00852CAE">
    <w:pPr>
      <w:rPr>
        <w:sz w:val="4"/>
        <w:szCs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852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24" w:rsidRDefault="00B01724" w:rsidP="000F3D9F">
      <w:r>
        <w:separator/>
      </w:r>
    </w:p>
  </w:footnote>
  <w:footnote w:type="continuationSeparator" w:id="0">
    <w:p w:rsidR="00B01724" w:rsidRDefault="00B01724" w:rsidP="000F3D9F">
      <w:r>
        <w:continuationSeparator/>
      </w:r>
    </w:p>
  </w:footnote>
  <w:footnote w:id="1">
    <w:p w:rsidR="00852CAE" w:rsidRPr="002E782F" w:rsidRDefault="00852CAE" w:rsidP="00C2750C">
      <w:pPr>
        <w:pStyle w:val="FootnoteText"/>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w:t>
      </w:r>
      <w:proofErr w:type="gramStart"/>
      <w:r w:rsidRPr="002E782F">
        <w:rPr>
          <w:rStyle w:val="style61"/>
          <w:rFonts w:ascii="Arial" w:hAnsi="Arial" w:cs="Arial"/>
          <w:i w:val="0"/>
          <w:color w:val="auto"/>
          <w:sz w:val="16"/>
          <w:szCs w:val="16"/>
        </w:rPr>
        <w:t>From an address by the Hon Anthony Albanese MP.</w:t>
      </w:r>
      <w:proofErr w:type="gramEnd"/>
      <w:r w:rsidRPr="002E782F">
        <w:rPr>
          <w:rStyle w:val="style61"/>
          <w:rFonts w:ascii="Arial" w:hAnsi="Arial" w:cs="Arial"/>
          <w:i w:val="0"/>
          <w:color w:val="auto"/>
          <w:sz w:val="16"/>
          <w:szCs w:val="16"/>
        </w:rPr>
        <w:t xml:space="preserve"> </w:t>
      </w:r>
      <w:proofErr w:type="gramStart"/>
      <w:r w:rsidRPr="002E782F">
        <w:rPr>
          <w:rStyle w:val="style61"/>
          <w:rFonts w:ascii="Arial" w:hAnsi="Arial" w:cs="Arial"/>
          <w:i w:val="0"/>
          <w:color w:val="auto"/>
          <w:sz w:val="16"/>
          <w:szCs w:val="16"/>
        </w:rPr>
        <w:t>Minister for Infrastructure and Transport.</w:t>
      </w:r>
      <w:proofErr w:type="gramEnd"/>
      <w:r w:rsidRPr="002E782F">
        <w:rPr>
          <w:rStyle w:val="style61"/>
          <w:rFonts w:ascii="Arial" w:hAnsi="Arial" w:cs="Arial"/>
          <w:i w:val="0"/>
          <w:color w:val="auto"/>
          <w:sz w:val="16"/>
          <w:szCs w:val="16"/>
        </w:rPr>
        <w:t xml:space="preserve"> Australian Trucking Convention, Canberra 2011</w:t>
      </w:r>
    </w:p>
  </w:footnote>
  <w:footnote w:id="2">
    <w:p w:rsidR="00852CAE" w:rsidRPr="002E782F" w:rsidRDefault="00852CAE" w:rsidP="00C81D29">
      <w:pPr>
        <w:pStyle w:val="FootnoteText"/>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w:t>
      </w:r>
      <w:hyperlink r:id="rId1" w:history="1">
        <w:r w:rsidRPr="002E782F">
          <w:rPr>
            <w:rStyle w:val="Hyperlink"/>
            <w:rFonts w:ascii="Arial" w:hAnsi="Arial" w:cs="Arial"/>
            <w:color w:val="auto"/>
            <w:sz w:val="16"/>
            <w:szCs w:val="16"/>
            <w:u w:val="none"/>
          </w:rPr>
          <w:t>http://trucksafe.files.wordpress.com/2010/12/the-case-for-trucksafe1.pdf</w:t>
        </w:r>
      </w:hyperlink>
      <w:r w:rsidRPr="002E782F">
        <w:rPr>
          <w:rFonts w:ascii="Arial" w:hAnsi="Arial" w:cs="Arial"/>
          <w:sz w:val="16"/>
          <w:szCs w:val="16"/>
        </w:rPr>
        <w:t xml:space="preserve"> - page 7 </w:t>
      </w:r>
    </w:p>
  </w:footnote>
  <w:footnote w:id="3">
    <w:p w:rsidR="00852CAE" w:rsidRPr="002E782F" w:rsidRDefault="00852CAE" w:rsidP="00C81D29">
      <w:pPr>
        <w:pStyle w:val="FootnoteText"/>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The Australian Logistics Council – The Cost Impact of Regulation in Cross Border Regions - page 16 – the case of the wineries in the Mildura region</w:t>
      </w:r>
    </w:p>
  </w:footnote>
  <w:footnote w:id="4">
    <w:p w:rsidR="00852CAE" w:rsidRPr="002E782F" w:rsidRDefault="00852CAE" w:rsidP="00A0493F">
      <w:pPr>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National Transport Insurance (NTI) accident research centre </w:t>
      </w:r>
      <w:hyperlink r:id="rId2" w:history="1">
        <w:r w:rsidRPr="002E782F">
          <w:rPr>
            <w:rStyle w:val="Hyperlink"/>
            <w:rFonts w:ascii="Arial" w:hAnsi="Arial" w:cs="Arial"/>
            <w:color w:val="auto"/>
            <w:sz w:val="16"/>
            <w:szCs w:val="16"/>
            <w:u w:val="none"/>
          </w:rPr>
          <w:t>http://www.nti.com.au/AboutNTI/NewsandMedia/tabid/85/newsid468/17/mid/468/Default.aspx</w:t>
        </w:r>
      </w:hyperlink>
    </w:p>
  </w:footnote>
  <w:footnote w:id="5">
    <w:p w:rsidR="00852CAE" w:rsidRPr="002E782F" w:rsidRDefault="00852CAE">
      <w:pPr>
        <w:pStyle w:val="FootnoteText"/>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See Truck Impact Chart attached.</w:t>
      </w:r>
    </w:p>
  </w:footnote>
  <w:footnote w:id="6">
    <w:p w:rsidR="00852CAE" w:rsidRPr="002E782F" w:rsidRDefault="00852CAE">
      <w:pPr>
        <w:pStyle w:val="FootnoteText"/>
        <w:rPr>
          <w:rFonts w:ascii="Arial" w:hAnsi="Arial" w:cs="Arial"/>
          <w:sz w:val="16"/>
          <w:szCs w:val="16"/>
        </w:rPr>
      </w:pPr>
      <w:r w:rsidRPr="002E782F">
        <w:rPr>
          <w:rStyle w:val="FootnoteReference"/>
          <w:rFonts w:ascii="Arial" w:hAnsi="Arial" w:cs="Arial"/>
          <w:sz w:val="16"/>
          <w:szCs w:val="16"/>
        </w:rPr>
        <w:footnoteRef/>
      </w:r>
      <w:r w:rsidRPr="002E782F">
        <w:rPr>
          <w:rFonts w:ascii="Arial" w:hAnsi="Arial" w:cs="Arial"/>
          <w:sz w:val="16"/>
          <w:szCs w:val="16"/>
        </w:rPr>
        <w:t xml:space="preserve"> See Truck Impact Chart attached</w:t>
      </w:r>
    </w:p>
  </w:footnote>
  <w:footnote w:id="7">
    <w:p w:rsidR="00F26D5F" w:rsidRPr="00835DE7" w:rsidRDefault="00F26D5F" w:rsidP="00F26D5F">
      <w:pPr>
        <w:autoSpaceDE w:val="0"/>
        <w:autoSpaceDN w:val="0"/>
        <w:adjustRightInd w:val="0"/>
        <w:rPr>
          <w:rFonts w:ascii="Arial" w:hAnsi="Arial" w:cs="Arial"/>
          <w:sz w:val="16"/>
          <w:szCs w:val="16"/>
          <w:lang w:eastAsia="en-AU"/>
        </w:rPr>
      </w:pPr>
      <w:r w:rsidRPr="002E782F">
        <w:rPr>
          <w:rStyle w:val="FootnoteReference"/>
          <w:sz w:val="16"/>
          <w:szCs w:val="16"/>
        </w:rPr>
        <w:footnoteRef/>
      </w:r>
      <w:r w:rsidRPr="002E782F">
        <w:rPr>
          <w:sz w:val="16"/>
          <w:szCs w:val="16"/>
        </w:rPr>
        <w:t xml:space="preserve"> Page 3 - </w:t>
      </w:r>
      <w:r w:rsidRPr="002E782F">
        <w:rPr>
          <w:rFonts w:ascii="Arial" w:hAnsi="Arial" w:cs="Arial"/>
          <w:sz w:val="16"/>
          <w:szCs w:val="16"/>
          <w:lang w:eastAsia="en-AU"/>
        </w:rPr>
        <w:t xml:space="preserve">Draft clean energy legislative </w:t>
      </w:r>
      <w:r w:rsidRPr="00835DE7">
        <w:rPr>
          <w:rFonts w:ascii="Arial" w:hAnsi="Arial" w:cs="Arial"/>
          <w:sz w:val="16"/>
          <w:szCs w:val="16"/>
          <w:lang w:eastAsia="en-AU"/>
        </w:rPr>
        <w:t>package to Departme</w:t>
      </w:r>
      <w:r>
        <w:rPr>
          <w:rFonts w:ascii="Arial" w:hAnsi="Arial" w:cs="Arial"/>
          <w:sz w:val="16"/>
          <w:szCs w:val="16"/>
          <w:lang w:eastAsia="en-AU"/>
        </w:rPr>
        <w:t xml:space="preserve">nt of Climate Change and Energy </w:t>
      </w:r>
      <w:r w:rsidRPr="00835DE7">
        <w:rPr>
          <w:rFonts w:ascii="Arial" w:hAnsi="Arial" w:cs="Arial"/>
          <w:sz w:val="16"/>
          <w:szCs w:val="16"/>
          <w:lang w:eastAsia="en-AU"/>
        </w:rPr>
        <w:t>Efficiency  – the ATA – 22 may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Pr="00E8056B" w:rsidRDefault="00852CAE"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852CAE" w:rsidRDefault="00852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F105BF">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8" o:spid="_x0000_s2049" type="#_x0000_t136" style="position:absolute;margin-left:0;margin-top:0;width:318.15pt;height:318.15pt;rotation:315;z-index:-251658240;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Pr="0019542E" w:rsidRDefault="00852CAE"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AE" w:rsidRDefault="00F105BF">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7807" o:spid="_x0000_s2051" type="#_x0000_t136" style="position:absolute;margin-left:0;margin-top:0;width:318.15pt;height:318.15pt;rotation:315;z-index:-251659264;mso-position-horizontal:center;mso-position-horizontal-relative:margin;mso-position-vertical:center;mso-position-vertical-relative:margin" o:allowincell="f" fillcolor="silver" stroked="f">
          <v:fill opacity=".5"/>
          <v:textpath style="font-family:&quot;Calibri&quot;;font-size:1pt" string="AT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F75"/>
    <w:multiLevelType w:val="hybridMultilevel"/>
    <w:tmpl w:val="A1C4642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outline w:val="0"/>
        <w:shadow w:val="0"/>
        <w:emboss w:val="0"/>
        <w:imprint w:val="0"/>
        <w:vanish w:val="0"/>
        <w:sz w:val="20"/>
        <w:vertAlign w:val="base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2"/>
  </w:num>
  <w:num w:numId="2">
    <w:abstractNumId w:val="1"/>
  </w:num>
  <w:num w:numId="3">
    <w:abstractNumId w:val="0"/>
  </w:num>
  <w:num w:numId="4">
    <w:abstractNumId w:val="1"/>
  </w:num>
  <w:num w:numId="5">
    <w:abstractNumId w:val="2"/>
  </w:num>
  <w:num w:numId="6">
    <w:abstractNumId w:val="2"/>
  </w:num>
  <w:num w:numId="7">
    <w:abstractNumId w:val="2"/>
  </w:num>
  <w:num w:numId="8">
    <w:abstractNumId w:val="2"/>
  </w:num>
  <w:num w:numId="9">
    <w:abstractNumId w:val="1"/>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53250"/>
    <o:shapelayout v:ext="edit">
      <o:idmap v:ext="edit" data="2"/>
    </o:shapelayout>
  </w:hdrShapeDefaults>
  <w:footnotePr>
    <w:footnote w:id="-1"/>
    <w:footnote w:id="0"/>
  </w:footnotePr>
  <w:endnotePr>
    <w:endnote w:id="-1"/>
    <w:endnote w:id="0"/>
  </w:endnotePr>
  <w:compat/>
  <w:rsids>
    <w:rsidRoot w:val="00C1627A"/>
    <w:rsid w:val="00004DB4"/>
    <w:rsid w:val="00005E0D"/>
    <w:rsid w:val="000118F7"/>
    <w:rsid w:val="00011D52"/>
    <w:rsid w:val="000156D1"/>
    <w:rsid w:val="00023B28"/>
    <w:rsid w:val="00035CFC"/>
    <w:rsid w:val="0004076B"/>
    <w:rsid w:val="00040876"/>
    <w:rsid w:val="00040D26"/>
    <w:rsid w:val="0004192B"/>
    <w:rsid w:val="00043AF0"/>
    <w:rsid w:val="00044533"/>
    <w:rsid w:val="00046042"/>
    <w:rsid w:val="00050881"/>
    <w:rsid w:val="00052E9C"/>
    <w:rsid w:val="0006283B"/>
    <w:rsid w:val="0007542B"/>
    <w:rsid w:val="00075E7B"/>
    <w:rsid w:val="00076C90"/>
    <w:rsid w:val="00083C15"/>
    <w:rsid w:val="000848A1"/>
    <w:rsid w:val="000868C6"/>
    <w:rsid w:val="000875E7"/>
    <w:rsid w:val="00095C3B"/>
    <w:rsid w:val="000A151F"/>
    <w:rsid w:val="000A2BCF"/>
    <w:rsid w:val="000A4EB0"/>
    <w:rsid w:val="000A62F7"/>
    <w:rsid w:val="000B069A"/>
    <w:rsid w:val="000B351D"/>
    <w:rsid w:val="000B4161"/>
    <w:rsid w:val="000B6D2A"/>
    <w:rsid w:val="000B773A"/>
    <w:rsid w:val="000C01AC"/>
    <w:rsid w:val="000C0C35"/>
    <w:rsid w:val="000C15B7"/>
    <w:rsid w:val="000C310A"/>
    <w:rsid w:val="000C594D"/>
    <w:rsid w:val="000D274C"/>
    <w:rsid w:val="000D528B"/>
    <w:rsid w:val="000D6381"/>
    <w:rsid w:val="000E408F"/>
    <w:rsid w:val="000E67CA"/>
    <w:rsid w:val="000E7B14"/>
    <w:rsid w:val="000F080E"/>
    <w:rsid w:val="000F0F7B"/>
    <w:rsid w:val="000F30FF"/>
    <w:rsid w:val="000F3D9F"/>
    <w:rsid w:val="000F53C2"/>
    <w:rsid w:val="000F566E"/>
    <w:rsid w:val="000F7F6F"/>
    <w:rsid w:val="00100ED4"/>
    <w:rsid w:val="001019C0"/>
    <w:rsid w:val="00110610"/>
    <w:rsid w:val="001202C1"/>
    <w:rsid w:val="00121A53"/>
    <w:rsid w:val="00121A86"/>
    <w:rsid w:val="00125795"/>
    <w:rsid w:val="0013041A"/>
    <w:rsid w:val="001368EB"/>
    <w:rsid w:val="00141274"/>
    <w:rsid w:val="0014437E"/>
    <w:rsid w:val="00145022"/>
    <w:rsid w:val="001463C2"/>
    <w:rsid w:val="0014683D"/>
    <w:rsid w:val="00150065"/>
    <w:rsid w:val="00151950"/>
    <w:rsid w:val="00151F88"/>
    <w:rsid w:val="00152A71"/>
    <w:rsid w:val="001533EC"/>
    <w:rsid w:val="00160FE3"/>
    <w:rsid w:val="001611AB"/>
    <w:rsid w:val="00164A4D"/>
    <w:rsid w:val="00170107"/>
    <w:rsid w:val="00170FC2"/>
    <w:rsid w:val="001811B8"/>
    <w:rsid w:val="0018136A"/>
    <w:rsid w:val="001817F5"/>
    <w:rsid w:val="0019542E"/>
    <w:rsid w:val="001A024F"/>
    <w:rsid w:val="001A0DC3"/>
    <w:rsid w:val="001A5FE2"/>
    <w:rsid w:val="001A6510"/>
    <w:rsid w:val="001B3E52"/>
    <w:rsid w:val="001B46F6"/>
    <w:rsid w:val="001C121B"/>
    <w:rsid w:val="001C125D"/>
    <w:rsid w:val="001C13A5"/>
    <w:rsid w:val="001C3659"/>
    <w:rsid w:val="001D038B"/>
    <w:rsid w:val="001D1836"/>
    <w:rsid w:val="001D50C7"/>
    <w:rsid w:val="001D77A8"/>
    <w:rsid w:val="001D7817"/>
    <w:rsid w:val="001E0A75"/>
    <w:rsid w:val="001E1665"/>
    <w:rsid w:val="001E232E"/>
    <w:rsid w:val="001E3126"/>
    <w:rsid w:val="001F187C"/>
    <w:rsid w:val="001F2FD4"/>
    <w:rsid w:val="001F32AB"/>
    <w:rsid w:val="001F5A9B"/>
    <w:rsid w:val="001F5CDF"/>
    <w:rsid w:val="002041FF"/>
    <w:rsid w:val="0021180A"/>
    <w:rsid w:val="00212936"/>
    <w:rsid w:val="00213C59"/>
    <w:rsid w:val="002158C8"/>
    <w:rsid w:val="00216CE6"/>
    <w:rsid w:val="00230DFC"/>
    <w:rsid w:val="002317DA"/>
    <w:rsid w:val="00241C15"/>
    <w:rsid w:val="002502EF"/>
    <w:rsid w:val="00250E06"/>
    <w:rsid w:val="00252BD7"/>
    <w:rsid w:val="0025356A"/>
    <w:rsid w:val="00253E0B"/>
    <w:rsid w:val="002543DF"/>
    <w:rsid w:val="00262C0A"/>
    <w:rsid w:val="0026620C"/>
    <w:rsid w:val="00266915"/>
    <w:rsid w:val="00267830"/>
    <w:rsid w:val="00294E3C"/>
    <w:rsid w:val="00296633"/>
    <w:rsid w:val="002A010F"/>
    <w:rsid w:val="002A237B"/>
    <w:rsid w:val="002A43F0"/>
    <w:rsid w:val="002A4859"/>
    <w:rsid w:val="002B1F61"/>
    <w:rsid w:val="002B2136"/>
    <w:rsid w:val="002B381D"/>
    <w:rsid w:val="002B3AEF"/>
    <w:rsid w:val="002B618E"/>
    <w:rsid w:val="002B6CC2"/>
    <w:rsid w:val="002C1799"/>
    <w:rsid w:val="002C7D3E"/>
    <w:rsid w:val="002C7FF6"/>
    <w:rsid w:val="002D592D"/>
    <w:rsid w:val="002D5D45"/>
    <w:rsid w:val="002D7FDB"/>
    <w:rsid w:val="002E453E"/>
    <w:rsid w:val="002E5D82"/>
    <w:rsid w:val="002E782F"/>
    <w:rsid w:val="002E7897"/>
    <w:rsid w:val="002E7F28"/>
    <w:rsid w:val="002F0EBE"/>
    <w:rsid w:val="002F2F65"/>
    <w:rsid w:val="002F42BE"/>
    <w:rsid w:val="002F6212"/>
    <w:rsid w:val="002F632C"/>
    <w:rsid w:val="00306FBF"/>
    <w:rsid w:val="0031301A"/>
    <w:rsid w:val="00320AFE"/>
    <w:rsid w:val="00320F07"/>
    <w:rsid w:val="00321A43"/>
    <w:rsid w:val="0032308F"/>
    <w:rsid w:val="00325A6C"/>
    <w:rsid w:val="00334926"/>
    <w:rsid w:val="00336760"/>
    <w:rsid w:val="00341FEC"/>
    <w:rsid w:val="00342826"/>
    <w:rsid w:val="0034321B"/>
    <w:rsid w:val="00352490"/>
    <w:rsid w:val="003533CA"/>
    <w:rsid w:val="00354394"/>
    <w:rsid w:val="0035493A"/>
    <w:rsid w:val="00360759"/>
    <w:rsid w:val="00372153"/>
    <w:rsid w:val="00374216"/>
    <w:rsid w:val="00384772"/>
    <w:rsid w:val="0039063B"/>
    <w:rsid w:val="003911E4"/>
    <w:rsid w:val="003958D9"/>
    <w:rsid w:val="003B0E35"/>
    <w:rsid w:val="003B1937"/>
    <w:rsid w:val="003B6150"/>
    <w:rsid w:val="003B74E4"/>
    <w:rsid w:val="003C2311"/>
    <w:rsid w:val="003D6FA8"/>
    <w:rsid w:val="003E022B"/>
    <w:rsid w:val="003E269D"/>
    <w:rsid w:val="003E2B20"/>
    <w:rsid w:val="003F6CA9"/>
    <w:rsid w:val="004008C7"/>
    <w:rsid w:val="00403823"/>
    <w:rsid w:val="00403AB5"/>
    <w:rsid w:val="00404731"/>
    <w:rsid w:val="004053D4"/>
    <w:rsid w:val="004115B6"/>
    <w:rsid w:val="00413868"/>
    <w:rsid w:val="00413F6B"/>
    <w:rsid w:val="00415126"/>
    <w:rsid w:val="004164B0"/>
    <w:rsid w:val="00417A6F"/>
    <w:rsid w:val="004205EF"/>
    <w:rsid w:val="00421306"/>
    <w:rsid w:val="00422BB7"/>
    <w:rsid w:val="00423CCC"/>
    <w:rsid w:val="00424D3E"/>
    <w:rsid w:val="0042557B"/>
    <w:rsid w:val="004318DC"/>
    <w:rsid w:val="004353C2"/>
    <w:rsid w:val="00440231"/>
    <w:rsid w:val="00440F44"/>
    <w:rsid w:val="004456CC"/>
    <w:rsid w:val="00445CDC"/>
    <w:rsid w:val="00450702"/>
    <w:rsid w:val="00450FF8"/>
    <w:rsid w:val="00461C8E"/>
    <w:rsid w:val="004640D1"/>
    <w:rsid w:val="0047036B"/>
    <w:rsid w:val="00470721"/>
    <w:rsid w:val="00472115"/>
    <w:rsid w:val="00475C39"/>
    <w:rsid w:val="004803E5"/>
    <w:rsid w:val="00482A22"/>
    <w:rsid w:val="00484068"/>
    <w:rsid w:val="00487F0F"/>
    <w:rsid w:val="0049414B"/>
    <w:rsid w:val="004977DE"/>
    <w:rsid w:val="004A2F6F"/>
    <w:rsid w:val="004B26EB"/>
    <w:rsid w:val="004B6187"/>
    <w:rsid w:val="004B7FFA"/>
    <w:rsid w:val="004C21BB"/>
    <w:rsid w:val="004C2EB3"/>
    <w:rsid w:val="004C3CC3"/>
    <w:rsid w:val="004C4418"/>
    <w:rsid w:val="004D43D2"/>
    <w:rsid w:val="004D652E"/>
    <w:rsid w:val="004E0CAD"/>
    <w:rsid w:val="004E1EBB"/>
    <w:rsid w:val="004E3959"/>
    <w:rsid w:val="004E5EA3"/>
    <w:rsid w:val="004F112A"/>
    <w:rsid w:val="004F1B89"/>
    <w:rsid w:val="004F3B07"/>
    <w:rsid w:val="004F42DC"/>
    <w:rsid w:val="00510952"/>
    <w:rsid w:val="005223FD"/>
    <w:rsid w:val="00525303"/>
    <w:rsid w:val="00527304"/>
    <w:rsid w:val="0053137B"/>
    <w:rsid w:val="00532BFB"/>
    <w:rsid w:val="005365E0"/>
    <w:rsid w:val="00542479"/>
    <w:rsid w:val="00544362"/>
    <w:rsid w:val="00550256"/>
    <w:rsid w:val="0056179B"/>
    <w:rsid w:val="00565F92"/>
    <w:rsid w:val="00571E75"/>
    <w:rsid w:val="00573408"/>
    <w:rsid w:val="00576ED0"/>
    <w:rsid w:val="00576F0D"/>
    <w:rsid w:val="00580BDF"/>
    <w:rsid w:val="00583EC7"/>
    <w:rsid w:val="00586C72"/>
    <w:rsid w:val="00587C8F"/>
    <w:rsid w:val="00593217"/>
    <w:rsid w:val="005A0D15"/>
    <w:rsid w:val="005A18D7"/>
    <w:rsid w:val="005A2A86"/>
    <w:rsid w:val="005A4466"/>
    <w:rsid w:val="005B3729"/>
    <w:rsid w:val="005C154E"/>
    <w:rsid w:val="005C31A0"/>
    <w:rsid w:val="005C4952"/>
    <w:rsid w:val="005C63F7"/>
    <w:rsid w:val="005C74C9"/>
    <w:rsid w:val="005D2355"/>
    <w:rsid w:val="005D2565"/>
    <w:rsid w:val="005D6CD2"/>
    <w:rsid w:val="005D6E23"/>
    <w:rsid w:val="005E11FC"/>
    <w:rsid w:val="005E16F9"/>
    <w:rsid w:val="005E28FB"/>
    <w:rsid w:val="005E5130"/>
    <w:rsid w:val="005E6294"/>
    <w:rsid w:val="005E6D8B"/>
    <w:rsid w:val="005F1009"/>
    <w:rsid w:val="005F21D1"/>
    <w:rsid w:val="005F5ACC"/>
    <w:rsid w:val="005F6288"/>
    <w:rsid w:val="005F69CC"/>
    <w:rsid w:val="005F76B2"/>
    <w:rsid w:val="00605DDD"/>
    <w:rsid w:val="00605E06"/>
    <w:rsid w:val="00607663"/>
    <w:rsid w:val="006104D6"/>
    <w:rsid w:val="006109E9"/>
    <w:rsid w:val="00610CFE"/>
    <w:rsid w:val="006231E7"/>
    <w:rsid w:val="006244DA"/>
    <w:rsid w:val="00640940"/>
    <w:rsid w:val="00640AF8"/>
    <w:rsid w:val="00640DAD"/>
    <w:rsid w:val="0064190A"/>
    <w:rsid w:val="006724CC"/>
    <w:rsid w:val="00674463"/>
    <w:rsid w:val="00683D7C"/>
    <w:rsid w:val="006859F7"/>
    <w:rsid w:val="0069019B"/>
    <w:rsid w:val="00693363"/>
    <w:rsid w:val="00696A94"/>
    <w:rsid w:val="006A41AF"/>
    <w:rsid w:val="006A797E"/>
    <w:rsid w:val="006B4380"/>
    <w:rsid w:val="006C38AD"/>
    <w:rsid w:val="006C6B74"/>
    <w:rsid w:val="006D09EF"/>
    <w:rsid w:val="006D4D41"/>
    <w:rsid w:val="006F050F"/>
    <w:rsid w:val="006F2940"/>
    <w:rsid w:val="006F3537"/>
    <w:rsid w:val="006F513F"/>
    <w:rsid w:val="00703EBF"/>
    <w:rsid w:val="007055B2"/>
    <w:rsid w:val="007162A5"/>
    <w:rsid w:val="0071762D"/>
    <w:rsid w:val="00725BC0"/>
    <w:rsid w:val="00726797"/>
    <w:rsid w:val="00726CB4"/>
    <w:rsid w:val="00733700"/>
    <w:rsid w:val="00740005"/>
    <w:rsid w:val="00740DF8"/>
    <w:rsid w:val="00753381"/>
    <w:rsid w:val="0075427A"/>
    <w:rsid w:val="0076304F"/>
    <w:rsid w:val="00784B86"/>
    <w:rsid w:val="00791216"/>
    <w:rsid w:val="00792CEB"/>
    <w:rsid w:val="007A3E56"/>
    <w:rsid w:val="007A5771"/>
    <w:rsid w:val="007A69C1"/>
    <w:rsid w:val="007B2559"/>
    <w:rsid w:val="007B3B54"/>
    <w:rsid w:val="007B3BE2"/>
    <w:rsid w:val="007B6A76"/>
    <w:rsid w:val="007B711A"/>
    <w:rsid w:val="007C3F49"/>
    <w:rsid w:val="007C5B64"/>
    <w:rsid w:val="007C65D4"/>
    <w:rsid w:val="007D0E21"/>
    <w:rsid w:val="007D608A"/>
    <w:rsid w:val="007D7069"/>
    <w:rsid w:val="007E257F"/>
    <w:rsid w:val="007E68E9"/>
    <w:rsid w:val="007F4404"/>
    <w:rsid w:val="007F44BE"/>
    <w:rsid w:val="007F4C48"/>
    <w:rsid w:val="00802108"/>
    <w:rsid w:val="00802A51"/>
    <w:rsid w:val="00802CA7"/>
    <w:rsid w:val="00806EFF"/>
    <w:rsid w:val="00821537"/>
    <w:rsid w:val="00825C08"/>
    <w:rsid w:val="0083058C"/>
    <w:rsid w:val="008344FF"/>
    <w:rsid w:val="00834ACA"/>
    <w:rsid w:val="00835DE7"/>
    <w:rsid w:val="00836304"/>
    <w:rsid w:val="0083631A"/>
    <w:rsid w:val="00840E08"/>
    <w:rsid w:val="0084540A"/>
    <w:rsid w:val="00852A83"/>
    <w:rsid w:val="00852CAE"/>
    <w:rsid w:val="00853473"/>
    <w:rsid w:val="00853E1F"/>
    <w:rsid w:val="00854D3E"/>
    <w:rsid w:val="00861D20"/>
    <w:rsid w:val="00865F30"/>
    <w:rsid w:val="00872E19"/>
    <w:rsid w:val="00874AAE"/>
    <w:rsid w:val="00875BF1"/>
    <w:rsid w:val="00875E89"/>
    <w:rsid w:val="00877FD8"/>
    <w:rsid w:val="00881A97"/>
    <w:rsid w:val="00884504"/>
    <w:rsid w:val="00885F8A"/>
    <w:rsid w:val="00890346"/>
    <w:rsid w:val="00891979"/>
    <w:rsid w:val="008A2027"/>
    <w:rsid w:val="008A5088"/>
    <w:rsid w:val="008A61F2"/>
    <w:rsid w:val="008B0EEF"/>
    <w:rsid w:val="008B4B63"/>
    <w:rsid w:val="008B72CA"/>
    <w:rsid w:val="008B7312"/>
    <w:rsid w:val="008B7F9F"/>
    <w:rsid w:val="008C1818"/>
    <w:rsid w:val="008C3057"/>
    <w:rsid w:val="008C38B7"/>
    <w:rsid w:val="008D5426"/>
    <w:rsid w:val="008E1721"/>
    <w:rsid w:val="008E3865"/>
    <w:rsid w:val="008E3CD2"/>
    <w:rsid w:val="008F11A3"/>
    <w:rsid w:val="008F3744"/>
    <w:rsid w:val="0090183B"/>
    <w:rsid w:val="00905A43"/>
    <w:rsid w:val="00907060"/>
    <w:rsid w:val="00907971"/>
    <w:rsid w:val="00910C5A"/>
    <w:rsid w:val="009132E3"/>
    <w:rsid w:val="009148AC"/>
    <w:rsid w:val="00914C1D"/>
    <w:rsid w:val="009333F1"/>
    <w:rsid w:val="0093720E"/>
    <w:rsid w:val="00940D05"/>
    <w:rsid w:val="00943829"/>
    <w:rsid w:val="00946E17"/>
    <w:rsid w:val="00955AD3"/>
    <w:rsid w:val="00960FE0"/>
    <w:rsid w:val="00964194"/>
    <w:rsid w:val="00964D25"/>
    <w:rsid w:val="00966A2E"/>
    <w:rsid w:val="00973AF4"/>
    <w:rsid w:val="0098465E"/>
    <w:rsid w:val="00986804"/>
    <w:rsid w:val="00990F9E"/>
    <w:rsid w:val="00993BAE"/>
    <w:rsid w:val="0099546D"/>
    <w:rsid w:val="009960F9"/>
    <w:rsid w:val="0099770C"/>
    <w:rsid w:val="009A3853"/>
    <w:rsid w:val="009B029F"/>
    <w:rsid w:val="009B0520"/>
    <w:rsid w:val="009B19FF"/>
    <w:rsid w:val="009B4220"/>
    <w:rsid w:val="009C4CAC"/>
    <w:rsid w:val="009C5B87"/>
    <w:rsid w:val="009D07EF"/>
    <w:rsid w:val="009D23E9"/>
    <w:rsid w:val="009D2BC0"/>
    <w:rsid w:val="009D2F28"/>
    <w:rsid w:val="009D327F"/>
    <w:rsid w:val="009D3731"/>
    <w:rsid w:val="009D56D7"/>
    <w:rsid w:val="009D7F5D"/>
    <w:rsid w:val="009E77F2"/>
    <w:rsid w:val="009F3DF5"/>
    <w:rsid w:val="00A0156A"/>
    <w:rsid w:val="00A02972"/>
    <w:rsid w:val="00A0493F"/>
    <w:rsid w:val="00A05C28"/>
    <w:rsid w:val="00A06C96"/>
    <w:rsid w:val="00A10889"/>
    <w:rsid w:val="00A109D4"/>
    <w:rsid w:val="00A12D70"/>
    <w:rsid w:val="00A1430A"/>
    <w:rsid w:val="00A2215A"/>
    <w:rsid w:val="00A25AFB"/>
    <w:rsid w:val="00A300E2"/>
    <w:rsid w:val="00A31C8A"/>
    <w:rsid w:val="00A36B6F"/>
    <w:rsid w:val="00A36C35"/>
    <w:rsid w:val="00A37A93"/>
    <w:rsid w:val="00A438B7"/>
    <w:rsid w:val="00A44995"/>
    <w:rsid w:val="00A44D65"/>
    <w:rsid w:val="00A54248"/>
    <w:rsid w:val="00A57D2F"/>
    <w:rsid w:val="00A6297F"/>
    <w:rsid w:val="00A65515"/>
    <w:rsid w:val="00A71876"/>
    <w:rsid w:val="00A76D9B"/>
    <w:rsid w:val="00A832A0"/>
    <w:rsid w:val="00A87317"/>
    <w:rsid w:val="00A91411"/>
    <w:rsid w:val="00A94647"/>
    <w:rsid w:val="00AA0612"/>
    <w:rsid w:val="00AA2D57"/>
    <w:rsid w:val="00AB29C7"/>
    <w:rsid w:val="00AB538B"/>
    <w:rsid w:val="00AB6D11"/>
    <w:rsid w:val="00AC2FD9"/>
    <w:rsid w:val="00AC72F0"/>
    <w:rsid w:val="00AD0E7C"/>
    <w:rsid w:val="00AD29E4"/>
    <w:rsid w:val="00AD3A50"/>
    <w:rsid w:val="00AD51CE"/>
    <w:rsid w:val="00AD7650"/>
    <w:rsid w:val="00AE51CF"/>
    <w:rsid w:val="00AE565F"/>
    <w:rsid w:val="00AE7959"/>
    <w:rsid w:val="00AF76B9"/>
    <w:rsid w:val="00B01724"/>
    <w:rsid w:val="00B04623"/>
    <w:rsid w:val="00B05F83"/>
    <w:rsid w:val="00B07BC7"/>
    <w:rsid w:val="00B11307"/>
    <w:rsid w:val="00B13B6B"/>
    <w:rsid w:val="00B15CA5"/>
    <w:rsid w:val="00B31461"/>
    <w:rsid w:val="00B31649"/>
    <w:rsid w:val="00B43E2A"/>
    <w:rsid w:val="00B50C38"/>
    <w:rsid w:val="00B53589"/>
    <w:rsid w:val="00B55488"/>
    <w:rsid w:val="00B556AC"/>
    <w:rsid w:val="00B56443"/>
    <w:rsid w:val="00B615F9"/>
    <w:rsid w:val="00B63232"/>
    <w:rsid w:val="00B636DC"/>
    <w:rsid w:val="00B64B1F"/>
    <w:rsid w:val="00B668E7"/>
    <w:rsid w:val="00B73CD8"/>
    <w:rsid w:val="00B751A7"/>
    <w:rsid w:val="00B75AB6"/>
    <w:rsid w:val="00B867DD"/>
    <w:rsid w:val="00B90EA0"/>
    <w:rsid w:val="00B914D3"/>
    <w:rsid w:val="00B96747"/>
    <w:rsid w:val="00BA0CE8"/>
    <w:rsid w:val="00BA19BE"/>
    <w:rsid w:val="00BC0B49"/>
    <w:rsid w:val="00BC63F3"/>
    <w:rsid w:val="00BE46AC"/>
    <w:rsid w:val="00BE639D"/>
    <w:rsid w:val="00BF5C66"/>
    <w:rsid w:val="00BF6BE2"/>
    <w:rsid w:val="00C02F16"/>
    <w:rsid w:val="00C04619"/>
    <w:rsid w:val="00C05E5B"/>
    <w:rsid w:val="00C061E3"/>
    <w:rsid w:val="00C119C2"/>
    <w:rsid w:val="00C122D5"/>
    <w:rsid w:val="00C12B1C"/>
    <w:rsid w:val="00C14967"/>
    <w:rsid w:val="00C1627A"/>
    <w:rsid w:val="00C23789"/>
    <w:rsid w:val="00C23DBC"/>
    <w:rsid w:val="00C26E47"/>
    <w:rsid w:val="00C2750C"/>
    <w:rsid w:val="00C3083F"/>
    <w:rsid w:val="00C33404"/>
    <w:rsid w:val="00C34A8C"/>
    <w:rsid w:val="00C42CE4"/>
    <w:rsid w:val="00C43BDE"/>
    <w:rsid w:val="00C502B8"/>
    <w:rsid w:val="00C676E5"/>
    <w:rsid w:val="00C71638"/>
    <w:rsid w:val="00C81D29"/>
    <w:rsid w:val="00C926AD"/>
    <w:rsid w:val="00C93193"/>
    <w:rsid w:val="00CA0ADF"/>
    <w:rsid w:val="00CA5938"/>
    <w:rsid w:val="00CB04F8"/>
    <w:rsid w:val="00CB642F"/>
    <w:rsid w:val="00CB7F0D"/>
    <w:rsid w:val="00CC1DF7"/>
    <w:rsid w:val="00CC28C6"/>
    <w:rsid w:val="00CC4808"/>
    <w:rsid w:val="00CC4C0C"/>
    <w:rsid w:val="00CD30AA"/>
    <w:rsid w:val="00CD3D90"/>
    <w:rsid w:val="00CD4A55"/>
    <w:rsid w:val="00CD56F8"/>
    <w:rsid w:val="00CD67E1"/>
    <w:rsid w:val="00CE0D2C"/>
    <w:rsid w:val="00CE0EFD"/>
    <w:rsid w:val="00CE1B8A"/>
    <w:rsid w:val="00CE4936"/>
    <w:rsid w:val="00CE5A65"/>
    <w:rsid w:val="00CF32F4"/>
    <w:rsid w:val="00CF65B7"/>
    <w:rsid w:val="00D06F27"/>
    <w:rsid w:val="00D17563"/>
    <w:rsid w:val="00D24520"/>
    <w:rsid w:val="00D262EA"/>
    <w:rsid w:val="00D31595"/>
    <w:rsid w:val="00D378A3"/>
    <w:rsid w:val="00D40AAD"/>
    <w:rsid w:val="00D40DEC"/>
    <w:rsid w:val="00D4526A"/>
    <w:rsid w:val="00D47ACC"/>
    <w:rsid w:val="00D51066"/>
    <w:rsid w:val="00D51FE7"/>
    <w:rsid w:val="00D52F32"/>
    <w:rsid w:val="00D60807"/>
    <w:rsid w:val="00D61332"/>
    <w:rsid w:val="00D64D1F"/>
    <w:rsid w:val="00D66519"/>
    <w:rsid w:val="00D7160E"/>
    <w:rsid w:val="00D73280"/>
    <w:rsid w:val="00D735FF"/>
    <w:rsid w:val="00D73A3C"/>
    <w:rsid w:val="00D82E72"/>
    <w:rsid w:val="00D903A6"/>
    <w:rsid w:val="00D9098B"/>
    <w:rsid w:val="00D91BC7"/>
    <w:rsid w:val="00D9288B"/>
    <w:rsid w:val="00D953AA"/>
    <w:rsid w:val="00DA0765"/>
    <w:rsid w:val="00DA3060"/>
    <w:rsid w:val="00DA6F20"/>
    <w:rsid w:val="00DB17ED"/>
    <w:rsid w:val="00DC2D7A"/>
    <w:rsid w:val="00DE0959"/>
    <w:rsid w:val="00DE1245"/>
    <w:rsid w:val="00DE3A75"/>
    <w:rsid w:val="00DF53D7"/>
    <w:rsid w:val="00DF54C2"/>
    <w:rsid w:val="00DF5787"/>
    <w:rsid w:val="00E019D5"/>
    <w:rsid w:val="00E02771"/>
    <w:rsid w:val="00E02DF9"/>
    <w:rsid w:val="00E03E14"/>
    <w:rsid w:val="00E06474"/>
    <w:rsid w:val="00E15FD6"/>
    <w:rsid w:val="00E1630A"/>
    <w:rsid w:val="00E16AED"/>
    <w:rsid w:val="00E205B3"/>
    <w:rsid w:val="00E23208"/>
    <w:rsid w:val="00E24A15"/>
    <w:rsid w:val="00E24F4E"/>
    <w:rsid w:val="00E275CC"/>
    <w:rsid w:val="00E3023E"/>
    <w:rsid w:val="00E338FA"/>
    <w:rsid w:val="00E33CB2"/>
    <w:rsid w:val="00E34B78"/>
    <w:rsid w:val="00E46F71"/>
    <w:rsid w:val="00E47019"/>
    <w:rsid w:val="00E51FE7"/>
    <w:rsid w:val="00E53AD3"/>
    <w:rsid w:val="00E7585E"/>
    <w:rsid w:val="00E760B6"/>
    <w:rsid w:val="00E7692F"/>
    <w:rsid w:val="00E8056B"/>
    <w:rsid w:val="00E8626D"/>
    <w:rsid w:val="00E96AA4"/>
    <w:rsid w:val="00EA1831"/>
    <w:rsid w:val="00EA2204"/>
    <w:rsid w:val="00EA3251"/>
    <w:rsid w:val="00EB0C47"/>
    <w:rsid w:val="00EB39FF"/>
    <w:rsid w:val="00EB52D8"/>
    <w:rsid w:val="00EC7FDA"/>
    <w:rsid w:val="00ED0B80"/>
    <w:rsid w:val="00ED1DB0"/>
    <w:rsid w:val="00ED2995"/>
    <w:rsid w:val="00ED41E0"/>
    <w:rsid w:val="00EE4129"/>
    <w:rsid w:val="00F00BBD"/>
    <w:rsid w:val="00F06E9C"/>
    <w:rsid w:val="00F105BF"/>
    <w:rsid w:val="00F16C2D"/>
    <w:rsid w:val="00F17E6F"/>
    <w:rsid w:val="00F17EC7"/>
    <w:rsid w:val="00F20633"/>
    <w:rsid w:val="00F21CE8"/>
    <w:rsid w:val="00F23F7C"/>
    <w:rsid w:val="00F24101"/>
    <w:rsid w:val="00F26132"/>
    <w:rsid w:val="00F26CFA"/>
    <w:rsid w:val="00F26D5F"/>
    <w:rsid w:val="00F33008"/>
    <w:rsid w:val="00F37828"/>
    <w:rsid w:val="00F51B8C"/>
    <w:rsid w:val="00F52310"/>
    <w:rsid w:val="00F637DB"/>
    <w:rsid w:val="00F66A3C"/>
    <w:rsid w:val="00F748B9"/>
    <w:rsid w:val="00F769BB"/>
    <w:rsid w:val="00F80E00"/>
    <w:rsid w:val="00F83C66"/>
    <w:rsid w:val="00F83E5B"/>
    <w:rsid w:val="00F85530"/>
    <w:rsid w:val="00F91F03"/>
    <w:rsid w:val="00F971D6"/>
    <w:rsid w:val="00FA1E1F"/>
    <w:rsid w:val="00FB3029"/>
    <w:rsid w:val="00FB3E18"/>
    <w:rsid w:val="00FB5163"/>
    <w:rsid w:val="00FC3859"/>
    <w:rsid w:val="00FF4F15"/>
    <w:rsid w:val="00FF696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99"/>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uiPriority w:val="99"/>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sz w:val="22"/>
      <w:szCs w:val="22"/>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0E408F"/>
    <w:pPr>
      <w:tabs>
        <w:tab w:val="left" w:pos="442"/>
        <w:tab w:val="right" w:leader="dot" w:pos="9628"/>
      </w:tabs>
      <w:spacing w:before="360" w:after="100"/>
    </w:pPr>
    <w:rPr>
      <w:rFonts w:ascii="Arial" w:hAnsi="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b/>
      <w:i/>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color w:val="FFFFFF" w:themeColor="background1"/>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rPr>
  </w:style>
</w:styles>
</file>

<file path=word/webSettings.xml><?xml version="1.0" encoding="utf-8"?>
<w:webSettings xmlns:r="http://schemas.openxmlformats.org/officeDocument/2006/relationships" xmlns:w="http://schemas.openxmlformats.org/wordprocessingml/2006/main">
  <w:divs>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nti.com.au/AboutNTI/NewsandMedia/tabid/85/newsid468/17/mid/468/Default.aspx" TargetMode="External"/><Relationship Id="rId1" Type="http://schemas.openxmlformats.org/officeDocument/2006/relationships/hyperlink" Target="http://trucksafe.files.wordpress.com/2010/12/the-case-for-trucksaf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535E-A76A-4B11-BDF5-AD781104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4122</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27565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loydelld</dc:creator>
  <cp:lastModifiedBy>harbers</cp:lastModifiedBy>
  <cp:revision>4</cp:revision>
  <cp:lastPrinted>2011-10-20T21:47:00Z</cp:lastPrinted>
  <dcterms:created xsi:type="dcterms:W3CDTF">2011-10-20T05:53:00Z</dcterms:created>
  <dcterms:modified xsi:type="dcterms:W3CDTF">2011-10-20T21:51:00Z</dcterms:modified>
</cp:coreProperties>
</file>