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7F8" w:rsidRPr="008D57F8" w:rsidRDefault="008D57F8" w:rsidP="00431A02">
      <w:pPr>
        <w:pStyle w:val="NoSpacing"/>
        <w:jc w:val="center"/>
        <w:rPr>
          <w:rFonts w:ascii="Arial" w:hAnsi="Arial" w:cs="Arial"/>
          <w:color w:val="auto"/>
          <w:sz w:val="22"/>
          <w:szCs w:val="22"/>
        </w:rPr>
      </w:pPr>
      <w:r>
        <w:rPr>
          <w:rFonts w:ascii="Arial" w:hAnsi="Arial" w:cs="Arial"/>
          <w:noProof/>
          <w:color w:val="auto"/>
          <w:sz w:val="22"/>
          <w:szCs w:val="22"/>
        </w:rPr>
        <w:drawing>
          <wp:inline distT="0" distB="0" distL="0" distR="0">
            <wp:extent cx="1150358" cy="5559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A Logo Mono 2015.png"/>
                    <pic:cNvPicPr/>
                  </pic:nvPicPr>
                  <pic:blipFill>
                    <a:blip r:embed="rId8">
                      <a:extLst>
                        <a:ext uri="{28A0092B-C50C-407E-A947-70E740481C1C}">
                          <a14:useLocalDpi xmlns:a14="http://schemas.microsoft.com/office/drawing/2010/main" val="0"/>
                        </a:ext>
                      </a:extLst>
                    </a:blip>
                    <a:stretch>
                      <a:fillRect/>
                    </a:stretch>
                  </pic:blipFill>
                  <pic:spPr>
                    <a:xfrm>
                      <a:off x="0" y="0"/>
                      <a:ext cx="1168774" cy="564838"/>
                    </a:xfrm>
                    <a:prstGeom prst="rect">
                      <a:avLst/>
                    </a:prstGeom>
                  </pic:spPr>
                </pic:pic>
              </a:graphicData>
            </a:graphic>
          </wp:inline>
        </w:drawing>
      </w:r>
    </w:p>
    <w:p w:rsidR="008D57F8" w:rsidRPr="008D57F8" w:rsidRDefault="008D57F8" w:rsidP="00431A02">
      <w:pPr>
        <w:pStyle w:val="NoSpacing"/>
        <w:jc w:val="center"/>
        <w:rPr>
          <w:rFonts w:ascii="Arial" w:hAnsi="Arial" w:cs="Arial"/>
          <w:color w:val="auto"/>
          <w:sz w:val="22"/>
          <w:szCs w:val="22"/>
        </w:rPr>
      </w:pPr>
    </w:p>
    <w:p w:rsidR="0009785A" w:rsidRDefault="00AC2EB5" w:rsidP="00431A02">
      <w:pPr>
        <w:pStyle w:val="NoSpacing"/>
        <w:jc w:val="center"/>
        <w:rPr>
          <w:rFonts w:ascii="Arial" w:hAnsi="Arial" w:cs="Arial"/>
          <w:b/>
          <w:color w:val="auto"/>
          <w:sz w:val="22"/>
          <w:szCs w:val="22"/>
        </w:rPr>
      </w:pPr>
      <w:r>
        <w:rPr>
          <w:rFonts w:ascii="Arial" w:hAnsi="Arial" w:cs="Arial"/>
          <w:b/>
          <w:color w:val="auto"/>
          <w:sz w:val="22"/>
          <w:szCs w:val="22"/>
        </w:rPr>
        <w:t xml:space="preserve">AUSTRALIAN GOVERNMENT </w:t>
      </w:r>
      <w:r w:rsidR="00431A02" w:rsidRPr="00431A02">
        <w:rPr>
          <w:rFonts w:ascii="Arial" w:hAnsi="Arial" w:cs="Arial"/>
          <w:b/>
          <w:color w:val="auto"/>
          <w:sz w:val="22"/>
          <w:szCs w:val="22"/>
        </w:rPr>
        <w:t>VEH</w:t>
      </w:r>
      <w:r w:rsidR="008D74A1">
        <w:rPr>
          <w:rFonts w:ascii="Arial" w:hAnsi="Arial" w:cs="Arial"/>
          <w:b/>
          <w:color w:val="auto"/>
          <w:sz w:val="22"/>
          <w:szCs w:val="22"/>
        </w:rPr>
        <w:t>ICLE EMISSIONS DISCUSSION PAPER</w:t>
      </w:r>
    </w:p>
    <w:p w:rsidR="00AC2EB5" w:rsidRDefault="00AC2EB5" w:rsidP="00431A02">
      <w:pPr>
        <w:pStyle w:val="NoSpacing"/>
        <w:jc w:val="center"/>
        <w:rPr>
          <w:rFonts w:ascii="Arial" w:hAnsi="Arial" w:cs="Arial"/>
          <w:b/>
          <w:color w:val="auto"/>
          <w:sz w:val="22"/>
          <w:szCs w:val="22"/>
        </w:rPr>
      </w:pPr>
      <w:r>
        <w:rPr>
          <w:rFonts w:ascii="Arial" w:hAnsi="Arial" w:cs="Arial"/>
          <w:b/>
          <w:color w:val="auto"/>
          <w:sz w:val="22"/>
          <w:szCs w:val="22"/>
        </w:rPr>
        <w:t>AUSTRALIAN TRUCKING ASSOCIATION RESPONSE</w:t>
      </w:r>
    </w:p>
    <w:p w:rsidR="008D57F8" w:rsidRDefault="008D57F8" w:rsidP="00431A02">
      <w:pPr>
        <w:pStyle w:val="NoSpacing"/>
        <w:jc w:val="center"/>
        <w:rPr>
          <w:rFonts w:ascii="Arial" w:hAnsi="Arial" w:cs="Arial"/>
          <w:b/>
          <w:color w:val="auto"/>
          <w:sz w:val="22"/>
          <w:szCs w:val="22"/>
        </w:rPr>
      </w:pPr>
      <w:r>
        <w:rPr>
          <w:rFonts w:ascii="Arial" w:hAnsi="Arial" w:cs="Arial"/>
          <w:b/>
          <w:color w:val="auto"/>
          <w:sz w:val="22"/>
          <w:szCs w:val="22"/>
        </w:rPr>
        <w:t>8 APRIL 2016</w:t>
      </w:r>
    </w:p>
    <w:p w:rsidR="008D57F8" w:rsidRPr="00431A02" w:rsidRDefault="008D57F8" w:rsidP="00431A02">
      <w:pPr>
        <w:pStyle w:val="NoSpacing"/>
        <w:jc w:val="center"/>
        <w:rPr>
          <w:rFonts w:ascii="Arial" w:hAnsi="Arial" w:cs="Arial"/>
          <w:b/>
          <w:color w:val="auto"/>
          <w:sz w:val="22"/>
          <w:szCs w:val="22"/>
        </w:rPr>
      </w:pPr>
    </w:p>
    <w:p w:rsidR="00AC2EB5" w:rsidRDefault="00AC2EB5" w:rsidP="0009785A">
      <w:pPr>
        <w:pStyle w:val="NoSpacing"/>
        <w:rPr>
          <w:rFonts w:ascii="Arial" w:hAnsi="Arial" w:cs="Arial"/>
          <w:color w:val="auto"/>
          <w:sz w:val="22"/>
          <w:szCs w:val="22"/>
        </w:rPr>
      </w:pPr>
    </w:p>
    <w:p w:rsidR="00431A02" w:rsidRDefault="00431A02" w:rsidP="0009785A">
      <w:pPr>
        <w:pStyle w:val="NoSpacing"/>
        <w:rPr>
          <w:rFonts w:ascii="Arial" w:hAnsi="Arial" w:cs="Arial"/>
          <w:color w:val="auto"/>
          <w:sz w:val="22"/>
          <w:szCs w:val="22"/>
        </w:rPr>
      </w:pPr>
      <w:r>
        <w:rPr>
          <w:rFonts w:ascii="Arial" w:hAnsi="Arial" w:cs="Arial"/>
          <w:color w:val="auto"/>
          <w:sz w:val="22"/>
          <w:szCs w:val="22"/>
        </w:rPr>
        <w:t xml:space="preserve">In this paper, the questions raised in the vehicle emissions discussion paper are set out in </w:t>
      </w:r>
      <w:r w:rsidRPr="00431A02">
        <w:rPr>
          <w:rFonts w:ascii="Arial" w:hAnsi="Arial" w:cs="Arial"/>
          <w:i/>
          <w:color w:val="auto"/>
          <w:sz w:val="22"/>
          <w:szCs w:val="22"/>
        </w:rPr>
        <w:t>italics</w:t>
      </w:r>
      <w:r>
        <w:rPr>
          <w:rFonts w:ascii="Arial" w:hAnsi="Arial" w:cs="Arial"/>
          <w:color w:val="auto"/>
          <w:sz w:val="22"/>
          <w:szCs w:val="22"/>
        </w:rPr>
        <w:t xml:space="preserve">. ATA recommendations are in </w:t>
      </w:r>
      <w:r w:rsidRPr="00431A02">
        <w:rPr>
          <w:rFonts w:ascii="Arial" w:hAnsi="Arial" w:cs="Arial"/>
          <w:b/>
          <w:color w:val="auto"/>
          <w:sz w:val="22"/>
          <w:szCs w:val="22"/>
        </w:rPr>
        <w:t>bold</w:t>
      </w:r>
      <w:r>
        <w:rPr>
          <w:rFonts w:ascii="Arial" w:hAnsi="Arial" w:cs="Arial"/>
          <w:color w:val="auto"/>
          <w:sz w:val="22"/>
          <w:szCs w:val="22"/>
        </w:rPr>
        <w:t xml:space="preserve">. The paper follows the convention that light vehicle emission standards are designated in </w:t>
      </w:r>
      <w:r w:rsidR="00881FE3">
        <w:rPr>
          <w:rFonts w:ascii="Arial" w:hAnsi="Arial" w:cs="Arial"/>
          <w:color w:val="auto"/>
          <w:sz w:val="22"/>
          <w:szCs w:val="22"/>
        </w:rPr>
        <w:t>a</w:t>
      </w:r>
      <w:r>
        <w:rPr>
          <w:rFonts w:ascii="Arial" w:hAnsi="Arial" w:cs="Arial"/>
          <w:color w:val="auto"/>
          <w:sz w:val="22"/>
          <w:szCs w:val="22"/>
        </w:rPr>
        <w:t>rabic numerals (eg: Euro 6); heavy vehicle emissi</w:t>
      </w:r>
      <w:r w:rsidR="00881FE3">
        <w:rPr>
          <w:rFonts w:ascii="Arial" w:hAnsi="Arial" w:cs="Arial"/>
          <w:color w:val="auto"/>
          <w:sz w:val="22"/>
          <w:szCs w:val="22"/>
        </w:rPr>
        <w:t>on standards are in r</w:t>
      </w:r>
      <w:r>
        <w:rPr>
          <w:rFonts w:ascii="Arial" w:hAnsi="Arial" w:cs="Arial"/>
          <w:color w:val="auto"/>
          <w:sz w:val="22"/>
          <w:szCs w:val="22"/>
        </w:rPr>
        <w:t>oman numerals (eg: Euro VI).</w:t>
      </w:r>
    </w:p>
    <w:p w:rsidR="00431A02" w:rsidRDefault="00431A02" w:rsidP="0009785A">
      <w:pPr>
        <w:pStyle w:val="NoSpacing"/>
        <w:rPr>
          <w:rFonts w:ascii="Arial" w:hAnsi="Arial" w:cs="Arial"/>
          <w:color w:val="auto"/>
          <w:sz w:val="22"/>
          <w:szCs w:val="22"/>
        </w:rPr>
      </w:pPr>
    </w:p>
    <w:p w:rsidR="008D74A1" w:rsidRDefault="008D74A1" w:rsidP="0009785A">
      <w:pPr>
        <w:pStyle w:val="NoSpacing"/>
        <w:rPr>
          <w:rFonts w:ascii="Arial" w:hAnsi="Arial" w:cs="Arial"/>
          <w:color w:val="auto"/>
          <w:sz w:val="22"/>
          <w:szCs w:val="22"/>
        </w:rPr>
      </w:pPr>
      <w:r>
        <w:rPr>
          <w:rFonts w:ascii="Arial" w:hAnsi="Arial" w:cs="Arial"/>
          <w:color w:val="auto"/>
          <w:sz w:val="22"/>
          <w:szCs w:val="22"/>
        </w:rPr>
        <w:t xml:space="preserve">The ATA contact for this paper is Bill McKinley, National Manager, Government Relations and Policy on </w:t>
      </w:r>
      <w:hyperlink r:id="rId9" w:history="1">
        <w:r w:rsidRPr="00EB6C4A">
          <w:rPr>
            <w:rStyle w:val="Hyperlink"/>
            <w:rFonts w:ascii="Arial" w:hAnsi="Arial" w:cs="Arial"/>
            <w:sz w:val="22"/>
            <w:szCs w:val="22"/>
          </w:rPr>
          <w:t>bill.mckinley@truck.net.au</w:t>
        </w:r>
      </w:hyperlink>
      <w:r>
        <w:rPr>
          <w:rFonts w:ascii="Arial" w:hAnsi="Arial" w:cs="Arial"/>
          <w:color w:val="auto"/>
          <w:sz w:val="22"/>
          <w:szCs w:val="22"/>
        </w:rPr>
        <w:t xml:space="preserve"> or 02 6253 6900.</w:t>
      </w:r>
    </w:p>
    <w:p w:rsidR="008D74A1" w:rsidRDefault="008D74A1" w:rsidP="0009785A">
      <w:pPr>
        <w:pStyle w:val="NoSpacing"/>
        <w:rPr>
          <w:rFonts w:ascii="Arial" w:hAnsi="Arial" w:cs="Arial"/>
          <w:color w:val="auto"/>
          <w:sz w:val="22"/>
          <w:szCs w:val="22"/>
        </w:rPr>
      </w:pPr>
    </w:p>
    <w:p w:rsidR="00431A02" w:rsidRDefault="00431A02" w:rsidP="0009785A">
      <w:pPr>
        <w:pStyle w:val="NoSpacing"/>
        <w:rPr>
          <w:rFonts w:ascii="Arial" w:hAnsi="Arial" w:cs="Arial"/>
          <w:color w:val="auto"/>
          <w:sz w:val="22"/>
          <w:szCs w:val="22"/>
        </w:rPr>
      </w:pPr>
    </w:p>
    <w:p w:rsidR="005C36D1" w:rsidRPr="00431A02" w:rsidRDefault="0011181B" w:rsidP="0011181B">
      <w:pPr>
        <w:pStyle w:val="ListParagraph"/>
        <w:numPr>
          <w:ilvl w:val="0"/>
          <w:numId w:val="25"/>
        </w:numPr>
        <w:spacing w:after="0" w:line="240" w:lineRule="auto"/>
        <w:rPr>
          <w:rFonts w:ascii="Arial" w:hAnsi="Arial" w:cs="Arial"/>
          <w:i/>
        </w:rPr>
      </w:pPr>
      <w:r w:rsidRPr="00431A02">
        <w:rPr>
          <w:rFonts w:ascii="Arial" w:hAnsi="Arial" w:cs="Arial"/>
          <w:i/>
        </w:rPr>
        <w:t>What are the likely costs and benefits of adopting Euro 6 emissions standards for light vehicles and/or Euro VI emission standards for heavy vehicles?</w:t>
      </w:r>
    </w:p>
    <w:p w:rsidR="00B02F75" w:rsidRDefault="00B02F75" w:rsidP="0011181B">
      <w:pPr>
        <w:rPr>
          <w:rFonts w:ascii="Arial" w:hAnsi="Arial" w:cs="Arial"/>
        </w:rPr>
      </w:pPr>
    </w:p>
    <w:p w:rsidR="0078743D" w:rsidRDefault="002D6A5A" w:rsidP="0011181B">
      <w:pPr>
        <w:rPr>
          <w:rFonts w:ascii="Arial" w:hAnsi="Arial" w:cs="Arial"/>
        </w:rPr>
      </w:pPr>
      <w:r>
        <w:rPr>
          <w:rFonts w:ascii="Arial" w:hAnsi="Arial" w:cs="Arial"/>
        </w:rPr>
        <w:t xml:space="preserve">In the ATA’s view, the following issues </w:t>
      </w:r>
      <w:r w:rsidR="008D57F8">
        <w:rPr>
          <w:rFonts w:ascii="Arial" w:hAnsi="Arial" w:cs="Arial"/>
        </w:rPr>
        <w:t xml:space="preserve">would </w:t>
      </w:r>
      <w:r>
        <w:rPr>
          <w:rFonts w:ascii="Arial" w:hAnsi="Arial" w:cs="Arial"/>
        </w:rPr>
        <w:t>need to be considered in judging whether or not to implement the Euro VI standards in Australia.</w:t>
      </w:r>
    </w:p>
    <w:p w:rsidR="002D6A5A" w:rsidRDefault="002D6A5A" w:rsidP="0011181B">
      <w:pPr>
        <w:rPr>
          <w:rFonts w:ascii="Arial" w:hAnsi="Arial" w:cs="Arial"/>
        </w:rPr>
      </w:pPr>
    </w:p>
    <w:p w:rsidR="00D25860" w:rsidRDefault="002D6A5A" w:rsidP="002D6A5A">
      <w:pPr>
        <w:pStyle w:val="ListParagraph"/>
        <w:numPr>
          <w:ilvl w:val="0"/>
          <w:numId w:val="38"/>
        </w:numPr>
        <w:spacing w:after="0" w:line="240" w:lineRule="auto"/>
        <w:ind w:left="714" w:hanging="357"/>
        <w:rPr>
          <w:rFonts w:ascii="Arial" w:hAnsi="Arial" w:cs="Arial"/>
        </w:rPr>
      </w:pPr>
      <w:r w:rsidRPr="002D6A5A">
        <w:rPr>
          <w:rFonts w:ascii="Arial" w:hAnsi="Arial" w:cs="Arial"/>
        </w:rPr>
        <w:t xml:space="preserve">Euro VI compliant engines have a higher cost of ownership. </w:t>
      </w:r>
      <w:r w:rsidR="008D57F8">
        <w:rPr>
          <w:rFonts w:ascii="Arial" w:hAnsi="Arial" w:cs="Arial"/>
        </w:rPr>
        <w:t xml:space="preserve">The ATA’s advice is that the additional cost of a Euro VI vehicle could range from $6,000-$15,000, with more </w:t>
      </w:r>
      <w:r w:rsidR="00D25860">
        <w:rPr>
          <w:rFonts w:ascii="Arial" w:hAnsi="Arial" w:cs="Arial"/>
        </w:rPr>
        <w:t xml:space="preserve">complex </w:t>
      </w:r>
      <w:r w:rsidR="00431A02">
        <w:rPr>
          <w:rFonts w:ascii="Arial" w:hAnsi="Arial" w:cs="Arial"/>
        </w:rPr>
        <w:t xml:space="preserve">and expensive </w:t>
      </w:r>
      <w:r w:rsidRPr="002D6A5A">
        <w:rPr>
          <w:rFonts w:ascii="Arial" w:hAnsi="Arial" w:cs="Arial"/>
        </w:rPr>
        <w:t xml:space="preserve">maintenance </w:t>
      </w:r>
      <w:r w:rsidR="00C479F7">
        <w:rPr>
          <w:rFonts w:ascii="Arial" w:hAnsi="Arial" w:cs="Arial"/>
        </w:rPr>
        <w:t xml:space="preserve">requirements </w:t>
      </w:r>
      <w:r w:rsidR="008D57F8">
        <w:rPr>
          <w:rFonts w:ascii="Arial" w:hAnsi="Arial" w:cs="Arial"/>
        </w:rPr>
        <w:t>due to the need to service the vehicle’s Diesel Particulate Filter (DPF). Unless the technical amendments proposed in this paper are adopted, Euro VI vehicles could also be expected to lose 250-400 litres of fuel tankage (equivalent to 500-800 km in driving range)</w:t>
      </w:r>
      <w:r w:rsidR="009608B5">
        <w:rPr>
          <w:rFonts w:ascii="Arial" w:hAnsi="Arial" w:cs="Arial"/>
        </w:rPr>
        <w:t xml:space="preserve"> due to the extra DPF</w:t>
      </w:r>
      <w:r w:rsidR="008D57F8">
        <w:rPr>
          <w:rFonts w:ascii="Arial" w:hAnsi="Arial" w:cs="Arial"/>
        </w:rPr>
        <w:t xml:space="preserve">. </w:t>
      </w:r>
      <w:r w:rsidR="003B58C2">
        <w:rPr>
          <w:rFonts w:ascii="Arial" w:hAnsi="Arial" w:cs="Arial"/>
        </w:rPr>
        <w:t>Further, c</w:t>
      </w:r>
      <w:r w:rsidR="008D57F8">
        <w:rPr>
          <w:rFonts w:ascii="Arial" w:hAnsi="Arial" w:cs="Arial"/>
        </w:rPr>
        <w:t xml:space="preserve">ab access may be compromised on </w:t>
      </w:r>
      <w:r w:rsidR="003B58C2">
        <w:rPr>
          <w:rFonts w:ascii="Arial" w:hAnsi="Arial" w:cs="Arial"/>
        </w:rPr>
        <w:t>bonneted vehicles.</w:t>
      </w:r>
    </w:p>
    <w:p w:rsidR="00D25860" w:rsidRDefault="00D25860" w:rsidP="00D25860">
      <w:pPr>
        <w:pStyle w:val="ListParagraph"/>
        <w:spacing w:after="0" w:line="240" w:lineRule="auto"/>
        <w:ind w:left="714"/>
        <w:rPr>
          <w:rFonts w:ascii="Arial" w:hAnsi="Arial" w:cs="Arial"/>
        </w:rPr>
      </w:pPr>
    </w:p>
    <w:p w:rsidR="00D25860" w:rsidRDefault="00431A02" w:rsidP="008F196B">
      <w:pPr>
        <w:pStyle w:val="ListParagraph"/>
        <w:numPr>
          <w:ilvl w:val="0"/>
          <w:numId w:val="38"/>
        </w:numPr>
        <w:spacing w:after="0" w:line="240" w:lineRule="auto"/>
        <w:ind w:left="714" w:hanging="357"/>
        <w:rPr>
          <w:rFonts w:ascii="Arial" w:hAnsi="Arial" w:cs="Arial"/>
        </w:rPr>
      </w:pPr>
      <w:r>
        <w:rPr>
          <w:rFonts w:ascii="Arial" w:hAnsi="Arial" w:cs="Arial"/>
        </w:rPr>
        <w:t>The introduction of</w:t>
      </w:r>
      <w:r w:rsidR="00D25860">
        <w:rPr>
          <w:rFonts w:ascii="Arial" w:hAnsi="Arial" w:cs="Arial"/>
        </w:rPr>
        <w:t xml:space="preserve"> Euro VI for new trucks would not address </w:t>
      </w:r>
      <w:r>
        <w:rPr>
          <w:rFonts w:ascii="Arial" w:hAnsi="Arial" w:cs="Arial"/>
        </w:rPr>
        <w:t>the emissions from the existing fleet</w:t>
      </w:r>
      <w:r w:rsidR="00D25860">
        <w:rPr>
          <w:rFonts w:ascii="Arial" w:hAnsi="Arial" w:cs="Arial"/>
        </w:rPr>
        <w:t>. A</w:t>
      </w:r>
      <w:r w:rsidR="003B58C2">
        <w:rPr>
          <w:rFonts w:ascii="Arial" w:hAnsi="Arial" w:cs="Arial"/>
        </w:rPr>
        <w:t>s will be discussed in the ATA’s response to que</w:t>
      </w:r>
      <w:r w:rsidR="00591681">
        <w:rPr>
          <w:rFonts w:ascii="Arial" w:hAnsi="Arial" w:cs="Arial"/>
        </w:rPr>
        <w:t>stion 5, the maintenance of the</w:t>
      </w:r>
      <w:r w:rsidR="003B58C2">
        <w:rPr>
          <w:rFonts w:ascii="Arial" w:hAnsi="Arial" w:cs="Arial"/>
        </w:rPr>
        <w:t xml:space="preserve"> fleet is an issue that needs to be addressed.</w:t>
      </w:r>
    </w:p>
    <w:p w:rsidR="002D6A5A" w:rsidRPr="00D25860" w:rsidRDefault="002D6A5A" w:rsidP="008F196B">
      <w:pPr>
        <w:rPr>
          <w:rFonts w:ascii="Arial" w:hAnsi="Arial" w:cs="Arial"/>
        </w:rPr>
      </w:pPr>
    </w:p>
    <w:p w:rsidR="00591681" w:rsidRDefault="00431A02" w:rsidP="008F196B">
      <w:pPr>
        <w:pStyle w:val="ListParagraph"/>
        <w:numPr>
          <w:ilvl w:val="0"/>
          <w:numId w:val="40"/>
        </w:numPr>
        <w:spacing w:after="0" w:line="240" w:lineRule="auto"/>
        <w:rPr>
          <w:rFonts w:ascii="Arial" w:hAnsi="Arial" w:cs="Arial"/>
        </w:rPr>
      </w:pPr>
      <w:r w:rsidRPr="00431A02">
        <w:rPr>
          <w:rFonts w:ascii="Arial" w:hAnsi="Arial" w:cs="Arial"/>
        </w:rPr>
        <w:t xml:space="preserve">The European </w:t>
      </w:r>
      <w:r w:rsidR="00FE2D6D">
        <w:rPr>
          <w:rFonts w:ascii="Arial" w:hAnsi="Arial" w:cs="Arial"/>
        </w:rPr>
        <w:t xml:space="preserve">Union </w:t>
      </w:r>
      <w:r w:rsidRPr="00431A02">
        <w:rPr>
          <w:rFonts w:ascii="Arial" w:hAnsi="Arial" w:cs="Arial"/>
        </w:rPr>
        <w:t xml:space="preserve">is </w:t>
      </w:r>
      <w:r w:rsidR="00FE2D6D">
        <w:rPr>
          <w:rFonts w:ascii="Arial" w:hAnsi="Arial" w:cs="Arial"/>
        </w:rPr>
        <w:t xml:space="preserve">now developing its next generation of emission standards, with the EC planning </w:t>
      </w:r>
      <w:r w:rsidRPr="00431A02">
        <w:rPr>
          <w:rFonts w:ascii="Arial" w:hAnsi="Arial" w:cs="Arial"/>
        </w:rPr>
        <w:t>to consider mandatory CO</w:t>
      </w:r>
      <w:r w:rsidRPr="00431A02">
        <w:rPr>
          <w:rFonts w:ascii="Arial" w:hAnsi="Arial" w:cs="Arial"/>
          <w:vertAlign w:val="subscript"/>
        </w:rPr>
        <w:t>2</w:t>
      </w:r>
      <w:r w:rsidRPr="00431A02">
        <w:rPr>
          <w:rFonts w:ascii="Arial" w:hAnsi="Arial" w:cs="Arial"/>
        </w:rPr>
        <w:t xml:space="preserve"> emission limits for newly registered heavy vehicles once it completes short term initiatives including certifying and reporting the emissions of heavy vehicles as part of the type approval process.</w:t>
      </w:r>
      <w:r>
        <w:rPr>
          <w:rStyle w:val="FootnoteReference"/>
          <w:rFonts w:ascii="Arial" w:hAnsi="Arial"/>
        </w:rPr>
        <w:footnoteReference w:id="1"/>
      </w:r>
      <w:r w:rsidR="00FE2D6D">
        <w:rPr>
          <w:rFonts w:ascii="Arial" w:hAnsi="Arial" w:cs="Arial"/>
        </w:rPr>
        <w:t xml:space="preserve"> </w:t>
      </w:r>
    </w:p>
    <w:p w:rsidR="00591681" w:rsidRDefault="00591681" w:rsidP="00591681">
      <w:pPr>
        <w:pStyle w:val="ListParagraph"/>
        <w:spacing w:after="0" w:line="240" w:lineRule="auto"/>
        <w:rPr>
          <w:rFonts w:ascii="Arial" w:hAnsi="Arial" w:cs="Arial"/>
        </w:rPr>
      </w:pPr>
    </w:p>
    <w:p w:rsidR="002D6A5A" w:rsidRPr="008F196B" w:rsidRDefault="00FE2D6D" w:rsidP="00591681">
      <w:pPr>
        <w:pStyle w:val="ListParagraph"/>
        <w:spacing w:after="0" w:line="240" w:lineRule="auto"/>
        <w:rPr>
          <w:rFonts w:ascii="Arial" w:hAnsi="Arial" w:cs="Arial"/>
        </w:rPr>
      </w:pPr>
      <w:r>
        <w:rPr>
          <w:rFonts w:ascii="Arial" w:hAnsi="Arial" w:cs="Arial"/>
        </w:rPr>
        <w:t xml:space="preserve">The ATA understands that the EC is working towards </w:t>
      </w:r>
      <w:r w:rsidR="00591681">
        <w:rPr>
          <w:rFonts w:ascii="Arial" w:hAnsi="Arial" w:cs="Arial"/>
        </w:rPr>
        <w:t>introducing the new limits</w:t>
      </w:r>
      <w:r>
        <w:rPr>
          <w:rFonts w:ascii="Arial" w:hAnsi="Arial" w:cs="Arial"/>
        </w:rPr>
        <w:t xml:space="preserve"> in 2020 and </w:t>
      </w:r>
      <w:r w:rsidR="00591681">
        <w:rPr>
          <w:rFonts w:ascii="Arial" w:hAnsi="Arial" w:cs="Arial"/>
        </w:rPr>
        <w:t>then tightening them progressively</w:t>
      </w:r>
      <w:r>
        <w:rPr>
          <w:rFonts w:ascii="Arial" w:hAnsi="Arial" w:cs="Arial"/>
        </w:rPr>
        <w:t xml:space="preserve"> over the decade to 2030.</w:t>
      </w:r>
      <w:r>
        <w:rPr>
          <w:rStyle w:val="FootnoteReference"/>
          <w:rFonts w:ascii="Arial" w:hAnsi="Arial"/>
        </w:rPr>
        <w:footnoteReference w:id="2"/>
      </w:r>
      <w:r w:rsidR="00591681">
        <w:rPr>
          <w:rFonts w:ascii="Arial" w:hAnsi="Arial" w:cs="Arial"/>
        </w:rPr>
        <w:t xml:space="preserve"> Given this timetable, and depending on government policy at the time, the introduction of Euro VI in Australia in 2019 or 2020 may mean that manufacturers and industry barely have time to localise Euro VI before they are asked to consider if Australia should adopt the next generation standard. </w:t>
      </w:r>
    </w:p>
    <w:p w:rsidR="002D6A5A" w:rsidRDefault="002D6A5A" w:rsidP="00D25860">
      <w:pPr>
        <w:rPr>
          <w:rFonts w:ascii="Arial" w:hAnsi="Arial" w:cs="Arial"/>
        </w:rPr>
      </w:pPr>
    </w:p>
    <w:p w:rsidR="0078743D" w:rsidRDefault="00D25860" w:rsidP="00591681">
      <w:pPr>
        <w:keepNext/>
        <w:rPr>
          <w:rFonts w:ascii="Arial" w:hAnsi="Arial" w:cs="Arial"/>
        </w:rPr>
      </w:pPr>
      <w:r>
        <w:rPr>
          <w:rFonts w:ascii="Arial" w:hAnsi="Arial" w:cs="Arial"/>
        </w:rPr>
        <w:t>For all these reasons, the ATA recommends that the Government should not mandate Euro VI for new trucks, but should instead:</w:t>
      </w:r>
    </w:p>
    <w:p w:rsidR="00D25860" w:rsidRDefault="00D25860" w:rsidP="00591681">
      <w:pPr>
        <w:keepNext/>
        <w:rPr>
          <w:rFonts w:ascii="Arial" w:hAnsi="Arial" w:cs="Arial"/>
        </w:rPr>
      </w:pPr>
    </w:p>
    <w:p w:rsidR="00D25860" w:rsidRPr="006C7735" w:rsidRDefault="004B5A7D" w:rsidP="00591681">
      <w:pPr>
        <w:pStyle w:val="ListParagraph"/>
        <w:keepNext/>
        <w:numPr>
          <w:ilvl w:val="0"/>
          <w:numId w:val="39"/>
        </w:numPr>
        <w:spacing w:after="0" w:line="240" w:lineRule="auto"/>
        <w:ind w:left="714" w:hanging="357"/>
        <w:rPr>
          <w:rFonts w:ascii="Arial" w:hAnsi="Arial" w:cs="Arial"/>
        </w:rPr>
      </w:pPr>
      <w:r w:rsidRPr="00CD1DC0">
        <w:rPr>
          <w:rFonts w:ascii="Arial" w:hAnsi="Arial" w:cs="Arial"/>
        </w:rPr>
        <w:t>encourage operators to purchase Euro VI trucks (</w:t>
      </w:r>
      <w:r w:rsidRPr="006C7735">
        <w:rPr>
          <w:rFonts w:ascii="Arial" w:hAnsi="Arial" w:cs="Arial"/>
        </w:rPr>
        <w:t>ATA recommendation 3)</w:t>
      </w:r>
    </w:p>
    <w:p w:rsidR="00D25860" w:rsidRPr="006C7735" w:rsidRDefault="00CD1DC0" w:rsidP="00CD1DC0">
      <w:pPr>
        <w:pStyle w:val="ListParagraph"/>
        <w:numPr>
          <w:ilvl w:val="0"/>
          <w:numId w:val="39"/>
        </w:numPr>
        <w:spacing w:after="0" w:line="240" w:lineRule="auto"/>
        <w:ind w:left="714" w:hanging="357"/>
        <w:rPr>
          <w:rFonts w:ascii="Arial" w:hAnsi="Arial" w:cs="Arial"/>
        </w:rPr>
      </w:pPr>
      <w:r w:rsidRPr="006C7735">
        <w:rPr>
          <w:rFonts w:ascii="Arial" w:hAnsi="Arial" w:cs="Arial"/>
        </w:rPr>
        <w:t xml:space="preserve">put measures in place to </w:t>
      </w:r>
      <w:r w:rsidR="00D25860" w:rsidRPr="006C7735">
        <w:rPr>
          <w:rFonts w:ascii="Arial" w:hAnsi="Arial" w:cs="Arial"/>
        </w:rPr>
        <w:t>improve the maintenance of the existing fleet (</w:t>
      </w:r>
      <w:r w:rsidR="004B5A7D" w:rsidRPr="006C7735">
        <w:rPr>
          <w:rFonts w:ascii="Arial" w:hAnsi="Arial" w:cs="Arial"/>
        </w:rPr>
        <w:t>ATA recommendation</w:t>
      </w:r>
      <w:r w:rsidR="000E130C">
        <w:rPr>
          <w:rFonts w:ascii="Arial" w:hAnsi="Arial" w:cs="Arial"/>
        </w:rPr>
        <w:t>s</w:t>
      </w:r>
      <w:r w:rsidR="004B5A7D" w:rsidRPr="006C7735">
        <w:rPr>
          <w:rFonts w:ascii="Arial" w:hAnsi="Arial" w:cs="Arial"/>
        </w:rPr>
        <w:t xml:space="preserve"> 4</w:t>
      </w:r>
      <w:r w:rsidR="00857301">
        <w:rPr>
          <w:rFonts w:ascii="Arial" w:hAnsi="Arial" w:cs="Arial"/>
        </w:rPr>
        <w:t>-5</w:t>
      </w:r>
      <w:r w:rsidR="004B5A7D" w:rsidRPr="006C7735">
        <w:rPr>
          <w:rFonts w:ascii="Arial" w:hAnsi="Arial" w:cs="Arial"/>
        </w:rPr>
        <w:t>)</w:t>
      </w:r>
      <w:r w:rsidRPr="006C7735">
        <w:rPr>
          <w:rFonts w:ascii="Arial" w:hAnsi="Arial" w:cs="Arial"/>
        </w:rPr>
        <w:t xml:space="preserve"> </w:t>
      </w:r>
    </w:p>
    <w:p w:rsidR="00CD1DC0" w:rsidRPr="006C7735" w:rsidRDefault="00431A02" w:rsidP="00CD1DC0">
      <w:pPr>
        <w:pStyle w:val="ListParagraph"/>
        <w:numPr>
          <w:ilvl w:val="0"/>
          <w:numId w:val="39"/>
        </w:numPr>
        <w:spacing w:after="0" w:line="240" w:lineRule="auto"/>
        <w:ind w:left="714" w:hanging="357"/>
        <w:rPr>
          <w:rFonts w:ascii="Arial" w:hAnsi="Arial" w:cs="Arial"/>
        </w:rPr>
      </w:pPr>
      <w:r w:rsidRPr="006C7735">
        <w:rPr>
          <w:rFonts w:ascii="Arial" w:hAnsi="Arial" w:cs="Arial"/>
        </w:rPr>
        <w:lastRenderedPageBreak/>
        <w:t xml:space="preserve">amend the ADRs </w:t>
      </w:r>
      <w:r w:rsidR="000E130C">
        <w:rPr>
          <w:rFonts w:ascii="Arial" w:hAnsi="Arial" w:cs="Arial"/>
        </w:rPr>
        <w:t xml:space="preserve">and in-service vehicle regulations </w:t>
      </w:r>
      <w:r w:rsidRPr="006C7735">
        <w:rPr>
          <w:rFonts w:ascii="Arial" w:hAnsi="Arial" w:cs="Arial"/>
        </w:rPr>
        <w:t xml:space="preserve">to </w:t>
      </w:r>
      <w:r w:rsidR="006C7735" w:rsidRPr="006C7735">
        <w:rPr>
          <w:rFonts w:ascii="Arial" w:hAnsi="Arial" w:cs="Arial"/>
        </w:rPr>
        <w:t xml:space="preserve">enable </w:t>
      </w:r>
      <w:r w:rsidRPr="006C7735">
        <w:rPr>
          <w:rFonts w:ascii="Arial" w:hAnsi="Arial" w:cs="Arial"/>
        </w:rPr>
        <w:t xml:space="preserve">the industry to </w:t>
      </w:r>
      <w:r w:rsidR="000E130C">
        <w:rPr>
          <w:rFonts w:ascii="Arial" w:hAnsi="Arial" w:cs="Arial"/>
        </w:rPr>
        <w:t>rollout more fuel efficient vehicle solutions</w:t>
      </w:r>
      <w:r w:rsidR="006C7735" w:rsidRPr="006C7735">
        <w:rPr>
          <w:rFonts w:ascii="Arial" w:hAnsi="Arial" w:cs="Arial"/>
        </w:rPr>
        <w:t xml:space="preserve"> </w:t>
      </w:r>
      <w:r w:rsidRPr="006C7735">
        <w:rPr>
          <w:rFonts w:ascii="Arial" w:hAnsi="Arial" w:cs="Arial"/>
        </w:rPr>
        <w:t>(</w:t>
      </w:r>
      <w:r w:rsidR="00857301">
        <w:rPr>
          <w:rFonts w:ascii="Arial" w:hAnsi="Arial" w:cs="Arial"/>
        </w:rPr>
        <w:t>ATA recommendation 6</w:t>
      </w:r>
      <w:r w:rsidRPr="006C7735">
        <w:rPr>
          <w:rFonts w:ascii="Arial" w:hAnsi="Arial" w:cs="Arial"/>
        </w:rPr>
        <w:t>)</w:t>
      </w:r>
    </w:p>
    <w:p w:rsidR="00431A02" w:rsidRPr="00CD1DC0" w:rsidRDefault="00431A02" w:rsidP="00CD1DC0">
      <w:pPr>
        <w:pStyle w:val="ListParagraph"/>
        <w:numPr>
          <w:ilvl w:val="0"/>
          <w:numId w:val="39"/>
        </w:numPr>
        <w:spacing w:after="0" w:line="240" w:lineRule="auto"/>
        <w:ind w:left="714" w:hanging="357"/>
        <w:rPr>
          <w:rFonts w:ascii="Arial" w:hAnsi="Arial" w:cs="Arial"/>
        </w:rPr>
      </w:pPr>
      <w:r w:rsidRPr="006C7735">
        <w:rPr>
          <w:rFonts w:ascii="Arial" w:hAnsi="Arial" w:cs="Arial"/>
        </w:rPr>
        <w:t>encourage the increased use of high productivity vehicles (</w:t>
      </w:r>
      <w:r w:rsidR="006C7735" w:rsidRPr="006C7735">
        <w:rPr>
          <w:rFonts w:ascii="Arial" w:hAnsi="Arial" w:cs="Arial"/>
        </w:rPr>
        <w:t xml:space="preserve">ATA </w:t>
      </w:r>
      <w:r w:rsidRPr="006C7735">
        <w:rPr>
          <w:rFonts w:ascii="Arial" w:hAnsi="Arial" w:cs="Arial"/>
        </w:rPr>
        <w:t>recommendation</w:t>
      </w:r>
      <w:r w:rsidR="00857301">
        <w:rPr>
          <w:rFonts w:ascii="Arial" w:hAnsi="Arial" w:cs="Arial"/>
        </w:rPr>
        <w:t xml:space="preserve"> 7</w:t>
      </w:r>
      <w:r w:rsidRPr="00431A02">
        <w:rPr>
          <w:rFonts w:ascii="Arial" w:hAnsi="Arial" w:cs="Arial"/>
        </w:rPr>
        <w:t>)</w:t>
      </w:r>
    </w:p>
    <w:p w:rsidR="004B5A7D" w:rsidRDefault="004B5A7D" w:rsidP="0011181B">
      <w:pPr>
        <w:rPr>
          <w:rFonts w:ascii="Arial" w:hAnsi="Arial" w:cs="Arial"/>
        </w:rPr>
      </w:pPr>
    </w:p>
    <w:p w:rsidR="006C7735" w:rsidRDefault="006C7735" w:rsidP="0011181B">
      <w:pPr>
        <w:rPr>
          <w:rFonts w:ascii="Arial" w:hAnsi="Arial" w:cs="Arial"/>
        </w:rPr>
      </w:pPr>
      <w:r>
        <w:rPr>
          <w:rFonts w:ascii="Arial" w:hAnsi="Arial" w:cs="Arial"/>
        </w:rPr>
        <w:t>The paper recommends that t</w:t>
      </w:r>
      <w:r w:rsidRPr="006C7735">
        <w:rPr>
          <w:rFonts w:ascii="Arial" w:hAnsi="Arial" w:cs="Arial"/>
        </w:rPr>
        <w:t>he Government should not take any further action on proposals to vary fuel tax credit rates on the basis of the age of the vehicle</w:t>
      </w:r>
      <w:r w:rsidR="00857301">
        <w:rPr>
          <w:rFonts w:ascii="Arial" w:hAnsi="Arial" w:cs="Arial"/>
        </w:rPr>
        <w:t xml:space="preserve"> (ATA recommendation 8</w:t>
      </w:r>
      <w:r>
        <w:rPr>
          <w:rFonts w:ascii="Arial" w:hAnsi="Arial" w:cs="Arial"/>
        </w:rPr>
        <w:t>)</w:t>
      </w:r>
      <w:r w:rsidRPr="006C7735">
        <w:rPr>
          <w:rFonts w:ascii="Arial" w:hAnsi="Arial" w:cs="Arial"/>
        </w:rPr>
        <w:t>.</w:t>
      </w:r>
    </w:p>
    <w:p w:rsidR="006C7735" w:rsidRDefault="006C7735" w:rsidP="0011181B">
      <w:pPr>
        <w:rPr>
          <w:rFonts w:ascii="Arial" w:hAnsi="Arial" w:cs="Arial"/>
        </w:rPr>
      </w:pPr>
    </w:p>
    <w:p w:rsidR="004B5A7D" w:rsidRDefault="004B5A7D" w:rsidP="0011181B">
      <w:pPr>
        <w:rPr>
          <w:rFonts w:ascii="Arial" w:hAnsi="Arial" w:cs="Arial"/>
        </w:rPr>
      </w:pPr>
    </w:p>
    <w:p w:rsidR="0078743D" w:rsidRPr="00431A02" w:rsidRDefault="00431A02" w:rsidP="0011181B">
      <w:pPr>
        <w:rPr>
          <w:rFonts w:ascii="Arial" w:hAnsi="Arial" w:cs="Arial"/>
          <w:b/>
        </w:rPr>
      </w:pPr>
      <w:r w:rsidRPr="00431A02">
        <w:rPr>
          <w:rFonts w:ascii="Arial" w:hAnsi="Arial" w:cs="Arial"/>
          <w:b/>
        </w:rPr>
        <w:t>ATA recommendation 1</w:t>
      </w:r>
    </w:p>
    <w:p w:rsidR="00F34F7D" w:rsidRPr="00431A02" w:rsidRDefault="00F34F7D" w:rsidP="0011181B">
      <w:pPr>
        <w:rPr>
          <w:rFonts w:ascii="Arial" w:hAnsi="Arial" w:cs="Arial"/>
          <w:b/>
        </w:rPr>
      </w:pPr>
    </w:p>
    <w:p w:rsidR="00A07AE4" w:rsidRPr="00431A02" w:rsidRDefault="00431A02" w:rsidP="0011181B">
      <w:pPr>
        <w:rPr>
          <w:rFonts w:ascii="Arial" w:hAnsi="Arial" w:cs="Arial"/>
          <w:b/>
        </w:rPr>
      </w:pPr>
      <w:r w:rsidRPr="00431A02">
        <w:rPr>
          <w:rFonts w:ascii="Arial" w:hAnsi="Arial" w:cs="Arial"/>
          <w:b/>
        </w:rPr>
        <w:t>The Government should not mandate Euro VI for new trucks, but should instead focus on alternate strategies to reduce the pollution emissions from the existing fleet, enable the use o</w:t>
      </w:r>
      <w:r w:rsidR="006C7735">
        <w:rPr>
          <w:rFonts w:ascii="Arial" w:hAnsi="Arial" w:cs="Arial"/>
          <w:b/>
        </w:rPr>
        <w:t xml:space="preserve">f more fuel efficient vehicles </w:t>
      </w:r>
      <w:r w:rsidRPr="00431A02">
        <w:rPr>
          <w:rFonts w:ascii="Arial" w:hAnsi="Arial" w:cs="Arial"/>
          <w:b/>
        </w:rPr>
        <w:t>and encourage the increased use of high productivity vehicles.</w:t>
      </w:r>
    </w:p>
    <w:p w:rsidR="00F34F7D" w:rsidRDefault="00F34F7D" w:rsidP="0011181B">
      <w:pPr>
        <w:rPr>
          <w:rFonts w:ascii="Arial" w:hAnsi="Arial" w:cs="Arial"/>
        </w:rPr>
      </w:pPr>
    </w:p>
    <w:p w:rsidR="00F34F7D" w:rsidRDefault="00F34F7D" w:rsidP="0011181B">
      <w:pPr>
        <w:rPr>
          <w:rFonts w:ascii="Arial" w:hAnsi="Arial" w:cs="Arial"/>
        </w:rPr>
      </w:pPr>
    </w:p>
    <w:p w:rsidR="0011181B" w:rsidRPr="00431A02" w:rsidRDefault="0011181B" w:rsidP="008F196B">
      <w:pPr>
        <w:pStyle w:val="ListParagraph"/>
        <w:keepNext/>
        <w:numPr>
          <w:ilvl w:val="0"/>
          <w:numId w:val="25"/>
        </w:numPr>
        <w:spacing w:after="0" w:line="240" w:lineRule="auto"/>
        <w:rPr>
          <w:rFonts w:ascii="Arial" w:hAnsi="Arial" w:cs="Arial"/>
          <w:i/>
        </w:rPr>
      </w:pPr>
      <w:r w:rsidRPr="00431A02">
        <w:rPr>
          <w:rFonts w:ascii="Arial" w:hAnsi="Arial" w:cs="Arial"/>
          <w:i/>
        </w:rPr>
        <w:t>If Euro 6/VI standards are adopted, when would be an appropriate start date and why?</w:t>
      </w:r>
    </w:p>
    <w:p w:rsidR="0011181B" w:rsidRDefault="0011181B" w:rsidP="008F196B">
      <w:pPr>
        <w:keepNext/>
        <w:rPr>
          <w:rFonts w:ascii="Arial" w:hAnsi="Arial" w:cs="Arial"/>
        </w:rPr>
      </w:pPr>
    </w:p>
    <w:p w:rsidR="009E58A0" w:rsidRDefault="009E58A0" w:rsidP="008F196B">
      <w:pPr>
        <w:keepNext/>
        <w:rPr>
          <w:rFonts w:ascii="Arial" w:hAnsi="Arial" w:cs="Arial"/>
        </w:rPr>
      </w:pPr>
      <w:r>
        <w:rPr>
          <w:rFonts w:ascii="Arial" w:hAnsi="Arial" w:cs="Arial"/>
        </w:rPr>
        <w:t>Australia’s operating conditions are very different to Europe, with high</w:t>
      </w:r>
      <w:r w:rsidR="006C7735">
        <w:rPr>
          <w:rFonts w:ascii="Arial" w:hAnsi="Arial" w:cs="Arial"/>
        </w:rPr>
        <w:t>er average speeds, temperatures and</w:t>
      </w:r>
      <w:r>
        <w:rPr>
          <w:rFonts w:ascii="Arial" w:hAnsi="Arial" w:cs="Arial"/>
        </w:rPr>
        <w:t xml:space="preserve"> loads</w:t>
      </w:r>
      <w:r w:rsidR="006C7735">
        <w:rPr>
          <w:rFonts w:ascii="Arial" w:hAnsi="Arial" w:cs="Arial"/>
        </w:rPr>
        <w:t>,</w:t>
      </w:r>
      <w:r>
        <w:rPr>
          <w:rFonts w:ascii="Arial" w:hAnsi="Arial" w:cs="Arial"/>
        </w:rPr>
        <w:t xml:space="preserve"> and longer distance operations. </w:t>
      </w:r>
      <w:r w:rsidR="006C7735">
        <w:rPr>
          <w:rFonts w:ascii="Arial" w:hAnsi="Arial" w:cs="Arial"/>
        </w:rPr>
        <w:t xml:space="preserve">Australia’s conditions </w:t>
      </w:r>
      <w:r>
        <w:rPr>
          <w:rFonts w:ascii="Arial" w:hAnsi="Arial" w:cs="Arial"/>
        </w:rPr>
        <w:t>require manufacturers to develop and test special engineering solutions for the Australian market.</w:t>
      </w:r>
    </w:p>
    <w:p w:rsidR="009E58A0" w:rsidRDefault="009E58A0" w:rsidP="009E58A0">
      <w:pPr>
        <w:rPr>
          <w:rFonts w:ascii="Arial" w:hAnsi="Arial" w:cs="Arial"/>
        </w:rPr>
      </w:pPr>
    </w:p>
    <w:p w:rsidR="009E58A0" w:rsidRDefault="009E58A0" w:rsidP="009E58A0">
      <w:pPr>
        <w:rPr>
          <w:rFonts w:ascii="Arial" w:hAnsi="Arial" w:cs="Arial"/>
        </w:rPr>
      </w:pPr>
      <w:r>
        <w:rPr>
          <w:rFonts w:ascii="Arial" w:hAnsi="Arial" w:cs="Arial"/>
        </w:rPr>
        <w:t>As a result, the ATA considers that the introduction period for any new truck emission standard should be at least three years.</w:t>
      </w:r>
    </w:p>
    <w:p w:rsidR="0011181B" w:rsidRDefault="0011181B" w:rsidP="0009718D">
      <w:pPr>
        <w:rPr>
          <w:rFonts w:ascii="Arial" w:hAnsi="Arial" w:cs="Arial"/>
        </w:rPr>
      </w:pPr>
    </w:p>
    <w:p w:rsidR="00431A02" w:rsidRDefault="00431A02" w:rsidP="0009718D">
      <w:pPr>
        <w:rPr>
          <w:rFonts w:ascii="Arial" w:hAnsi="Arial" w:cs="Arial"/>
        </w:rPr>
      </w:pPr>
    </w:p>
    <w:p w:rsidR="00431A02" w:rsidRPr="00431A02" w:rsidRDefault="00431A02" w:rsidP="0009718D">
      <w:pPr>
        <w:rPr>
          <w:rFonts w:ascii="Arial" w:hAnsi="Arial" w:cs="Arial"/>
          <w:b/>
        </w:rPr>
      </w:pPr>
      <w:r w:rsidRPr="00431A02">
        <w:rPr>
          <w:rFonts w:ascii="Arial" w:hAnsi="Arial" w:cs="Arial"/>
          <w:b/>
        </w:rPr>
        <w:t>ATA recommendation 2</w:t>
      </w:r>
    </w:p>
    <w:p w:rsidR="009E58A0" w:rsidRDefault="009E58A0" w:rsidP="0009718D">
      <w:pPr>
        <w:rPr>
          <w:rFonts w:ascii="Arial" w:hAnsi="Arial" w:cs="Arial"/>
        </w:rPr>
      </w:pPr>
    </w:p>
    <w:p w:rsidR="00431A02" w:rsidRPr="00431A02" w:rsidRDefault="00431A02" w:rsidP="0009718D">
      <w:pPr>
        <w:rPr>
          <w:rFonts w:ascii="Arial" w:hAnsi="Arial" w:cs="Arial"/>
          <w:b/>
        </w:rPr>
      </w:pPr>
      <w:r w:rsidRPr="00431A02">
        <w:rPr>
          <w:rFonts w:ascii="Arial" w:hAnsi="Arial" w:cs="Arial"/>
          <w:b/>
        </w:rPr>
        <w:t>If the Government does decide to introduce Euro VI, the introduction period should be at least three years.</w:t>
      </w:r>
    </w:p>
    <w:p w:rsidR="00431A02" w:rsidRDefault="00431A02" w:rsidP="0009718D">
      <w:pPr>
        <w:rPr>
          <w:rFonts w:ascii="Arial" w:hAnsi="Arial" w:cs="Arial"/>
        </w:rPr>
      </w:pPr>
    </w:p>
    <w:p w:rsidR="00431A02" w:rsidRDefault="00431A02" w:rsidP="0009718D">
      <w:pPr>
        <w:rPr>
          <w:rFonts w:ascii="Arial" w:hAnsi="Arial" w:cs="Arial"/>
        </w:rPr>
      </w:pPr>
    </w:p>
    <w:p w:rsidR="0011181B" w:rsidRPr="00431A02" w:rsidRDefault="0011181B" w:rsidP="00773943">
      <w:pPr>
        <w:pStyle w:val="ListParagraph"/>
        <w:keepNext/>
        <w:numPr>
          <w:ilvl w:val="0"/>
          <w:numId w:val="26"/>
        </w:numPr>
        <w:spacing w:after="0" w:line="240" w:lineRule="auto"/>
        <w:rPr>
          <w:rFonts w:ascii="Arial" w:hAnsi="Arial" w:cs="Arial"/>
          <w:i/>
        </w:rPr>
      </w:pPr>
      <w:r w:rsidRPr="00431A02">
        <w:rPr>
          <w:rFonts w:ascii="Arial" w:hAnsi="Arial" w:cs="Arial"/>
          <w:i/>
        </w:rPr>
        <w:t>Are there other ways governments could encourage the purchase and supply of vehicles that meet Euro 6/VI emission standards?</w:t>
      </w:r>
    </w:p>
    <w:p w:rsidR="0009718D" w:rsidRDefault="0009718D" w:rsidP="00773943">
      <w:pPr>
        <w:pStyle w:val="ATAHeading2"/>
        <w:keepNext/>
        <w:numPr>
          <w:ilvl w:val="0"/>
          <w:numId w:val="0"/>
        </w:numPr>
        <w:spacing w:before="0" w:after="0" w:line="240" w:lineRule="auto"/>
        <w:rPr>
          <w:b w:val="0"/>
          <w:color w:val="auto"/>
          <w:sz w:val="22"/>
          <w:szCs w:val="22"/>
        </w:rPr>
      </w:pPr>
    </w:p>
    <w:p w:rsidR="006B3C96" w:rsidRDefault="006B3C96" w:rsidP="00773943">
      <w:pPr>
        <w:pStyle w:val="ATAHeading2"/>
        <w:keepNext/>
        <w:numPr>
          <w:ilvl w:val="0"/>
          <w:numId w:val="0"/>
        </w:numPr>
        <w:spacing w:before="0" w:after="0" w:line="240" w:lineRule="auto"/>
        <w:rPr>
          <w:b w:val="0"/>
          <w:color w:val="auto"/>
          <w:sz w:val="22"/>
          <w:szCs w:val="22"/>
        </w:rPr>
      </w:pPr>
      <w:r>
        <w:rPr>
          <w:b w:val="0"/>
          <w:color w:val="auto"/>
          <w:sz w:val="22"/>
          <w:szCs w:val="22"/>
        </w:rPr>
        <w:t xml:space="preserve">Euro VI </w:t>
      </w:r>
      <w:r w:rsidR="00AB6B54">
        <w:rPr>
          <w:b w:val="0"/>
          <w:color w:val="auto"/>
          <w:sz w:val="22"/>
          <w:szCs w:val="22"/>
        </w:rPr>
        <w:t xml:space="preserve">vehicles are </w:t>
      </w:r>
      <w:r w:rsidR="003125DC">
        <w:rPr>
          <w:b w:val="0"/>
          <w:color w:val="auto"/>
          <w:sz w:val="22"/>
          <w:szCs w:val="22"/>
        </w:rPr>
        <w:t xml:space="preserve">able to be certified for supply and </w:t>
      </w:r>
      <w:r w:rsidR="00AB6B54">
        <w:rPr>
          <w:b w:val="0"/>
          <w:color w:val="auto"/>
          <w:sz w:val="22"/>
          <w:szCs w:val="22"/>
        </w:rPr>
        <w:t>purchase in Australia under s</w:t>
      </w:r>
      <w:r w:rsidR="00773943">
        <w:rPr>
          <w:b w:val="0"/>
          <w:color w:val="auto"/>
          <w:sz w:val="22"/>
          <w:szCs w:val="22"/>
        </w:rPr>
        <w:t>ection 6.6</w:t>
      </w:r>
      <w:r w:rsidR="003125DC">
        <w:rPr>
          <w:b w:val="0"/>
          <w:color w:val="auto"/>
          <w:sz w:val="22"/>
          <w:szCs w:val="22"/>
        </w:rPr>
        <w:t xml:space="preserve"> of ADR80/03.</w:t>
      </w:r>
      <w:r w:rsidR="00AB6B54">
        <w:rPr>
          <w:b w:val="0"/>
          <w:color w:val="auto"/>
          <w:sz w:val="22"/>
          <w:szCs w:val="22"/>
        </w:rPr>
        <w:t xml:space="preserve"> </w:t>
      </w:r>
      <w:r w:rsidR="00E9669B">
        <w:rPr>
          <w:b w:val="0"/>
          <w:color w:val="auto"/>
          <w:sz w:val="22"/>
          <w:szCs w:val="22"/>
        </w:rPr>
        <w:t xml:space="preserve">TNT Australia took delivery of the first Euro VI compliant trucks in Australia in 2014; the first Euro VI compliant buses </w:t>
      </w:r>
      <w:r w:rsidR="0025474F">
        <w:rPr>
          <w:b w:val="0"/>
          <w:color w:val="auto"/>
          <w:sz w:val="22"/>
          <w:szCs w:val="22"/>
        </w:rPr>
        <w:t xml:space="preserve">have also </w:t>
      </w:r>
      <w:r w:rsidR="00E9669B">
        <w:rPr>
          <w:b w:val="0"/>
          <w:color w:val="auto"/>
          <w:sz w:val="22"/>
          <w:szCs w:val="22"/>
        </w:rPr>
        <w:t xml:space="preserve">started operating. </w:t>
      </w:r>
    </w:p>
    <w:p w:rsidR="00E9669B" w:rsidRDefault="00E9669B" w:rsidP="00BE4572">
      <w:pPr>
        <w:rPr>
          <w:rFonts w:ascii="Arial" w:hAnsi="Arial" w:cs="Arial"/>
        </w:rPr>
      </w:pPr>
    </w:p>
    <w:p w:rsidR="00E9669B" w:rsidRDefault="00E9669B" w:rsidP="00BE4572">
      <w:pPr>
        <w:rPr>
          <w:rFonts w:ascii="Arial" w:hAnsi="Arial" w:cs="Arial"/>
        </w:rPr>
      </w:pPr>
      <w:r>
        <w:rPr>
          <w:rFonts w:ascii="Arial" w:hAnsi="Arial" w:cs="Arial"/>
        </w:rPr>
        <w:t xml:space="preserve">The number of Euro VI vehicles on Australian roads </w:t>
      </w:r>
      <w:r w:rsidR="006913E9">
        <w:rPr>
          <w:rFonts w:ascii="Arial" w:hAnsi="Arial" w:cs="Arial"/>
        </w:rPr>
        <w:t>can be expected to</w:t>
      </w:r>
      <w:r>
        <w:rPr>
          <w:rFonts w:ascii="Arial" w:hAnsi="Arial" w:cs="Arial"/>
        </w:rPr>
        <w:t xml:space="preserve"> increase over time</w:t>
      </w:r>
      <w:r w:rsidR="006913E9">
        <w:rPr>
          <w:rFonts w:ascii="Arial" w:hAnsi="Arial" w:cs="Arial"/>
        </w:rPr>
        <w:t>; however, the ATA considers that technical amend</w:t>
      </w:r>
      <w:r w:rsidR="00D01675">
        <w:rPr>
          <w:rFonts w:ascii="Arial" w:hAnsi="Arial" w:cs="Arial"/>
        </w:rPr>
        <w:t>ments to the vehicle standards w</w:t>
      </w:r>
      <w:r w:rsidR="006913E9">
        <w:rPr>
          <w:rFonts w:ascii="Arial" w:hAnsi="Arial" w:cs="Arial"/>
        </w:rPr>
        <w:t>ould encourage their increased u</w:t>
      </w:r>
      <w:r w:rsidR="000A7426">
        <w:rPr>
          <w:rFonts w:ascii="Arial" w:hAnsi="Arial" w:cs="Arial"/>
        </w:rPr>
        <w:t>se</w:t>
      </w:r>
      <w:r w:rsidR="006913E9">
        <w:rPr>
          <w:rFonts w:ascii="Arial" w:hAnsi="Arial" w:cs="Arial"/>
        </w:rPr>
        <w:t>:</w:t>
      </w:r>
      <w:r>
        <w:rPr>
          <w:rFonts w:ascii="Arial" w:hAnsi="Arial" w:cs="Arial"/>
        </w:rPr>
        <w:t xml:space="preserve"> </w:t>
      </w:r>
    </w:p>
    <w:p w:rsidR="00BE4572" w:rsidRDefault="00BE4572" w:rsidP="00BE4572">
      <w:pPr>
        <w:rPr>
          <w:rFonts w:ascii="Arial" w:hAnsi="Arial" w:cs="Arial"/>
        </w:rPr>
      </w:pPr>
    </w:p>
    <w:p w:rsidR="000A7426" w:rsidRPr="00FC74D4" w:rsidRDefault="000A7426" w:rsidP="00FC74D4">
      <w:pPr>
        <w:pStyle w:val="ListParagraph"/>
        <w:numPr>
          <w:ilvl w:val="0"/>
          <w:numId w:val="34"/>
        </w:numPr>
        <w:spacing w:after="0" w:line="240" w:lineRule="auto"/>
        <w:ind w:left="714" w:hanging="357"/>
        <w:rPr>
          <w:rFonts w:ascii="Arial" w:hAnsi="Arial" w:cs="Arial"/>
        </w:rPr>
      </w:pPr>
      <w:r w:rsidRPr="00FC74D4">
        <w:rPr>
          <w:rFonts w:ascii="Arial" w:hAnsi="Arial" w:cs="Arial"/>
        </w:rPr>
        <w:t xml:space="preserve">there should be an increase </w:t>
      </w:r>
      <w:r w:rsidR="00FC74D4" w:rsidRPr="00FC74D4">
        <w:rPr>
          <w:rFonts w:ascii="Arial" w:hAnsi="Arial" w:cs="Arial"/>
        </w:rPr>
        <w:t xml:space="preserve">in </w:t>
      </w:r>
      <w:r w:rsidR="000E130C">
        <w:rPr>
          <w:rFonts w:ascii="Arial" w:hAnsi="Arial" w:cs="Arial"/>
        </w:rPr>
        <w:t>powered vehicle</w:t>
      </w:r>
      <w:r w:rsidRPr="00FC74D4">
        <w:rPr>
          <w:rFonts w:ascii="Arial" w:hAnsi="Arial" w:cs="Arial"/>
        </w:rPr>
        <w:t xml:space="preserve"> GVM</w:t>
      </w:r>
      <w:r w:rsidR="000E130C">
        <w:rPr>
          <w:rFonts w:ascii="Arial" w:hAnsi="Arial" w:cs="Arial"/>
        </w:rPr>
        <w:t>s</w:t>
      </w:r>
      <w:r w:rsidRPr="00FC74D4">
        <w:rPr>
          <w:rFonts w:ascii="Arial" w:hAnsi="Arial" w:cs="Arial"/>
        </w:rPr>
        <w:t xml:space="preserve"> by 250 kg above the Euro IV allowance of 500 kg above the allowable single steer axle GML of 6 tonnes without the requirement for 385/70R225 or similar tyres to be used on steer axles. Twin steer vehicles should be allowed an increase of 750 kg</w:t>
      </w:r>
      <w:r w:rsidR="00FC74D4" w:rsidRPr="00FC74D4">
        <w:rPr>
          <w:rFonts w:ascii="Arial" w:hAnsi="Arial" w:cs="Arial"/>
        </w:rPr>
        <w:t>.</w:t>
      </w:r>
      <w:r w:rsidRPr="00FC74D4">
        <w:rPr>
          <w:rFonts w:ascii="Arial" w:hAnsi="Arial" w:cs="Arial"/>
        </w:rPr>
        <w:t xml:space="preserve"> This increase should be available to front, rear or a combination of both axle groups.</w:t>
      </w:r>
    </w:p>
    <w:p w:rsidR="00FC74D4" w:rsidRPr="00FC74D4" w:rsidRDefault="00FC74D4" w:rsidP="00FC74D4">
      <w:pPr>
        <w:pStyle w:val="ListParagraph"/>
        <w:spacing w:after="0" w:line="240" w:lineRule="auto"/>
        <w:ind w:left="714"/>
        <w:rPr>
          <w:rFonts w:ascii="Arial" w:hAnsi="Arial" w:cs="Arial"/>
        </w:rPr>
      </w:pPr>
    </w:p>
    <w:p w:rsidR="000A7426" w:rsidRPr="00FC74D4" w:rsidRDefault="000E130C" w:rsidP="00FC74D4">
      <w:pPr>
        <w:pStyle w:val="ListParagraph"/>
        <w:numPr>
          <w:ilvl w:val="0"/>
          <w:numId w:val="34"/>
        </w:numPr>
        <w:spacing w:after="0" w:line="240" w:lineRule="auto"/>
        <w:ind w:left="714" w:hanging="357"/>
        <w:rPr>
          <w:rFonts w:ascii="Arial" w:hAnsi="Arial" w:cs="Arial"/>
        </w:rPr>
      </w:pPr>
      <w:proofErr w:type="gramStart"/>
      <w:r>
        <w:rPr>
          <w:rFonts w:ascii="Arial" w:hAnsi="Arial" w:cs="Arial"/>
        </w:rPr>
        <w:t>a</w:t>
      </w:r>
      <w:proofErr w:type="gramEnd"/>
      <w:r w:rsidR="00FC74D4" w:rsidRPr="00FC74D4">
        <w:rPr>
          <w:rFonts w:ascii="Arial" w:hAnsi="Arial" w:cs="Arial"/>
        </w:rPr>
        <w:t xml:space="preserve"> </w:t>
      </w:r>
      <w:r w:rsidR="000A7426" w:rsidRPr="00FC74D4">
        <w:rPr>
          <w:rFonts w:ascii="Arial" w:hAnsi="Arial" w:cs="Arial"/>
        </w:rPr>
        <w:t xml:space="preserve">combination’s overall length </w:t>
      </w:r>
      <w:r w:rsidR="00FC74D4" w:rsidRPr="00FC74D4">
        <w:rPr>
          <w:rFonts w:ascii="Arial" w:hAnsi="Arial" w:cs="Arial"/>
        </w:rPr>
        <w:t xml:space="preserve">should be increased </w:t>
      </w:r>
      <w:r w:rsidR="000A7426" w:rsidRPr="00FC74D4">
        <w:rPr>
          <w:rFonts w:ascii="Arial" w:hAnsi="Arial" w:cs="Arial"/>
        </w:rPr>
        <w:t>by 250 mm</w:t>
      </w:r>
      <w:r w:rsidR="00FC74D4" w:rsidRPr="00FC74D4">
        <w:rPr>
          <w:rFonts w:ascii="Arial" w:hAnsi="Arial" w:cs="Arial"/>
        </w:rPr>
        <w:t>,</w:t>
      </w:r>
      <w:r w:rsidR="000A7426" w:rsidRPr="00FC74D4">
        <w:rPr>
          <w:rFonts w:ascii="Arial" w:hAnsi="Arial" w:cs="Arial"/>
        </w:rPr>
        <w:t xml:space="preserve"> with the expectation that this would not lead to an increase in the length of load carrying elements. </w:t>
      </w:r>
    </w:p>
    <w:p w:rsidR="00FC74D4" w:rsidRPr="00FC74D4" w:rsidRDefault="00FC74D4" w:rsidP="00FC74D4">
      <w:pPr>
        <w:pStyle w:val="ListParagraph"/>
        <w:spacing w:after="0" w:line="240" w:lineRule="auto"/>
        <w:ind w:left="714"/>
        <w:rPr>
          <w:rFonts w:ascii="Arial" w:hAnsi="Arial" w:cs="Arial"/>
        </w:rPr>
      </w:pPr>
    </w:p>
    <w:p w:rsidR="000A7426" w:rsidRPr="00FC74D4" w:rsidRDefault="00FC74D4" w:rsidP="00FC74D4">
      <w:pPr>
        <w:pStyle w:val="ListParagraph"/>
        <w:numPr>
          <w:ilvl w:val="0"/>
          <w:numId w:val="34"/>
        </w:numPr>
        <w:spacing w:after="0" w:line="240" w:lineRule="auto"/>
        <w:ind w:left="714" w:hanging="357"/>
        <w:rPr>
          <w:rFonts w:ascii="Arial" w:hAnsi="Arial" w:cs="Arial"/>
        </w:rPr>
      </w:pPr>
      <w:r w:rsidRPr="00FC74D4">
        <w:rPr>
          <w:rFonts w:ascii="Arial" w:hAnsi="Arial" w:cs="Arial"/>
        </w:rPr>
        <w:t>the c</w:t>
      </w:r>
      <w:r w:rsidR="000A7426" w:rsidRPr="00FC74D4">
        <w:rPr>
          <w:rFonts w:ascii="Arial" w:hAnsi="Arial" w:cs="Arial"/>
        </w:rPr>
        <w:t>omplexity of the after treatment packages, which have been optimised for overseas applications and widths, will generally result in solutions being mounted either within the chassis rails or outboard with horizontal outlets. This is expect to require a width increase to the European 2.55 m</w:t>
      </w:r>
      <w:r w:rsidR="000E130C">
        <w:rPr>
          <w:rFonts w:ascii="Arial" w:hAnsi="Arial" w:cs="Arial"/>
        </w:rPr>
        <w:t>etres</w:t>
      </w:r>
      <w:r w:rsidR="000A7426" w:rsidRPr="00FC74D4">
        <w:rPr>
          <w:rFonts w:ascii="Arial" w:hAnsi="Arial" w:cs="Arial"/>
        </w:rPr>
        <w:t xml:space="preserve"> or result in compromised access or heat shielding. </w:t>
      </w:r>
    </w:p>
    <w:p w:rsidR="00FC74D4" w:rsidRDefault="00FC74D4" w:rsidP="00FC74D4">
      <w:pPr>
        <w:pStyle w:val="ListParagraph"/>
        <w:spacing w:after="0" w:line="240" w:lineRule="auto"/>
        <w:ind w:left="714"/>
        <w:contextualSpacing w:val="0"/>
        <w:rPr>
          <w:rFonts w:ascii="Arial" w:hAnsi="Arial" w:cs="Arial"/>
        </w:rPr>
      </w:pPr>
    </w:p>
    <w:p w:rsidR="000A7426" w:rsidRPr="00FC74D4" w:rsidRDefault="00FC74D4" w:rsidP="00FC74D4">
      <w:pPr>
        <w:pStyle w:val="ListParagraph"/>
        <w:numPr>
          <w:ilvl w:val="0"/>
          <w:numId w:val="34"/>
        </w:numPr>
        <w:spacing w:after="0" w:line="240" w:lineRule="auto"/>
        <w:ind w:left="714" w:hanging="357"/>
        <w:rPr>
          <w:rFonts w:ascii="Arial" w:hAnsi="Arial" w:cs="Arial"/>
        </w:rPr>
      </w:pPr>
      <w:r w:rsidRPr="00FC74D4">
        <w:rPr>
          <w:rFonts w:ascii="Arial" w:hAnsi="Arial" w:cs="Arial"/>
        </w:rPr>
        <w:lastRenderedPageBreak/>
        <w:t>the r</w:t>
      </w:r>
      <w:r w:rsidR="000A7426" w:rsidRPr="00FC74D4">
        <w:rPr>
          <w:rFonts w:ascii="Arial" w:hAnsi="Arial" w:cs="Arial"/>
        </w:rPr>
        <w:t>emoval of directional exhaust outlet requirements from ADR42/04 for</w:t>
      </w:r>
      <w:r w:rsidR="00701566">
        <w:rPr>
          <w:rFonts w:ascii="Arial" w:hAnsi="Arial" w:cs="Arial"/>
        </w:rPr>
        <w:t xml:space="preserve"> NC class trucks (GVM&gt;12 tonne). These require</w:t>
      </w:r>
      <w:r w:rsidR="000A7426" w:rsidRPr="00FC74D4">
        <w:rPr>
          <w:rFonts w:ascii="Arial" w:hAnsi="Arial" w:cs="Arial"/>
        </w:rPr>
        <w:t xml:space="preserve"> </w:t>
      </w:r>
      <w:r w:rsidR="00701566">
        <w:rPr>
          <w:rFonts w:ascii="Arial" w:hAnsi="Arial" w:cs="Arial"/>
        </w:rPr>
        <w:t xml:space="preserve">that </w:t>
      </w:r>
      <w:r w:rsidR="000A7426" w:rsidRPr="00FC74D4">
        <w:rPr>
          <w:rFonts w:ascii="Arial" w:hAnsi="Arial" w:cs="Arial"/>
        </w:rPr>
        <w:t>the direction of discharge must not be to the left of the vehicle.</w:t>
      </w:r>
    </w:p>
    <w:p w:rsidR="00BE4572" w:rsidRPr="0086043A" w:rsidRDefault="00BE4572" w:rsidP="00BE4572">
      <w:pPr>
        <w:rPr>
          <w:rFonts w:ascii="Arial" w:hAnsi="Arial" w:cs="Arial"/>
          <w:bCs/>
        </w:rPr>
      </w:pPr>
    </w:p>
    <w:p w:rsidR="00BE4572" w:rsidRPr="00BE4572" w:rsidRDefault="00BE4572" w:rsidP="00BE4572">
      <w:pPr>
        <w:rPr>
          <w:rFonts w:ascii="Arial" w:hAnsi="Arial" w:cs="Arial"/>
          <w:b/>
        </w:rPr>
      </w:pPr>
      <w:r w:rsidRPr="00BE4572">
        <w:rPr>
          <w:rFonts w:ascii="Arial" w:hAnsi="Arial" w:cs="Arial"/>
        </w:rPr>
        <w:t xml:space="preserve">These technical </w:t>
      </w:r>
      <w:r w:rsidR="00061924">
        <w:rPr>
          <w:rFonts w:ascii="Arial" w:hAnsi="Arial" w:cs="Arial"/>
        </w:rPr>
        <w:t xml:space="preserve">amendments </w:t>
      </w:r>
      <w:r w:rsidRPr="00BE4572">
        <w:rPr>
          <w:rFonts w:ascii="Arial" w:hAnsi="Arial" w:cs="Arial"/>
        </w:rPr>
        <w:t xml:space="preserve">would also be necessary if the Government </w:t>
      </w:r>
      <w:r w:rsidR="00061924">
        <w:rPr>
          <w:rFonts w:ascii="Arial" w:hAnsi="Arial" w:cs="Arial"/>
        </w:rPr>
        <w:t>d</w:t>
      </w:r>
      <w:r w:rsidR="003C7BBD">
        <w:rPr>
          <w:rFonts w:ascii="Arial" w:hAnsi="Arial" w:cs="Arial"/>
        </w:rPr>
        <w:t>ecided</w:t>
      </w:r>
      <w:r w:rsidR="00061924">
        <w:rPr>
          <w:rFonts w:ascii="Arial" w:hAnsi="Arial" w:cs="Arial"/>
        </w:rPr>
        <w:t xml:space="preserve"> </w:t>
      </w:r>
      <w:r w:rsidRPr="00BE4572">
        <w:rPr>
          <w:rFonts w:ascii="Arial" w:hAnsi="Arial" w:cs="Arial"/>
        </w:rPr>
        <w:t>to mandate Euro VI.</w:t>
      </w:r>
    </w:p>
    <w:p w:rsidR="00242D21" w:rsidRDefault="00242D21" w:rsidP="00242D21">
      <w:pPr>
        <w:pStyle w:val="ATAHeading2"/>
        <w:numPr>
          <w:ilvl w:val="0"/>
          <w:numId w:val="0"/>
        </w:numPr>
        <w:spacing w:before="0" w:after="0" w:line="240" w:lineRule="auto"/>
        <w:rPr>
          <w:b w:val="0"/>
          <w:color w:val="auto"/>
          <w:sz w:val="22"/>
          <w:szCs w:val="22"/>
        </w:rPr>
      </w:pPr>
    </w:p>
    <w:p w:rsidR="00061924" w:rsidRDefault="00061924" w:rsidP="00242D21">
      <w:pPr>
        <w:pStyle w:val="ATAHeading2"/>
        <w:numPr>
          <w:ilvl w:val="0"/>
          <w:numId w:val="0"/>
        </w:numPr>
        <w:spacing w:before="0" w:after="0" w:line="240" w:lineRule="auto"/>
        <w:rPr>
          <w:b w:val="0"/>
          <w:color w:val="auto"/>
          <w:sz w:val="22"/>
          <w:szCs w:val="22"/>
        </w:rPr>
      </w:pPr>
    </w:p>
    <w:p w:rsidR="00061924" w:rsidRPr="00061924" w:rsidRDefault="00A20F91" w:rsidP="00A20F91">
      <w:pPr>
        <w:pStyle w:val="ATAHeading2"/>
        <w:keepNext/>
        <w:numPr>
          <w:ilvl w:val="0"/>
          <w:numId w:val="0"/>
        </w:numPr>
        <w:spacing w:before="0" w:after="0" w:line="240" w:lineRule="auto"/>
        <w:rPr>
          <w:color w:val="auto"/>
          <w:sz w:val="22"/>
          <w:szCs w:val="22"/>
        </w:rPr>
      </w:pPr>
      <w:r>
        <w:rPr>
          <w:color w:val="auto"/>
          <w:sz w:val="22"/>
          <w:szCs w:val="22"/>
        </w:rPr>
        <w:t>ATA recommendation 3</w:t>
      </w:r>
    </w:p>
    <w:p w:rsidR="00061924" w:rsidRDefault="00061924" w:rsidP="00A20F91">
      <w:pPr>
        <w:pStyle w:val="ATAHeading2"/>
        <w:keepNext/>
        <w:numPr>
          <w:ilvl w:val="0"/>
          <w:numId w:val="0"/>
        </w:numPr>
        <w:spacing w:before="0" w:after="0" w:line="240" w:lineRule="auto"/>
        <w:rPr>
          <w:b w:val="0"/>
          <w:color w:val="auto"/>
          <w:sz w:val="22"/>
          <w:szCs w:val="22"/>
        </w:rPr>
      </w:pPr>
    </w:p>
    <w:p w:rsidR="00061924" w:rsidRPr="00061924" w:rsidRDefault="00061924" w:rsidP="00A20F91">
      <w:pPr>
        <w:pStyle w:val="ATAHeading2"/>
        <w:keepNext/>
        <w:numPr>
          <w:ilvl w:val="0"/>
          <w:numId w:val="0"/>
        </w:numPr>
        <w:spacing w:before="0" w:after="0" w:line="240" w:lineRule="auto"/>
        <w:rPr>
          <w:color w:val="auto"/>
          <w:sz w:val="22"/>
          <w:szCs w:val="22"/>
        </w:rPr>
      </w:pPr>
      <w:r w:rsidRPr="00061924">
        <w:rPr>
          <w:color w:val="auto"/>
          <w:sz w:val="22"/>
          <w:szCs w:val="22"/>
        </w:rPr>
        <w:t>To encourage the increased use of Euro VI vehicles, the Government should amend the vehicle standards to allow:</w:t>
      </w:r>
    </w:p>
    <w:p w:rsidR="00061924" w:rsidRPr="00061924" w:rsidRDefault="00061924" w:rsidP="00A20F91">
      <w:pPr>
        <w:pStyle w:val="ATAHeading2"/>
        <w:keepNext/>
        <w:numPr>
          <w:ilvl w:val="0"/>
          <w:numId w:val="0"/>
        </w:numPr>
        <w:spacing w:before="0" w:after="0" w:line="240" w:lineRule="auto"/>
        <w:rPr>
          <w:color w:val="auto"/>
          <w:sz w:val="22"/>
          <w:szCs w:val="22"/>
        </w:rPr>
      </w:pPr>
    </w:p>
    <w:p w:rsidR="00061924" w:rsidRPr="00061924" w:rsidRDefault="00061924" w:rsidP="00A20F91">
      <w:pPr>
        <w:pStyle w:val="ATAHeading2"/>
        <w:keepNext/>
        <w:numPr>
          <w:ilvl w:val="0"/>
          <w:numId w:val="35"/>
        </w:numPr>
        <w:spacing w:before="0" w:after="0" w:line="240" w:lineRule="auto"/>
        <w:rPr>
          <w:color w:val="auto"/>
          <w:sz w:val="22"/>
          <w:szCs w:val="22"/>
        </w:rPr>
      </w:pPr>
      <w:r w:rsidRPr="00061924">
        <w:rPr>
          <w:color w:val="auto"/>
          <w:sz w:val="22"/>
          <w:szCs w:val="22"/>
        </w:rPr>
        <w:t xml:space="preserve">an increase in </w:t>
      </w:r>
      <w:r w:rsidR="000E130C">
        <w:rPr>
          <w:color w:val="auto"/>
          <w:sz w:val="22"/>
          <w:szCs w:val="22"/>
        </w:rPr>
        <w:t>powered vehicle</w:t>
      </w:r>
      <w:r w:rsidRPr="00061924">
        <w:rPr>
          <w:color w:val="auto"/>
          <w:sz w:val="22"/>
          <w:szCs w:val="22"/>
        </w:rPr>
        <w:t xml:space="preserve"> GVM</w:t>
      </w:r>
    </w:p>
    <w:p w:rsidR="00061924" w:rsidRPr="00061924" w:rsidRDefault="00061924" w:rsidP="00A20F91">
      <w:pPr>
        <w:pStyle w:val="ATAHeading2"/>
        <w:keepNext/>
        <w:numPr>
          <w:ilvl w:val="0"/>
          <w:numId w:val="35"/>
        </w:numPr>
        <w:spacing w:before="0" w:after="0" w:line="240" w:lineRule="auto"/>
        <w:rPr>
          <w:color w:val="auto"/>
          <w:sz w:val="22"/>
          <w:szCs w:val="22"/>
        </w:rPr>
      </w:pPr>
      <w:r w:rsidRPr="00061924">
        <w:rPr>
          <w:color w:val="auto"/>
          <w:sz w:val="22"/>
          <w:szCs w:val="22"/>
        </w:rPr>
        <w:t>an increase in overall combination length</w:t>
      </w:r>
    </w:p>
    <w:p w:rsidR="00061924" w:rsidRPr="00061924" w:rsidRDefault="00061924" w:rsidP="00A20F91">
      <w:pPr>
        <w:pStyle w:val="ATAHeading2"/>
        <w:keepNext/>
        <w:numPr>
          <w:ilvl w:val="0"/>
          <w:numId w:val="35"/>
        </w:numPr>
        <w:spacing w:before="0" w:after="0" w:line="240" w:lineRule="auto"/>
        <w:rPr>
          <w:color w:val="auto"/>
          <w:sz w:val="22"/>
          <w:szCs w:val="22"/>
        </w:rPr>
      </w:pPr>
      <w:r w:rsidRPr="00061924">
        <w:rPr>
          <w:color w:val="auto"/>
          <w:sz w:val="22"/>
          <w:szCs w:val="22"/>
        </w:rPr>
        <w:t>an increase in width to accommodate the after treatment packages and</w:t>
      </w:r>
    </w:p>
    <w:p w:rsidR="00061924" w:rsidRPr="00061924" w:rsidRDefault="00061924" w:rsidP="00A20F91">
      <w:pPr>
        <w:pStyle w:val="ATAHeading2"/>
        <w:keepNext/>
        <w:numPr>
          <w:ilvl w:val="0"/>
          <w:numId w:val="35"/>
        </w:numPr>
        <w:spacing w:before="0" w:after="0" w:line="240" w:lineRule="auto"/>
        <w:rPr>
          <w:color w:val="auto"/>
          <w:sz w:val="22"/>
          <w:szCs w:val="22"/>
        </w:rPr>
      </w:pPr>
      <w:r w:rsidRPr="00061924">
        <w:rPr>
          <w:color w:val="auto"/>
          <w:sz w:val="22"/>
          <w:szCs w:val="22"/>
        </w:rPr>
        <w:t>the removal of the directional exhaust outlet requirements.</w:t>
      </w:r>
    </w:p>
    <w:p w:rsidR="00061924" w:rsidRDefault="00061924" w:rsidP="00242D21">
      <w:pPr>
        <w:pStyle w:val="ATAHeading2"/>
        <w:numPr>
          <w:ilvl w:val="0"/>
          <w:numId w:val="0"/>
        </w:numPr>
        <w:spacing w:before="0" w:after="0" w:line="240" w:lineRule="auto"/>
        <w:rPr>
          <w:b w:val="0"/>
          <w:color w:val="auto"/>
          <w:sz w:val="22"/>
          <w:szCs w:val="22"/>
        </w:rPr>
      </w:pPr>
    </w:p>
    <w:p w:rsidR="00BE4572" w:rsidRDefault="00BE4572" w:rsidP="00242D21">
      <w:pPr>
        <w:pStyle w:val="ATAHeading2"/>
        <w:numPr>
          <w:ilvl w:val="0"/>
          <w:numId w:val="0"/>
        </w:numPr>
        <w:spacing w:before="0" w:after="0" w:line="240" w:lineRule="auto"/>
        <w:rPr>
          <w:b w:val="0"/>
          <w:color w:val="auto"/>
          <w:sz w:val="22"/>
          <w:szCs w:val="22"/>
        </w:rPr>
      </w:pPr>
    </w:p>
    <w:p w:rsidR="0011181B" w:rsidRPr="00431A02" w:rsidRDefault="0011181B" w:rsidP="0011181B">
      <w:pPr>
        <w:pStyle w:val="ATAHeading2"/>
        <w:numPr>
          <w:ilvl w:val="0"/>
          <w:numId w:val="26"/>
        </w:numPr>
        <w:spacing w:before="0" w:after="0" w:line="240" w:lineRule="auto"/>
        <w:rPr>
          <w:b w:val="0"/>
          <w:i/>
          <w:color w:val="auto"/>
          <w:sz w:val="22"/>
          <w:szCs w:val="22"/>
        </w:rPr>
      </w:pPr>
      <w:bookmarkStart w:id="0" w:name="_Toc447197669"/>
      <w:r w:rsidRPr="00431A02">
        <w:rPr>
          <w:b w:val="0"/>
          <w:i/>
          <w:color w:val="auto"/>
          <w:sz w:val="22"/>
          <w:szCs w:val="22"/>
        </w:rPr>
        <w:t xml:space="preserve">What measures could governments adopt to ensure vehicles continue to comply with the noxious emission requirements beyond the point </w:t>
      </w:r>
      <w:r w:rsidR="00BE4572" w:rsidRPr="00431A02">
        <w:rPr>
          <w:b w:val="0"/>
          <w:i/>
          <w:color w:val="auto"/>
          <w:sz w:val="22"/>
          <w:szCs w:val="22"/>
        </w:rPr>
        <w:t>of supply to the market?</w:t>
      </w:r>
      <w:bookmarkEnd w:id="0"/>
    </w:p>
    <w:p w:rsidR="00BE4572" w:rsidRDefault="00BE4572" w:rsidP="00BE4572">
      <w:pPr>
        <w:pStyle w:val="ATAHeading2"/>
        <w:numPr>
          <w:ilvl w:val="0"/>
          <w:numId w:val="0"/>
        </w:numPr>
        <w:spacing w:before="0" w:after="0" w:line="240" w:lineRule="auto"/>
        <w:ind w:left="716" w:hanging="432"/>
        <w:rPr>
          <w:b w:val="0"/>
          <w:color w:val="auto"/>
          <w:sz w:val="22"/>
          <w:szCs w:val="22"/>
        </w:rPr>
      </w:pPr>
    </w:p>
    <w:p w:rsidR="00BE4572" w:rsidRDefault="0045249B" w:rsidP="00694CB3">
      <w:pPr>
        <w:pStyle w:val="ATAHeading2"/>
        <w:numPr>
          <w:ilvl w:val="0"/>
          <w:numId w:val="0"/>
        </w:numPr>
        <w:spacing w:before="0" w:after="0" w:line="240" w:lineRule="auto"/>
        <w:rPr>
          <w:b w:val="0"/>
          <w:color w:val="auto"/>
          <w:sz w:val="22"/>
          <w:szCs w:val="22"/>
        </w:rPr>
      </w:pPr>
      <w:bookmarkStart w:id="1" w:name="_Toc447197670"/>
      <w:r>
        <w:rPr>
          <w:b w:val="0"/>
          <w:color w:val="auto"/>
          <w:sz w:val="22"/>
          <w:szCs w:val="22"/>
        </w:rPr>
        <w:t xml:space="preserve">Regular maintenance is the key to ensuring that vehicles continue to meet emission </w:t>
      </w:r>
      <w:r w:rsidR="00B34673">
        <w:rPr>
          <w:b w:val="0"/>
          <w:color w:val="auto"/>
          <w:sz w:val="22"/>
          <w:szCs w:val="22"/>
        </w:rPr>
        <w:t>standards</w:t>
      </w:r>
      <w:r>
        <w:rPr>
          <w:b w:val="0"/>
          <w:color w:val="auto"/>
          <w:sz w:val="22"/>
          <w:szCs w:val="22"/>
        </w:rPr>
        <w:t>. For example:</w:t>
      </w:r>
      <w:bookmarkEnd w:id="1"/>
    </w:p>
    <w:p w:rsidR="0045249B" w:rsidRDefault="0045249B" w:rsidP="00694CB3">
      <w:pPr>
        <w:pStyle w:val="ATAHeading2"/>
        <w:numPr>
          <w:ilvl w:val="0"/>
          <w:numId w:val="0"/>
        </w:numPr>
        <w:spacing w:before="0" w:after="0" w:line="240" w:lineRule="auto"/>
        <w:rPr>
          <w:b w:val="0"/>
          <w:color w:val="auto"/>
          <w:sz w:val="22"/>
          <w:szCs w:val="22"/>
        </w:rPr>
      </w:pPr>
    </w:p>
    <w:p w:rsidR="0045249B" w:rsidRDefault="0045249B" w:rsidP="00694CB3">
      <w:pPr>
        <w:pStyle w:val="ATAHeading2"/>
        <w:numPr>
          <w:ilvl w:val="0"/>
          <w:numId w:val="30"/>
        </w:numPr>
        <w:spacing w:before="0" w:after="0" w:line="240" w:lineRule="auto"/>
        <w:rPr>
          <w:b w:val="0"/>
          <w:color w:val="auto"/>
          <w:sz w:val="22"/>
          <w:szCs w:val="22"/>
        </w:rPr>
      </w:pPr>
      <w:bookmarkStart w:id="2" w:name="_Toc447197671"/>
      <w:r>
        <w:rPr>
          <w:b w:val="0"/>
          <w:color w:val="auto"/>
          <w:sz w:val="22"/>
          <w:szCs w:val="22"/>
        </w:rPr>
        <w:t xml:space="preserve">the 2004 energy white paper </w:t>
      </w:r>
      <w:r w:rsidR="005756AF">
        <w:rPr>
          <w:b w:val="0"/>
          <w:color w:val="auto"/>
          <w:sz w:val="22"/>
          <w:szCs w:val="22"/>
        </w:rPr>
        <w:t xml:space="preserve">reported </w:t>
      </w:r>
      <w:r>
        <w:rPr>
          <w:b w:val="0"/>
          <w:color w:val="auto"/>
          <w:sz w:val="22"/>
          <w:szCs w:val="22"/>
        </w:rPr>
        <w:t xml:space="preserve">that repairing poorly maintained diesel vehicles could reduce their </w:t>
      </w:r>
      <w:r w:rsidR="00EF58FC">
        <w:rPr>
          <w:b w:val="0"/>
          <w:color w:val="auto"/>
          <w:sz w:val="22"/>
          <w:szCs w:val="22"/>
        </w:rPr>
        <w:t>particulate</w:t>
      </w:r>
      <w:r>
        <w:rPr>
          <w:b w:val="0"/>
          <w:color w:val="auto"/>
          <w:sz w:val="22"/>
          <w:szCs w:val="22"/>
        </w:rPr>
        <w:t xml:space="preserve"> emissions by 45 per cent</w:t>
      </w:r>
      <w:r>
        <w:rPr>
          <w:rStyle w:val="FootnoteReference"/>
          <w:b w:val="0"/>
          <w:color w:val="auto"/>
          <w:sz w:val="22"/>
          <w:szCs w:val="22"/>
        </w:rPr>
        <w:footnoteReference w:id="3"/>
      </w:r>
      <w:bookmarkEnd w:id="2"/>
    </w:p>
    <w:p w:rsidR="00D648D1" w:rsidRDefault="00D648D1" w:rsidP="00694CB3">
      <w:pPr>
        <w:pStyle w:val="ATAHeading2"/>
        <w:numPr>
          <w:ilvl w:val="0"/>
          <w:numId w:val="30"/>
        </w:numPr>
        <w:spacing w:before="0" w:after="0" w:line="240" w:lineRule="auto"/>
        <w:rPr>
          <w:b w:val="0"/>
          <w:color w:val="auto"/>
          <w:sz w:val="22"/>
          <w:szCs w:val="22"/>
        </w:rPr>
      </w:pPr>
      <w:proofErr w:type="gramStart"/>
      <w:r>
        <w:rPr>
          <w:b w:val="0"/>
          <w:color w:val="auto"/>
          <w:sz w:val="22"/>
          <w:szCs w:val="22"/>
        </w:rPr>
        <w:t>case</w:t>
      </w:r>
      <w:proofErr w:type="gramEnd"/>
      <w:r>
        <w:rPr>
          <w:b w:val="0"/>
          <w:color w:val="auto"/>
          <w:sz w:val="22"/>
          <w:szCs w:val="22"/>
        </w:rPr>
        <w:t xml:space="preserve"> studies </w:t>
      </w:r>
      <w:r w:rsidR="000E130C">
        <w:rPr>
          <w:b w:val="0"/>
          <w:color w:val="auto"/>
          <w:sz w:val="22"/>
          <w:szCs w:val="22"/>
        </w:rPr>
        <w:t xml:space="preserve">in the US mining industry </w:t>
      </w:r>
      <w:r>
        <w:rPr>
          <w:b w:val="0"/>
          <w:color w:val="auto"/>
          <w:sz w:val="22"/>
          <w:szCs w:val="22"/>
        </w:rPr>
        <w:t xml:space="preserve">of the relationship between diesel engine maintenance </w:t>
      </w:r>
      <w:r w:rsidR="000E130C">
        <w:rPr>
          <w:b w:val="0"/>
          <w:color w:val="auto"/>
          <w:sz w:val="22"/>
          <w:szCs w:val="22"/>
        </w:rPr>
        <w:t xml:space="preserve">and </w:t>
      </w:r>
      <w:r>
        <w:rPr>
          <w:b w:val="0"/>
          <w:color w:val="auto"/>
          <w:sz w:val="22"/>
          <w:szCs w:val="22"/>
        </w:rPr>
        <w:t>exhaust emissions found that effective maintenance could reduce CO emissions by 65 per cent and PM emissions by 55 per cent.</w:t>
      </w:r>
      <w:r>
        <w:rPr>
          <w:rStyle w:val="FootnoteReference"/>
          <w:b w:val="0"/>
          <w:color w:val="auto"/>
          <w:sz w:val="22"/>
          <w:szCs w:val="22"/>
        </w:rPr>
        <w:footnoteReference w:id="4"/>
      </w:r>
    </w:p>
    <w:p w:rsidR="00701566" w:rsidRPr="00D648D1" w:rsidRDefault="000063A3" w:rsidP="00D648D1">
      <w:pPr>
        <w:pStyle w:val="ATAHeading2"/>
        <w:numPr>
          <w:ilvl w:val="0"/>
          <w:numId w:val="30"/>
        </w:numPr>
        <w:spacing w:before="0" w:after="0" w:line="240" w:lineRule="auto"/>
        <w:rPr>
          <w:b w:val="0"/>
          <w:color w:val="auto"/>
          <w:sz w:val="22"/>
          <w:szCs w:val="22"/>
        </w:rPr>
      </w:pPr>
      <w:bookmarkStart w:id="3" w:name="_Toc447197672"/>
      <w:r>
        <w:rPr>
          <w:b w:val="0"/>
          <w:color w:val="auto"/>
          <w:sz w:val="22"/>
          <w:szCs w:val="22"/>
        </w:rPr>
        <w:t>a test of 168 diesel cars (ranging from pre-Euro to Euro 4) found that 75 per cent had emission faults.</w:t>
      </w:r>
      <w:r w:rsidR="00EF58FC">
        <w:rPr>
          <w:b w:val="0"/>
          <w:color w:val="auto"/>
          <w:sz w:val="22"/>
          <w:szCs w:val="22"/>
        </w:rPr>
        <w:t xml:space="preserve"> Performing maintenance on a Euro 4 vehicle with multiple induced defects reduced</w:t>
      </w:r>
      <w:r w:rsidR="00291632">
        <w:rPr>
          <w:b w:val="0"/>
          <w:color w:val="auto"/>
          <w:sz w:val="22"/>
          <w:szCs w:val="22"/>
        </w:rPr>
        <w:t xml:space="preserve"> all its pollutant emissions except carbon monoxide;</w:t>
      </w:r>
      <w:r w:rsidR="00EF58FC">
        <w:rPr>
          <w:b w:val="0"/>
          <w:color w:val="auto"/>
          <w:sz w:val="22"/>
          <w:szCs w:val="22"/>
        </w:rPr>
        <w:t xml:space="preserve"> its particulate emissions </w:t>
      </w:r>
      <w:r w:rsidR="00291632">
        <w:rPr>
          <w:b w:val="0"/>
          <w:color w:val="auto"/>
          <w:sz w:val="22"/>
          <w:szCs w:val="22"/>
        </w:rPr>
        <w:t xml:space="preserve">were reduced by </w:t>
      </w:r>
      <w:r w:rsidR="00EF58FC">
        <w:rPr>
          <w:b w:val="0"/>
          <w:color w:val="auto"/>
          <w:sz w:val="22"/>
          <w:szCs w:val="22"/>
        </w:rPr>
        <w:t>70-80 per cent over all driving cycles.</w:t>
      </w:r>
      <w:r w:rsidR="00EF58FC">
        <w:rPr>
          <w:rStyle w:val="FootnoteReference"/>
          <w:b w:val="0"/>
          <w:color w:val="auto"/>
          <w:sz w:val="22"/>
          <w:szCs w:val="22"/>
        </w:rPr>
        <w:footnoteReference w:id="5"/>
      </w:r>
      <w:bookmarkEnd w:id="3"/>
    </w:p>
    <w:p w:rsidR="0045249B" w:rsidRDefault="0045249B" w:rsidP="0045249B">
      <w:pPr>
        <w:pStyle w:val="ATAHeading2"/>
        <w:numPr>
          <w:ilvl w:val="0"/>
          <w:numId w:val="0"/>
        </w:numPr>
        <w:spacing w:before="0" w:after="0" w:line="240" w:lineRule="auto"/>
        <w:rPr>
          <w:b w:val="0"/>
          <w:color w:val="auto"/>
          <w:sz w:val="22"/>
          <w:szCs w:val="22"/>
        </w:rPr>
      </w:pPr>
    </w:p>
    <w:p w:rsidR="009D6401" w:rsidRDefault="009D6401" w:rsidP="00061924">
      <w:pPr>
        <w:keepNext/>
        <w:rPr>
          <w:rFonts w:ascii="Arial" w:eastAsiaTheme="minorHAnsi" w:hAnsi="Arial" w:cs="Arial"/>
        </w:rPr>
      </w:pPr>
      <w:r>
        <w:rPr>
          <w:rFonts w:ascii="Arial" w:eastAsiaTheme="minorHAnsi" w:hAnsi="Arial" w:cs="Arial"/>
        </w:rPr>
        <w:t xml:space="preserve">When it </w:t>
      </w:r>
      <w:r w:rsidR="00FE5851">
        <w:rPr>
          <w:rFonts w:ascii="Arial" w:eastAsiaTheme="minorHAnsi" w:hAnsi="Arial" w:cs="Arial"/>
        </w:rPr>
        <w:t>came into force</w:t>
      </w:r>
      <w:r>
        <w:rPr>
          <w:rFonts w:ascii="Arial" w:eastAsiaTheme="minorHAnsi" w:hAnsi="Arial" w:cs="Arial"/>
        </w:rPr>
        <w:t>, t</w:t>
      </w:r>
      <w:r w:rsidR="0022088D" w:rsidRPr="0022088D">
        <w:rPr>
          <w:rFonts w:ascii="Arial" w:eastAsiaTheme="minorHAnsi" w:hAnsi="Arial" w:cs="Arial"/>
        </w:rPr>
        <w:t xml:space="preserve">he </w:t>
      </w:r>
      <w:r w:rsidR="0022088D" w:rsidRPr="0022088D">
        <w:rPr>
          <w:rFonts w:ascii="Arial" w:eastAsiaTheme="minorHAnsi" w:hAnsi="Arial" w:cs="Arial"/>
          <w:i/>
        </w:rPr>
        <w:t>Fuel Tax Act 2006</w:t>
      </w:r>
      <w:r>
        <w:rPr>
          <w:rFonts w:ascii="Arial" w:eastAsiaTheme="minorHAnsi" w:hAnsi="Arial" w:cs="Arial"/>
        </w:rPr>
        <w:t xml:space="preserve"> included a powerful incentive for truck operators to maintain their vehicles.</w:t>
      </w:r>
    </w:p>
    <w:p w:rsidR="009D6401" w:rsidRDefault="009D6401" w:rsidP="009D6401">
      <w:pPr>
        <w:rPr>
          <w:rFonts w:ascii="Arial" w:eastAsiaTheme="minorHAnsi" w:hAnsi="Arial" w:cs="Arial"/>
        </w:rPr>
      </w:pPr>
    </w:p>
    <w:p w:rsidR="0022088D" w:rsidRPr="0022088D" w:rsidRDefault="009D6401" w:rsidP="009D6401">
      <w:pPr>
        <w:rPr>
          <w:rFonts w:ascii="Arial" w:eastAsiaTheme="minorHAnsi" w:hAnsi="Arial" w:cs="Arial"/>
        </w:rPr>
      </w:pPr>
      <w:r>
        <w:rPr>
          <w:rFonts w:ascii="Arial" w:eastAsiaTheme="minorHAnsi" w:hAnsi="Arial" w:cs="Arial"/>
        </w:rPr>
        <w:t>Under the Act</w:t>
      </w:r>
      <w:r w:rsidR="0022088D" w:rsidRPr="0022088D">
        <w:rPr>
          <w:rFonts w:ascii="Arial" w:eastAsiaTheme="minorHAnsi" w:hAnsi="Arial" w:cs="Arial"/>
        </w:rPr>
        <w:t xml:space="preserve">, businesses that operate trucks with a gross vehicle mass (GVM) of more than 4.5 tonnes on public roads can claim fuel tax credits for each litre of fuel they buy for use in those vehicles. </w:t>
      </w:r>
    </w:p>
    <w:p w:rsidR="0022088D" w:rsidRPr="0022088D" w:rsidRDefault="0022088D" w:rsidP="0022088D">
      <w:pPr>
        <w:rPr>
          <w:rFonts w:ascii="Arial" w:eastAsiaTheme="minorHAnsi" w:hAnsi="Arial" w:cs="Arial"/>
        </w:rPr>
      </w:pPr>
    </w:p>
    <w:p w:rsidR="0022088D" w:rsidRPr="0022088D" w:rsidRDefault="0022088D" w:rsidP="0022088D">
      <w:pPr>
        <w:rPr>
          <w:rFonts w:ascii="Arial" w:eastAsiaTheme="minorHAnsi" w:hAnsi="Arial" w:cs="Arial"/>
        </w:rPr>
      </w:pPr>
      <w:r w:rsidRPr="0022088D">
        <w:rPr>
          <w:rFonts w:ascii="Arial" w:eastAsiaTheme="minorHAnsi" w:hAnsi="Arial" w:cs="Arial"/>
        </w:rPr>
        <w:t xml:space="preserve">Under </w:t>
      </w:r>
      <w:r w:rsidR="007238DA" w:rsidRPr="0022088D">
        <w:rPr>
          <w:rFonts w:ascii="Arial" w:eastAsiaTheme="minorHAnsi" w:hAnsi="Arial" w:cs="Arial"/>
        </w:rPr>
        <w:t xml:space="preserve">s41-25(1) </w:t>
      </w:r>
      <w:r w:rsidRPr="0022088D">
        <w:rPr>
          <w:rFonts w:ascii="Arial" w:eastAsiaTheme="minorHAnsi" w:hAnsi="Arial" w:cs="Arial"/>
        </w:rPr>
        <w:t xml:space="preserve">of the Act, </w:t>
      </w:r>
      <w:r>
        <w:rPr>
          <w:rFonts w:ascii="Arial" w:eastAsiaTheme="minorHAnsi" w:hAnsi="Arial" w:cs="Arial"/>
        </w:rPr>
        <w:t>vehicle</w:t>
      </w:r>
      <w:r w:rsidR="00D07CB3">
        <w:rPr>
          <w:rFonts w:ascii="Arial" w:eastAsiaTheme="minorHAnsi" w:hAnsi="Arial" w:cs="Arial"/>
        </w:rPr>
        <w:t xml:space="preserve">s used on public </w:t>
      </w:r>
      <w:r>
        <w:rPr>
          <w:rFonts w:ascii="Arial" w:eastAsiaTheme="minorHAnsi" w:hAnsi="Arial" w:cs="Arial"/>
        </w:rPr>
        <w:t>road</w:t>
      </w:r>
      <w:r w:rsidR="00D07CB3">
        <w:rPr>
          <w:rFonts w:ascii="Arial" w:eastAsiaTheme="minorHAnsi" w:hAnsi="Arial" w:cs="Arial"/>
        </w:rPr>
        <w:t>s</w:t>
      </w:r>
      <w:r>
        <w:rPr>
          <w:rFonts w:ascii="Arial" w:eastAsiaTheme="minorHAnsi" w:hAnsi="Arial" w:cs="Arial"/>
        </w:rPr>
        <w:t xml:space="preserve"> </w:t>
      </w:r>
      <w:r w:rsidRPr="0022088D">
        <w:rPr>
          <w:rFonts w:ascii="Arial" w:eastAsiaTheme="minorHAnsi" w:hAnsi="Arial" w:cs="Arial"/>
        </w:rPr>
        <w:t xml:space="preserve">must meet one of </w:t>
      </w:r>
      <w:r w:rsidR="00D07CB3">
        <w:rPr>
          <w:rFonts w:ascii="Arial" w:eastAsiaTheme="minorHAnsi" w:hAnsi="Arial" w:cs="Arial"/>
        </w:rPr>
        <w:t xml:space="preserve">four </w:t>
      </w:r>
      <w:r w:rsidRPr="0022088D">
        <w:rPr>
          <w:rFonts w:ascii="Arial" w:eastAsiaTheme="minorHAnsi" w:hAnsi="Arial" w:cs="Arial"/>
        </w:rPr>
        <w:t>environmental criteria</w:t>
      </w:r>
      <w:r>
        <w:rPr>
          <w:rFonts w:ascii="Arial" w:eastAsiaTheme="minorHAnsi" w:hAnsi="Arial" w:cs="Arial"/>
        </w:rPr>
        <w:t xml:space="preserve"> to </w:t>
      </w:r>
      <w:r w:rsidR="00D07CB3">
        <w:rPr>
          <w:rFonts w:ascii="Arial" w:eastAsiaTheme="minorHAnsi" w:hAnsi="Arial" w:cs="Arial"/>
        </w:rPr>
        <w:t>be eligible for the credits. These criteria are:</w:t>
      </w:r>
    </w:p>
    <w:p w:rsidR="0022088D" w:rsidRPr="0022088D" w:rsidRDefault="0022088D" w:rsidP="0022088D">
      <w:pPr>
        <w:pStyle w:val="NoSpacing"/>
        <w:rPr>
          <w:rFonts w:ascii="Arial" w:hAnsi="Arial" w:cs="Arial"/>
          <w:color w:val="auto"/>
          <w:sz w:val="22"/>
          <w:szCs w:val="22"/>
        </w:rPr>
      </w:pPr>
    </w:p>
    <w:p w:rsidR="0022088D" w:rsidRPr="007421F8" w:rsidRDefault="00D07CB3" w:rsidP="007421F8">
      <w:pPr>
        <w:pStyle w:val="ListParagraph"/>
        <w:numPr>
          <w:ilvl w:val="0"/>
          <w:numId w:val="28"/>
        </w:numPr>
        <w:autoSpaceDE w:val="0"/>
        <w:autoSpaceDN w:val="0"/>
        <w:adjustRightInd w:val="0"/>
        <w:spacing w:after="0" w:line="240" w:lineRule="auto"/>
        <w:ind w:left="714" w:hanging="357"/>
        <w:rPr>
          <w:rFonts w:ascii="Arial" w:eastAsiaTheme="minorHAnsi" w:hAnsi="Arial" w:cs="Arial"/>
        </w:rPr>
      </w:pPr>
      <w:r w:rsidRPr="007421F8">
        <w:rPr>
          <w:rFonts w:ascii="Arial" w:eastAsiaTheme="minorHAnsi" w:hAnsi="Arial" w:cs="Arial"/>
        </w:rPr>
        <w:t xml:space="preserve">the vehicle was </w:t>
      </w:r>
      <w:r w:rsidR="0022088D" w:rsidRPr="007421F8">
        <w:rPr>
          <w:rFonts w:ascii="Arial" w:eastAsiaTheme="minorHAnsi" w:hAnsi="Arial" w:cs="Arial"/>
        </w:rPr>
        <w:t>manufactured on or after 1 January 1996</w:t>
      </w:r>
      <w:r w:rsidRPr="007421F8">
        <w:rPr>
          <w:rFonts w:ascii="Arial" w:eastAsiaTheme="minorHAnsi" w:hAnsi="Arial" w:cs="Arial"/>
        </w:rPr>
        <w:t>, the commencement date of the ADR 70/00 (Euro 1 and equivalent) emission standards for all new heavy vehicles</w:t>
      </w:r>
    </w:p>
    <w:p w:rsidR="0022088D" w:rsidRPr="007421F8" w:rsidRDefault="00D07CB3" w:rsidP="007421F8">
      <w:pPr>
        <w:pStyle w:val="ListParagraph"/>
        <w:numPr>
          <w:ilvl w:val="0"/>
          <w:numId w:val="28"/>
        </w:numPr>
        <w:autoSpaceDE w:val="0"/>
        <w:autoSpaceDN w:val="0"/>
        <w:adjustRightInd w:val="0"/>
        <w:spacing w:after="0" w:line="240" w:lineRule="auto"/>
        <w:ind w:left="714" w:hanging="357"/>
        <w:rPr>
          <w:rFonts w:ascii="Arial" w:eastAsiaTheme="minorHAnsi" w:hAnsi="Arial" w:cs="Arial"/>
        </w:rPr>
      </w:pPr>
      <w:r w:rsidRPr="007421F8">
        <w:rPr>
          <w:rFonts w:ascii="Arial" w:eastAsiaTheme="minorHAnsi" w:hAnsi="Arial" w:cs="Arial"/>
        </w:rPr>
        <w:t xml:space="preserve">the vehicle </w:t>
      </w:r>
      <w:r w:rsidR="0022088D" w:rsidRPr="007421F8">
        <w:rPr>
          <w:rFonts w:ascii="Arial" w:eastAsiaTheme="minorHAnsi" w:hAnsi="Arial" w:cs="Arial"/>
        </w:rPr>
        <w:t>is registered in an audited maintenance program accredi</w:t>
      </w:r>
      <w:r w:rsidR="007421F8" w:rsidRPr="007421F8">
        <w:rPr>
          <w:rFonts w:ascii="Arial" w:eastAsiaTheme="minorHAnsi" w:hAnsi="Arial" w:cs="Arial"/>
        </w:rPr>
        <w:t xml:space="preserve">ted by the </w:t>
      </w:r>
      <w:r w:rsidRPr="007421F8">
        <w:rPr>
          <w:rFonts w:ascii="Arial" w:eastAsiaTheme="minorHAnsi" w:hAnsi="Arial" w:cs="Arial"/>
        </w:rPr>
        <w:t>Transport Secretary. The ATA’s TruckSafe program is accredited under this section</w:t>
      </w:r>
      <w:r w:rsidR="007238DA">
        <w:rPr>
          <w:rFonts w:ascii="Arial" w:eastAsiaTheme="minorHAnsi" w:hAnsi="Arial" w:cs="Arial"/>
        </w:rPr>
        <w:t>; the NHVAS Maintenance Management module is not currently accredited</w:t>
      </w:r>
      <w:r w:rsidR="007238DA">
        <w:rPr>
          <w:rStyle w:val="FootnoteReference"/>
          <w:rFonts w:ascii="Arial" w:eastAsiaTheme="minorHAnsi" w:hAnsi="Arial"/>
        </w:rPr>
        <w:footnoteReference w:id="6"/>
      </w:r>
    </w:p>
    <w:p w:rsidR="0022088D" w:rsidRPr="007421F8" w:rsidRDefault="00D07CB3" w:rsidP="007421F8">
      <w:pPr>
        <w:pStyle w:val="ListParagraph"/>
        <w:numPr>
          <w:ilvl w:val="0"/>
          <w:numId w:val="28"/>
        </w:numPr>
        <w:autoSpaceDE w:val="0"/>
        <w:autoSpaceDN w:val="0"/>
        <w:adjustRightInd w:val="0"/>
        <w:spacing w:after="0" w:line="240" w:lineRule="auto"/>
        <w:ind w:left="714" w:hanging="357"/>
        <w:rPr>
          <w:rFonts w:ascii="Arial" w:eastAsiaTheme="minorHAnsi" w:hAnsi="Arial" w:cs="Arial"/>
        </w:rPr>
      </w:pPr>
      <w:r w:rsidRPr="007421F8">
        <w:rPr>
          <w:rFonts w:ascii="Arial" w:eastAsiaTheme="minorHAnsi" w:hAnsi="Arial" w:cs="Arial"/>
        </w:rPr>
        <w:t xml:space="preserve">the vehicle </w:t>
      </w:r>
      <w:r w:rsidR="0022088D" w:rsidRPr="007421F8">
        <w:rPr>
          <w:rFonts w:ascii="Arial" w:eastAsiaTheme="minorHAnsi" w:hAnsi="Arial" w:cs="Arial"/>
        </w:rPr>
        <w:t>meets Rule 147A of the Australi</w:t>
      </w:r>
      <w:r w:rsidRPr="007421F8">
        <w:rPr>
          <w:rFonts w:ascii="Arial" w:eastAsiaTheme="minorHAnsi" w:hAnsi="Arial" w:cs="Arial"/>
        </w:rPr>
        <w:t>an Vehicle Standards Rules 1999</w:t>
      </w:r>
      <w:r w:rsidR="007421F8" w:rsidRPr="007421F8">
        <w:rPr>
          <w:rFonts w:ascii="Arial" w:eastAsiaTheme="minorHAnsi" w:hAnsi="Arial" w:cs="Arial"/>
        </w:rPr>
        <w:t xml:space="preserve"> (ie: it has passed a DT80 in-service emissions test within the last two years)</w:t>
      </w:r>
    </w:p>
    <w:p w:rsidR="0022088D" w:rsidRPr="007421F8" w:rsidRDefault="00D07CB3" w:rsidP="007421F8">
      <w:pPr>
        <w:pStyle w:val="ListParagraph"/>
        <w:numPr>
          <w:ilvl w:val="0"/>
          <w:numId w:val="28"/>
        </w:numPr>
        <w:autoSpaceDE w:val="0"/>
        <w:autoSpaceDN w:val="0"/>
        <w:adjustRightInd w:val="0"/>
        <w:spacing w:after="0" w:line="240" w:lineRule="auto"/>
        <w:ind w:left="714" w:hanging="357"/>
        <w:rPr>
          <w:rFonts w:ascii="Arial" w:hAnsi="Arial" w:cs="Arial"/>
        </w:rPr>
      </w:pPr>
      <w:r w:rsidRPr="007421F8">
        <w:rPr>
          <w:rFonts w:ascii="Arial" w:eastAsiaTheme="minorHAnsi" w:hAnsi="Arial" w:cs="Arial"/>
        </w:rPr>
        <w:lastRenderedPageBreak/>
        <w:t xml:space="preserve">the vehicle </w:t>
      </w:r>
      <w:r w:rsidR="0022088D" w:rsidRPr="007421F8">
        <w:rPr>
          <w:rFonts w:ascii="Arial" w:eastAsiaTheme="minorHAnsi" w:hAnsi="Arial" w:cs="Arial"/>
        </w:rPr>
        <w:t xml:space="preserve">complies with a maintenance schedule endorsed by </w:t>
      </w:r>
      <w:r w:rsidR="0022088D" w:rsidRPr="007421F8">
        <w:rPr>
          <w:rFonts w:ascii="Arial" w:hAnsi="Arial" w:cs="Arial"/>
        </w:rPr>
        <w:t>the Transport Secretary.</w:t>
      </w:r>
      <w:r w:rsidRPr="007421F8">
        <w:rPr>
          <w:rFonts w:ascii="Arial" w:hAnsi="Arial" w:cs="Arial"/>
        </w:rPr>
        <w:t xml:space="preserve"> </w:t>
      </w:r>
      <w:r w:rsidR="0060648F">
        <w:rPr>
          <w:rFonts w:ascii="Arial" w:hAnsi="Arial" w:cs="Arial"/>
        </w:rPr>
        <w:t>The endorsed maintenance schedule is not onerous.</w:t>
      </w:r>
      <w:r w:rsidR="0060648F">
        <w:rPr>
          <w:rStyle w:val="FootnoteReference"/>
          <w:rFonts w:ascii="Arial" w:hAnsi="Arial"/>
        </w:rPr>
        <w:footnoteReference w:id="7"/>
      </w:r>
    </w:p>
    <w:p w:rsidR="0022088D" w:rsidRPr="0022088D" w:rsidRDefault="0022088D" w:rsidP="0022088D">
      <w:pPr>
        <w:pStyle w:val="NoSpacing"/>
        <w:rPr>
          <w:rFonts w:ascii="Arial" w:hAnsi="Arial" w:cs="Arial"/>
          <w:color w:val="auto"/>
          <w:sz w:val="22"/>
          <w:szCs w:val="22"/>
        </w:rPr>
      </w:pPr>
    </w:p>
    <w:p w:rsidR="00C770EB" w:rsidRDefault="0022088D" w:rsidP="0022088D">
      <w:pPr>
        <w:pStyle w:val="NoSpacing"/>
        <w:rPr>
          <w:rFonts w:ascii="Arial" w:hAnsi="Arial" w:cs="Arial"/>
          <w:color w:val="auto"/>
          <w:sz w:val="22"/>
          <w:szCs w:val="22"/>
        </w:rPr>
      </w:pPr>
      <w:r w:rsidRPr="0022088D">
        <w:rPr>
          <w:rFonts w:ascii="Arial" w:hAnsi="Arial" w:cs="Arial"/>
          <w:color w:val="auto"/>
          <w:sz w:val="22"/>
          <w:szCs w:val="22"/>
        </w:rPr>
        <w:t xml:space="preserve">When the </w:t>
      </w:r>
      <w:r w:rsidR="009D6401" w:rsidRPr="009D6401">
        <w:rPr>
          <w:rFonts w:ascii="Arial" w:hAnsi="Arial" w:cs="Arial"/>
          <w:color w:val="auto"/>
          <w:sz w:val="22"/>
          <w:szCs w:val="22"/>
        </w:rPr>
        <w:t>Act</w:t>
      </w:r>
      <w:r w:rsidR="0060648F" w:rsidRPr="009D6401">
        <w:rPr>
          <w:rFonts w:ascii="Arial" w:hAnsi="Arial" w:cs="Arial"/>
          <w:color w:val="auto"/>
          <w:sz w:val="22"/>
          <w:szCs w:val="22"/>
        </w:rPr>
        <w:t xml:space="preserve"> </w:t>
      </w:r>
      <w:r w:rsidR="0060648F">
        <w:rPr>
          <w:rFonts w:ascii="Arial" w:hAnsi="Arial" w:cs="Arial"/>
          <w:color w:val="auto"/>
          <w:sz w:val="22"/>
          <w:szCs w:val="22"/>
        </w:rPr>
        <w:t>c</w:t>
      </w:r>
      <w:r w:rsidRPr="0022088D">
        <w:rPr>
          <w:rFonts w:ascii="Arial" w:hAnsi="Arial" w:cs="Arial"/>
          <w:color w:val="auto"/>
          <w:sz w:val="22"/>
          <w:szCs w:val="22"/>
        </w:rPr>
        <w:t>ame into force, 61 per cent of the trucks registered in Australia were manufactured before 1996</w:t>
      </w:r>
      <w:r w:rsidR="009D6401">
        <w:rPr>
          <w:rFonts w:ascii="Arial" w:hAnsi="Arial" w:cs="Arial"/>
          <w:color w:val="auto"/>
          <w:sz w:val="22"/>
          <w:szCs w:val="22"/>
        </w:rPr>
        <w:t>,</w:t>
      </w:r>
      <w:r w:rsidRPr="0022088D">
        <w:rPr>
          <w:rFonts w:ascii="Arial" w:hAnsi="Arial" w:cs="Arial"/>
          <w:color w:val="auto"/>
          <w:sz w:val="22"/>
          <w:szCs w:val="22"/>
        </w:rPr>
        <w:t xml:space="preserve"> and therefore had to meet one of criteria (b)-(d)</w:t>
      </w:r>
      <w:r w:rsidR="00A20F91">
        <w:rPr>
          <w:rFonts w:ascii="Arial" w:hAnsi="Arial" w:cs="Arial"/>
          <w:color w:val="auto"/>
          <w:sz w:val="22"/>
          <w:szCs w:val="22"/>
        </w:rPr>
        <w:t xml:space="preserve"> to be eligible</w:t>
      </w:r>
      <w:r w:rsidR="00641C1F">
        <w:rPr>
          <w:rFonts w:ascii="Arial" w:hAnsi="Arial" w:cs="Arial"/>
          <w:color w:val="auto"/>
          <w:sz w:val="22"/>
          <w:szCs w:val="22"/>
        </w:rPr>
        <w:t>.</w:t>
      </w:r>
      <w:r w:rsidR="00641C1F">
        <w:rPr>
          <w:rStyle w:val="FootnoteReference"/>
          <w:rFonts w:ascii="Arial" w:hAnsi="Arial"/>
          <w:color w:val="auto"/>
          <w:sz w:val="22"/>
          <w:szCs w:val="22"/>
        </w:rPr>
        <w:footnoteReference w:id="8"/>
      </w:r>
    </w:p>
    <w:p w:rsidR="00C770EB" w:rsidRDefault="00C770EB" w:rsidP="0022088D">
      <w:pPr>
        <w:pStyle w:val="NoSpacing"/>
        <w:rPr>
          <w:rFonts w:ascii="Arial" w:hAnsi="Arial" w:cs="Arial"/>
          <w:color w:val="auto"/>
          <w:sz w:val="22"/>
          <w:szCs w:val="22"/>
        </w:rPr>
      </w:pPr>
    </w:p>
    <w:p w:rsidR="0022088D" w:rsidRDefault="001F1EFF" w:rsidP="0022088D">
      <w:pPr>
        <w:pStyle w:val="NoSpacing"/>
        <w:rPr>
          <w:rFonts w:ascii="Arial" w:hAnsi="Arial" w:cs="Arial"/>
          <w:color w:val="auto"/>
          <w:sz w:val="22"/>
          <w:szCs w:val="22"/>
        </w:rPr>
      </w:pPr>
      <w:r>
        <w:rPr>
          <w:rFonts w:ascii="Arial" w:hAnsi="Arial" w:cs="Arial"/>
          <w:color w:val="auto"/>
          <w:sz w:val="22"/>
          <w:szCs w:val="22"/>
        </w:rPr>
        <w:t xml:space="preserve">Table 1 sets out the </w:t>
      </w:r>
      <w:r w:rsidR="00641C1F">
        <w:rPr>
          <w:rFonts w:ascii="Arial" w:hAnsi="Arial" w:cs="Arial"/>
          <w:color w:val="auto"/>
          <w:sz w:val="22"/>
          <w:szCs w:val="22"/>
        </w:rPr>
        <w:t xml:space="preserve">current </w:t>
      </w:r>
      <w:r>
        <w:rPr>
          <w:rFonts w:ascii="Arial" w:hAnsi="Arial" w:cs="Arial"/>
          <w:color w:val="auto"/>
          <w:sz w:val="22"/>
          <w:szCs w:val="22"/>
        </w:rPr>
        <w:t xml:space="preserve">age profile of Australia’s truck fleet. 33 per cent of the trucks in service </w:t>
      </w:r>
      <w:r w:rsidR="00C770EB">
        <w:rPr>
          <w:rFonts w:ascii="Arial" w:hAnsi="Arial" w:cs="Arial"/>
          <w:color w:val="auto"/>
          <w:sz w:val="22"/>
          <w:szCs w:val="22"/>
        </w:rPr>
        <w:t xml:space="preserve">were manufactured before 1996. </w:t>
      </w:r>
      <w:r>
        <w:rPr>
          <w:rFonts w:ascii="Arial" w:hAnsi="Arial" w:cs="Arial"/>
          <w:color w:val="auto"/>
          <w:sz w:val="22"/>
          <w:szCs w:val="22"/>
        </w:rPr>
        <w:t>As a result, t</w:t>
      </w:r>
      <w:r w:rsidR="00C770EB">
        <w:rPr>
          <w:rFonts w:ascii="Arial" w:hAnsi="Arial" w:cs="Arial"/>
          <w:color w:val="auto"/>
          <w:sz w:val="22"/>
          <w:szCs w:val="22"/>
        </w:rPr>
        <w:t>he majority of the trucks in Australia do not have to meet any maintenance requirement or test to be eligible to receive fuel tax credits.</w:t>
      </w:r>
      <w:r w:rsidR="0022088D" w:rsidRPr="0022088D">
        <w:rPr>
          <w:rFonts w:ascii="Arial" w:hAnsi="Arial" w:cs="Arial"/>
          <w:color w:val="auto"/>
          <w:sz w:val="22"/>
          <w:szCs w:val="22"/>
        </w:rPr>
        <w:t xml:space="preserve"> </w:t>
      </w:r>
    </w:p>
    <w:p w:rsidR="0022088D" w:rsidRDefault="0022088D" w:rsidP="0022088D">
      <w:pPr>
        <w:pStyle w:val="NoSpacing"/>
        <w:rPr>
          <w:rFonts w:ascii="Arial" w:hAnsi="Arial" w:cs="Arial"/>
          <w:color w:val="auto"/>
          <w:sz w:val="22"/>
          <w:szCs w:val="22"/>
        </w:rPr>
      </w:pPr>
    </w:p>
    <w:p w:rsidR="00B20E2E" w:rsidRDefault="00B20E2E" w:rsidP="0022088D">
      <w:pPr>
        <w:pStyle w:val="NoSpacing"/>
        <w:rPr>
          <w:rFonts w:ascii="Arial" w:hAnsi="Arial" w:cs="Arial"/>
          <w:color w:val="auto"/>
          <w:sz w:val="22"/>
          <w:szCs w:val="22"/>
        </w:rPr>
      </w:pPr>
    </w:p>
    <w:tbl>
      <w:tblPr>
        <w:tblW w:w="9660" w:type="dxa"/>
        <w:tblLook w:val="04A0" w:firstRow="1" w:lastRow="0" w:firstColumn="1" w:lastColumn="0" w:noHBand="0" w:noVBand="1"/>
      </w:tblPr>
      <w:tblGrid>
        <w:gridCol w:w="1600"/>
        <w:gridCol w:w="5660"/>
        <w:gridCol w:w="1396"/>
        <w:gridCol w:w="1004"/>
      </w:tblGrid>
      <w:tr w:rsidR="00BC1A81" w:rsidRPr="00B20E2E" w:rsidTr="007614E2">
        <w:trPr>
          <w:trHeight w:val="20"/>
        </w:trPr>
        <w:tc>
          <w:tcPr>
            <w:tcW w:w="9660" w:type="dxa"/>
            <w:gridSpan w:val="4"/>
            <w:tcBorders>
              <w:top w:val="nil"/>
              <w:left w:val="nil"/>
              <w:bottom w:val="single" w:sz="4" w:space="0" w:color="auto"/>
              <w:right w:val="nil"/>
            </w:tcBorders>
            <w:shd w:val="clear" w:color="auto" w:fill="auto"/>
            <w:noWrap/>
            <w:tcMar>
              <w:bottom w:w="108" w:type="dxa"/>
            </w:tcMar>
            <w:vAlign w:val="bottom"/>
          </w:tcPr>
          <w:p w:rsidR="00BC1A81" w:rsidRPr="00B20E2E" w:rsidRDefault="007614E2" w:rsidP="005C1E3C">
            <w:pPr>
              <w:rPr>
                <w:rFonts w:ascii="Arial" w:eastAsia="Times New Roman" w:hAnsi="Arial" w:cs="Arial"/>
                <w:b/>
                <w:bCs/>
                <w:color w:val="000000"/>
                <w:sz w:val="20"/>
                <w:szCs w:val="20"/>
                <w:lang w:eastAsia="en-AU"/>
              </w:rPr>
            </w:pPr>
            <w:r>
              <w:rPr>
                <w:rFonts w:ascii="Arial" w:hAnsi="Arial" w:cs="Arial"/>
                <w:b/>
                <w:bCs/>
                <w:sz w:val="20"/>
                <w:szCs w:val="20"/>
              </w:rPr>
              <w:t xml:space="preserve">Table 1: </w:t>
            </w:r>
            <w:r w:rsidR="005C1E3C" w:rsidRPr="005C1E3C">
              <w:rPr>
                <w:rFonts w:ascii="Arial" w:hAnsi="Arial" w:cs="Arial"/>
                <w:b/>
                <w:bCs/>
                <w:sz w:val="20"/>
                <w:szCs w:val="20"/>
              </w:rPr>
              <w:t xml:space="preserve">Age profile of the </w:t>
            </w:r>
            <w:r w:rsidR="005C1E3C">
              <w:rPr>
                <w:rFonts w:ascii="Arial" w:hAnsi="Arial" w:cs="Arial"/>
                <w:b/>
                <w:bCs/>
                <w:sz w:val="20"/>
                <w:szCs w:val="20"/>
              </w:rPr>
              <w:t>Australian truck fleet with GVM&gt;4.5t</w:t>
            </w:r>
          </w:p>
        </w:tc>
      </w:tr>
      <w:tr w:rsidR="00B20E2E" w:rsidRPr="00B20E2E" w:rsidTr="00BC1A81">
        <w:trPr>
          <w:trHeight w:val="20"/>
        </w:trPr>
        <w:tc>
          <w:tcPr>
            <w:tcW w:w="1600" w:type="dxa"/>
            <w:tcBorders>
              <w:top w:val="single" w:sz="4" w:space="0" w:color="auto"/>
              <w:left w:val="nil"/>
              <w:right w:val="nil"/>
            </w:tcBorders>
            <w:shd w:val="clear" w:color="auto" w:fill="auto"/>
            <w:noWrap/>
            <w:vAlign w:val="bottom"/>
            <w:hideMark/>
          </w:tcPr>
          <w:p w:rsidR="00B20E2E" w:rsidRPr="00B20E2E" w:rsidRDefault="00B20E2E" w:rsidP="00B20E2E">
            <w:pPr>
              <w:jc w:val="center"/>
              <w:rPr>
                <w:rFonts w:ascii="Arial" w:eastAsia="Times New Roman" w:hAnsi="Arial" w:cs="Arial"/>
                <w:b/>
                <w:bCs/>
                <w:color w:val="000000"/>
                <w:sz w:val="20"/>
                <w:szCs w:val="20"/>
                <w:lang w:eastAsia="en-AU"/>
              </w:rPr>
            </w:pPr>
            <w:r w:rsidRPr="00B20E2E">
              <w:rPr>
                <w:rFonts w:ascii="Arial" w:eastAsia="Times New Roman" w:hAnsi="Arial" w:cs="Arial"/>
                <w:b/>
                <w:bCs/>
                <w:color w:val="000000"/>
                <w:sz w:val="20"/>
                <w:szCs w:val="20"/>
                <w:lang w:eastAsia="en-AU"/>
              </w:rPr>
              <w:t>Model year</w:t>
            </w:r>
          </w:p>
        </w:tc>
        <w:tc>
          <w:tcPr>
            <w:tcW w:w="5660" w:type="dxa"/>
            <w:tcBorders>
              <w:top w:val="single" w:sz="4" w:space="0" w:color="auto"/>
              <w:left w:val="nil"/>
              <w:right w:val="nil"/>
            </w:tcBorders>
            <w:shd w:val="clear" w:color="auto" w:fill="auto"/>
            <w:noWrap/>
            <w:vAlign w:val="bottom"/>
            <w:hideMark/>
          </w:tcPr>
          <w:p w:rsidR="00B20E2E" w:rsidRPr="00B20E2E" w:rsidRDefault="00B20E2E" w:rsidP="00B20E2E">
            <w:pPr>
              <w:jc w:val="center"/>
              <w:rPr>
                <w:rFonts w:ascii="Arial" w:eastAsia="Times New Roman" w:hAnsi="Arial" w:cs="Arial"/>
                <w:b/>
                <w:bCs/>
                <w:color w:val="000000"/>
                <w:sz w:val="20"/>
                <w:szCs w:val="20"/>
                <w:lang w:eastAsia="en-AU"/>
              </w:rPr>
            </w:pPr>
            <w:r w:rsidRPr="00B20E2E">
              <w:rPr>
                <w:rFonts w:ascii="Arial" w:eastAsia="Times New Roman" w:hAnsi="Arial" w:cs="Arial"/>
                <w:b/>
                <w:bCs/>
                <w:color w:val="000000"/>
                <w:sz w:val="20"/>
                <w:szCs w:val="20"/>
                <w:lang w:eastAsia="en-AU"/>
              </w:rPr>
              <w:t>Standard</w:t>
            </w:r>
            <w:r w:rsidR="007614E2">
              <w:rPr>
                <w:rFonts w:ascii="Arial" w:eastAsia="Times New Roman" w:hAnsi="Arial" w:cs="Arial"/>
                <w:b/>
                <w:bCs/>
                <w:color w:val="000000"/>
                <w:sz w:val="20"/>
                <w:szCs w:val="20"/>
                <w:vertAlign w:val="superscript"/>
                <w:lang w:eastAsia="en-AU"/>
              </w:rPr>
              <w:t>a</w:t>
            </w:r>
          </w:p>
        </w:tc>
        <w:tc>
          <w:tcPr>
            <w:tcW w:w="2400" w:type="dxa"/>
            <w:gridSpan w:val="2"/>
            <w:tcBorders>
              <w:top w:val="single" w:sz="4" w:space="0" w:color="auto"/>
              <w:left w:val="nil"/>
              <w:right w:val="nil"/>
            </w:tcBorders>
            <w:shd w:val="clear" w:color="auto" w:fill="auto"/>
            <w:noWrap/>
            <w:vAlign w:val="bottom"/>
            <w:hideMark/>
          </w:tcPr>
          <w:p w:rsidR="00B20E2E" w:rsidRPr="00B20E2E" w:rsidRDefault="00B20E2E" w:rsidP="00B20E2E">
            <w:pPr>
              <w:jc w:val="center"/>
              <w:rPr>
                <w:rFonts w:ascii="Arial" w:eastAsia="Times New Roman" w:hAnsi="Arial" w:cs="Arial"/>
                <w:b/>
                <w:bCs/>
                <w:color w:val="000000"/>
                <w:sz w:val="20"/>
                <w:szCs w:val="20"/>
                <w:lang w:eastAsia="en-AU"/>
              </w:rPr>
            </w:pPr>
            <w:r w:rsidRPr="00B20E2E">
              <w:rPr>
                <w:rFonts w:ascii="Arial" w:eastAsia="Times New Roman" w:hAnsi="Arial" w:cs="Arial"/>
                <w:b/>
                <w:bCs/>
                <w:color w:val="000000"/>
                <w:sz w:val="20"/>
                <w:szCs w:val="20"/>
                <w:lang w:eastAsia="en-AU"/>
              </w:rPr>
              <w:t>2016 fleet</w:t>
            </w:r>
          </w:p>
        </w:tc>
      </w:tr>
      <w:tr w:rsidR="00B20E2E" w:rsidRPr="00B20E2E" w:rsidTr="00BC1A81">
        <w:trPr>
          <w:trHeight w:val="20"/>
        </w:trPr>
        <w:tc>
          <w:tcPr>
            <w:tcW w:w="1600" w:type="dxa"/>
            <w:tcBorders>
              <w:left w:val="nil"/>
              <w:bottom w:val="single" w:sz="4" w:space="0" w:color="auto"/>
              <w:right w:val="nil"/>
            </w:tcBorders>
            <w:shd w:val="clear" w:color="auto" w:fill="auto"/>
            <w:noWrap/>
            <w:vAlign w:val="bottom"/>
            <w:hideMark/>
          </w:tcPr>
          <w:p w:rsidR="00B20E2E" w:rsidRPr="00B20E2E" w:rsidRDefault="00B20E2E" w:rsidP="00B20E2E">
            <w:pPr>
              <w:jc w:val="center"/>
              <w:rPr>
                <w:rFonts w:ascii="Arial" w:eastAsia="Times New Roman" w:hAnsi="Arial" w:cs="Arial"/>
                <w:b/>
                <w:bCs/>
                <w:color w:val="000000"/>
                <w:sz w:val="20"/>
                <w:szCs w:val="20"/>
                <w:lang w:eastAsia="en-AU"/>
              </w:rPr>
            </w:pPr>
          </w:p>
        </w:tc>
        <w:tc>
          <w:tcPr>
            <w:tcW w:w="5660" w:type="dxa"/>
            <w:tcBorders>
              <w:left w:val="nil"/>
              <w:bottom w:val="single" w:sz="4" w:space="0" w:color="auto"/>
              <w:right w:val="nil"/>
            </w:tcBorders>
            <w:shd w:val="clear" w:color="auto" w:fill="auto"/>
            <w:noWrap/>
            <w:vAlign w:val="bottom"/>
            <w:hideMark/>
          </w:tcPr>
          <w:p w:rsidR="00B20E2E" w:rsidRPr="00B20E2E" w:rsidRDefault="00B20E2E" w:rsidP="00B20E2E">
            <w:pPr>
              <w:jc w:val="center"/>
              <w:rPr>
                <w:rFonts w:ascii="Arial" w:eastAsia="Times New Roman" w:hAnsi="Arial" w:cs="Arial"/>
                <w:sz w:val="20"/>
                <w:szCs w:val="20"/>
                <w:lang w:eastAsia="en-AU"/>
              </w:rPr>
            </w:pPr>
          </w:p>
        </w:tc>
        <w:tc>
          <w:tcPr>
            <w:tcW w:w="1396" w:type="dxa"/>
            <w:tcBorders>
              <w:left w:val="nil"/>
              <w:bottom w:val="single" w:sz="4" w:space="0" w:color="auto"/>
              <w:right w:val="nil"/>
            </w:tcBorders>
            <w:shd w:val="clear" w:color="auto" w:fill="auto"/>
            <w:noWrap/>
            <w:vAlign w:val="bottom"/>
            <w:hideMark/>
          </w:tcPr>
          <w:p w:rsidR="00B20E2E" w:rsidRPr="00B20E2E" w:rsidRDefault="00B20E2E" w:rsidP="00B20E2E">
            <w:pPr>
              <w:jc w:val="right"/>
              <w:rPr>
                <w:rFonts w:ascii="Arial" w:eastAsia="Times New Roman" w:hAnsi="Arial" w:cs="Arial"/>
                <w:i/>
                <w:iCs/>
                <w:color w:val="000000"/>
                <w:sz w:val="20"/>
                <w:szCs w:val="20"/>
                <w:lang w:eastAsia="en-AU"/>
              </w:rPr>
            </w:pPr>
            <w:r w:rsidRPr="00B20E2E">
              <w:rPr>
                <w:rFonts w:ascii="Arial" w:eastAsia="Times New Roman" w:hAnsi="Arial" w:cs="Arial"/>
                <w:i/>
                <w:iCs/>
                <w:color w:val="000000"/>
                <w:sz w:val="20"/>
                <w:szCs w:val="20"/>
                <w:lang w:eastAsia="en-AU"/>
              </w:rPr>
              <w:t>Number</w:t>
            </w:r>
          </w:p>
        </w:tc>
        <w:tc>
          <w:tcPr>
            <w:tcW w:w="1004" w:type="dxa"/>
            <w:tcBorders>
              <w:left w:val="nil"/>
              <w:bottom w:val="single" w:sz="4" w:space="0" w:color="auto"/>
              <w:right w:val="nil"/>
            </w:tcBorders>
            <w:shd w:val="clear" w:color="auto" w:fill="auto"/>
            <w:noWrap/>
            <w:vAlign w:val="bottom"/>
            <w:hideMark/>
          </w:tcPr>
          <w:p w:rsidR="00B20E2E" w:rsidRPr="00B20E2E" w:rsidRDefault="00B20E2E" w:rsidP="00B20E2E">
            <w:pPr>
              <w:jc w:val="right"/>
              <w:rPr>
                <w:rFonts w:ascii="Arial" w:eastAsia="Times New Roman" w:hAnsi="Arial" w:cs="Arial"/>
                <w:i/>
                <w:iCs/>
                <w:color w:val="000000"/>
                <w:sz w:val="20"/>
                <w:szCs w:val="20"/>
                <w:lang w:eastAsia="en-AU"/>
              </w:rPr>
            </w:pPr>
            <w:r w:rsidRPr="00B20E2E">
              <w:rPr>
                <w:rFonts w:ascii="Arial" w:eastAsia="Times New Roman" w:hAnsi="Arial" w:cs="Arial"/>
                <w:i/>
                <w:iCs/>
                <w:color w:val="000000"/>
                <w:sz w:val="20"/>
                <w:szCs w:val="20"/>
                <w:lang w:eastAsia="en-AU"/>
              </w:rPr>
              <w:t>Per cent</w:t>
            </w:r>
          </w:p>
        </w:tc>
      </w:tr>
      <w:tr w:rsidR="00B20E2E" w:rsidRPr="00B20E2E" w:rsidTr="00BC1A81">
        <w:trPr>
          <w:trHeight w:val="20"/>
        </w:trPr>
        <w:tc>
          <w:tcPr>
            <w:tcW w:w="1600" w:type="dxa"/>
            <w:tcBorders>
              <w:top w:val="single" w:sz="4" w:space="0" w:color="auto"/>
              <w:left w:val="nil"/>
              <w:bottom w:val="nil"/>
              <w:right w:val="nil"/>
            </w:tcBorders>
            <w:shd w:val="clear" w:color="auto" w:fill="auto"/>
            <w:noWrap/>
            <w:vAlign w:val="bottom"/>
            <w:hideMark/>
          </w:tcPr>
          <w:p w:rsidR="00B20E2E" w:rsidRPr="00B20E2E" w:rsidRDefault="00B20E2E" w:rsidP="00B20E2E">
            <w:pPr>
              <w:rPr>
                <w:rFonts w:ascii="Arial" w:eastAsia="Times New Roman" w:hAnsi="Arial" w:cs="Arial"/>
                <w:color w:val="000000"/>
                <w:sz w:val="20"/>
                <w:szCs w:val="20"/>
                <w:lang w:eastAsia="en-AU"/>
              </w:rPr>
            </w:pPr>
            <w:r w:rsidRPr="00B20E2E">
              <w:rPr>
                <w:rFonts w:ascii="Arial" w:eastAsia="Times New Roman" w:hAnsi="Arial" w:cs="Arial"/>
                <w:color w:val="000000"/>
                <w:sz w:val="20"/>
                <w:szCs w:val="20"/>
                <w:lang w:eastAsia="en-AU"/>
              </w:rPr>
              <w:t>to 1975</w:t>
            </w:r>
          </w:p>
        </w:tc>
        <w:tc>
          <w:tcPr>
            <w:tcW w:w="5660" w:type="dxa"/>
            <w:tcBorders>
              <w:top w:val="single" w:sz="4" w:space="0" w:color="auto"/>
              <w:left w:val="nil"/>
              <w:bottom w:val="nil"/>
              <w:right w:val="nil"/>
            </w:tcBorders>
            <w:shd w:val="clear" w:color="auto" w:fill="auto"/>
            <w:noWrap/>
            <w:vAlign w:val="bottom"/>
            <w:hideMark/>
          </w:tcPr>
          <w:p w:rsidR="00B20E2E" w:rsidRPr="00B20E2E" w:rsidRDefault="007614E2" w:rsidP="00B20E2E">
            <w:p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w:t>
            </w:r>
            <w:r w:rsidR="00B20E2E" w:rsidRPr="00B20E2E">
              <w:rPr>
                <w:rFonts w:ascii="Arial" w:eastAsia="Times New Roman" w:hAnsi="Arial" w:cs="Arial"/>
                <w:color w:val="000000"/>
                <w:sz w:val="20"/>
                <w:szCs w:val="20"/>
                <w:lang w:eastAsia="en-AU"/>
              </w:rPr>
              <w:t>o standard</w:t>
            </w:r>
            <w:r>
              <w:rPr>
                <w:rFonts w:ascii="Arial" w:eastAsia="Times New Roman" w:hAnsi="Arial" w:cs="Arial"/>
                <w:color w:val="000000"/>
                <w:sz w:val="20"/>
                <w:szCs w:val="20"/>
                <w:lang w:eastAsia="en-AU"/>
              </w:rPr>
              <w:t>s</w:t>
            </w:r>
            <w:r w:rsidR="00B20E2E" w:rsidRPr="00B20E2E">
              <w:rPr>
                <w:rFonts w:ascii="Arial" w:eastAsia="Times New Roman" w:hAnsi="Arial" w:cs="Arial"/>
                <w:color w:val="000000"/>
                <w:sz w:val="20"/>
                <w:szCs w:val="20"/>
                <w:lang w:eastAsia="en-AU"/>
              </w:rPr>
              <w:t xml:space="preserve"> in place</w:t>
            </w:r>
          </w:p>
        </w:tc>
        <w:tc>
          <w:tcPr>
            <w:tcW w:w="1396" w:type="dxa"/>
            <w:tcBorders>
              <w:top w:val="single" w:sz="4" w:space="0" w:color="auto"/>
              <w:left w:val="nil"/>
              <w:bottom w:val="nil"/>
              <w:right w:val="nil"/>
            </w:tcBorders>
            <w:shd w:val="clear" w:color="auto" w:fill="auto"/>
            <w:noWrap/>
            <w:vAlign w:val="bottom"/>
            <w:hideMark/>
          </w:tcPr>
          <w:p w:rsidR="00B20E2E" w:rsidRPr="00B20E2E" w:rsidRDefault="00B20E2E" w:rsidP="00B20E2E">
            <w:pPr>
              <w:rPr>
                <w:rFonts w:ascii="Arial" w:eastAsia="Times New Roman" w:hAnsi="Arial" w:cs="Arial"/>
                <w:color w:val="000000"/>
                <w:sz w:val="20"/>
                <w:szCs w:val="20"/>
                <w:lang w:eastAsia="en-AU"/>
              </w:rPr>
            </w:pPr>
            <w:r w:rsidRPr="00B20E2E">
              <w:rPr>
                <w:rFonts w:ascii="Arial" w:eastAsia="Times New Roman" w:hAnsi="Arial" w:cs="Arial"/>
                <w:color w:val="000000"/>
                <w:sz w:val="20"/>
                <w:szCs w:val="20"/>
                <w:lang w:eastAsia="en-AU"/>
              </w:rPr>
              <w:t xml:space="preserve">        23,740 </w:t>
            </w:r>
          </w:p>
        </w:tc>
        <w:tc>
          <w:tcPr>
            <w:tcW w:w="1004" w:type="dxa"/>
            <w:tcBorders>
              <w:top w:val="single" w:sz="4" w:space="0" w:color="auto"/>
              <w:left w:val="nil"/>
              <w:bottom w:val="nil"/>
              <w:right w:val="nil"/>
            </w:tcBorders>
            <w:shd w:val="clear" w:color="auto" w:fill="auto"/>
            <w:noWrap/>
            <w:vAlign w:val="bottom"/>
            <w:hideMark/>
          </w:tcPr>
          <w:p w:rsidR="00B20E2E" w:rsidRPr="00B20E2E" w:rsidRDefault="00B20E2E" w:rsidP="00B20E2E">
            <w:pPr>
              <w:jc w:val="right"/>
              <w:rPr>
                <w:rFonts w:ascii="Arial" w:eastAsia="Times New Roman" w:hAnsi="Arial" w:cs="Arial"/>
                <w:color w:val="000000"/>
                <w:sz w:val="20"/>
                <w:szCs w:val="20"/>
                <w:lang w:eastAsia="en-AU"/>
              </w:rPr>
            </w:pPr>
            <w:r w:rsidRPr="00B20E2E">
              <w:rPr>
                <w:rFonts w:ascii="Arial" w:eastAsia="Times New Roman" w:hAnsi="Arial" w:cs="Arial"/>
                <w:color w:val="000000"/>
                <w:sz w:val="20"/>
                <w:szCs w:val="20"/>
                <w:lang w:eastAsia="en-AU"/>
              </w:rPr>
              <w:t>5</w:t>
            </w:r>
          </w:p>
        </w:tc>
      </w:tr>
      <w:tr w:rsidR="00B20E2E" w:rsidRPr="00B20E2E" w:rsidTr="00BC1A81">
        <w:trPr>
          <w:trHeight w:val="20"/>
        </w:trPr>
        <w:tc>
          <w:tcPr>
            <w:tcW w:w="1600" w:type="dxa"/>
            <w:tcBorders>
              <w:top w:val="nil"/>
              <w:left w:val="nil"/>
              <w:bottom w:val="nil"/>
              <w:right w:val="nil"/>
            </w:tcBorders>
            <w:shd w:val="clear" w:color="auto" w:fill="auto"/>
            <w:noWrap/>
            <w:vAlign w:val="bottom"/>
            <w:hideMark/>
          </w:tcPr>
          <w:p w:rsidR="00B20E2E" w:rsidRPr="00B20E2E" w:rsidRDefault="00B20E2E" w:rsidP="00B20E2E">
            <w:pPr>
              <w:rPr>
                <w:rFonts w:ascii="Arial" w:eastAsia="Times New Roman" w:hAnsi="Arial" w:cs="Arial"/>
                <w:color w:val="000000"/>
                <w:sz w:val="20"/>
                <w:szCs w:val="20"/>
                <w:lang w:eastAsia="en-AU"/>
              </w:rPr>
            </w:pPr>
            <w:r w:rsidRPr="00B20E2E">
              <w:rPr>
                <w:rFonts w:ascii="Arial" w:eastAsia="Times New Roman" w:hAnsi="Arial" w:cs="Arial"/>
                <w:color w:val="000000"/>
                <w:sz w:val="20"/>
                <w:szCs w:val="20"/>
                <w:lang w:eastAsia="en-AU"/>
              </w:rPr>
              <w:t>1976-1996</w:t>
            </w:r>
          </w:p>
        </w:tc>
        <w:tc>
          <w:tcPr>
            <w:tcW w:w="5660" w:type="dxa"/>
            <w:tcBorders>
              <w:top w:val="nil"/>
              <w:left w:val="nil"/>
              <w:bottom w:val="nil"/>
              <w:right w:val="nil"/>
            </w:tcBorders>
            <w:shd w:val="clear" w:color="auto" w:fill="auto"/>
            <w:noWrap/>
            <w:vAlign w:val="bottom"/>
            <w:hideMark/>
          </w:tcPr>
          <w:p w:rsidR="00B20E2E" w:rsidRPr="00B20E2E" w:rsidRDefault="00B20E2E" w:rsidP="00B20E2E">
            <w:pPr>
              <w:rPr>
                <w:rFonts w:ascii="Arial" w:eastAsia="Times New Roman" w:hAnsi="Arial" w:cs="Arial"/>
                <w:color w:val="000000"/>
                <w:sz w:val="20"/>
                <w:szCs w:val="20"/>
                <w:lang w:eastAsia="en-AU"/>
              </w:rPr>
            </w:pPr>
            <w:r w:rsidRPr="00B20E2E">
              <w:rPr>
                <w:rFonts w:ascii="Arial" w:eastAsia="Times New Roman" w:hAnsi="Arial" w:cs="Arial"/>
                <w:color w:val="000000"/>
                <w:sz w:val="20"/>
                <w:szCs w:val="20"/>
                <w:lang w:eastAsia="en-AU"/>
              </w:rPr>
              <w:t>Smoke only from 1-Jul-76 (</w:t>
            </w:r>
            <w:r w:rsidRPr="00B20E2E">
              <w:rPr>
                <w:rFonts w:ascii="Arial" w:eastAsia="Times New Roman" w:hAnsi="Arial" w:cs="Arial"/>
                <w:sz w:val="20"/>
                <w:szCs w:val="20"/>
                <w:lang w:eastAsia="en-AU"/>
              </w:rPr>
              <w:t>ADR30, 30/00 and 30/01</w:t>
            </w:r>
            <w:r w:rsidRPr="00B20E2E">
              <w:rPr>
                <w:rFonts w:ascii="Arial" w:eastAsia="Times New Roman" w:hAnsi="Arial" w:cs="Arial"/>
                <w:color w:val="000000"/>
                <w:sz w:val="20"/>
                <w:szCs w:val="20"/>
                <w:lang w:eastAsia="en-AU"/>
              </w:rPr>
              <w:t>)</w:t>
            </w:r>
          </w:p>
        </w:tc>
        <w:tc>
          <w:tcPr>
            <w:tcW w:w="1396" w:type="dxa"/>
            <w:tcBorders>
              <w:top w:val="nil"/>
              <w:left w:val="nil"/>
              <w:bottom w:val="nil"/>
              <w:right w:val="nil"/>
            </w:tcBorders>
            <w:shd w:val="clear" w:color="auto" w:fill="auto"/>
            <w:noWrap/>
            <w:vAlign w:val="bottom"/>
            <w:hideMark/>
          </w:tcPr>
          <w:p w:rsidR="00B20E2E" w:rsidRPr="00B20E2E" w:rsidRDefault="00B20E2E" w:rsidP="00B20E2E">
            <w:pPr>
              <w:rPr>
                <w:rFonts w:ascii="Arial" w:eastAsia="Times New Roman" w:hAnsi="Arial" w:cs="Arial"/>
                <w:color w:val="000000"/>
                <w:sz w:val="20"/>
                <w:szCs w:val="20"/>
                <w:lang w:eastAsia="en-AU"/>
              </w:rPr>
            </w:pPr>
            <w:r w:rsidRPr="00B20E2E">
              <w:rPr>
                <w:rFonts w:ascii="Arial" w:eastAsia="Times New Roman" w:hAnsi="Arial" w:cs="Arial"/>
                <w:color w:val="000000"/>
                <w:sz w:val="20"/>
                <w:szCs w:val="20"/>
                <w:lang w:eastAsia="en-AU"/>
              </w:rPr>
              <w:t xml:space="preserve">      135,846 </w:t>
            </w:r>
          </w:p>
        </w:tc>
        <w:tc>
          <w:tcPr>
            <w:tcW w:w="1004" w:type="dxa"/>
            <w:tcBorders>
              <w:top w:val="nil"/>
              <w:left w:val="nil"/>
              <w:bottom w:val="nil"/>
              <w:right w:val="nil"/>
            </w:tcBorders>
            <w:shd w:val="clear" w:color="auto" w:fill="auto"/>
            <w:noWrap/>
            <w:vAlign w:val="bottom"/>
            <w:hideMark/>
          </w:tcPr>
          <w:p w:rsidR="00B20E2E" w:rsidRPr="00B20E2E" w:rsidRDefault="00B20E2E" w:rsidP="00B20E2E">
            <w:pPr>
              <w:jc w:val="right"/>
              <w:rPr>
                <w:rFonts w:ascii="Arial" w:eastAsia="Times New Roman" w:hAnsi="Arial" w:cs="Arial"/>
                <w:color w:val="000000"/>
                <w:sz w:val="20"/>
                <w:szCs w:val="20"/>
                <w:lang w:eastAsia="en-AU"/>
              </w:rPr>
            </w:pPr>
            <w:r w:rsidRPr="00B20E2E">
              <w:rPr>
                <w:rFonts w:ascii="Arial" w:eastAsia="Times New Roman" w:hAnsi="Arial" w:cs="Arial"/>
                <w:color w:val="000000"/>
                <w:sz w:val="20"/>
                <w:szCs w:val="20"/>
                <w:lang w:eastAsia="en-AU"/>
              </w:rPr>
              <w:t>28</w:t>
            </w:r>
          </w:p>
        </w:tc>
      </w:tr>
      <w:tr w:rsidR="00B20E2E" w:rsidRPr="00B20E2E" w:rsidTr="00BC1A81">
        <w:trPr>
          <w:trHeight w:val="20"/>
        </w:trPr>
        <w:tc>
          <w:tcPr>
            <w:tcW w:w="1600" w:type="dxa"/>
            <w:tcBorders>
              <w:top w:val="nil"/>
              <w:left w:val="nil"/>
              <w:bottom w:val="nil"/>
              <w:right w:val="nil"/>
            </w:tcBorders>
            <w:shd w:val="clear" w:color="auto" w:fill="auto"/>
            <w:noWrap/>
            <w:vAlign w:val="bottom"/>
            <w:hideMark/>
          </w:tcPr>
          <w:p w:rsidR="00B20E2E" w:rsidRPr="00B20E2E" w:rsidRDefault="00B20E2E" w:rsidP="00B20E2E">
            <w:pPr>
              <w:rPr>
                <w:rFonts w:ascii="Arial" w:eastAsia="Times New Roman" w:hAnsi="Arial" w:cs="Arial"/>
                <w:color w:val="000000"/>
                <w:sz w:val="20"/>
                <w:szCs w:val="20"/>
                <w:lang w:eastAsia="en-AU"/>
              </w:rPr>
            </w:pPr>
            <w:r w:rsidRPr="00B20E2E">
              <w:rPr>
                <w:rFonts w:ascii="Arial" w:eastAsia="Times New Roman" w:hAnsi="Arial" w:cs="Arial"/>
                <w:color w:val="000000"/>
                <w:sz w:val="20"/>
                <w:szCs w:val="20"/>
                <w:lang w:eastAsia="en-AU"/>
              </w:rPr>
              <w:t>1996-2002</w:t>
            </w:r>
          </w:p>
        </w:tc>
        <w:tc>
          <w:tcPr>
            <w:tcW w:w="5660" w:type="dxa"/>
            <w:tcBorders>
              <w:top w:val="nil"/>
              <w:left w:val="nil"/>
              <w:bottom w:val="nil"/>
              <w:right w:val="nil"/>
            </w:tcBorders>
            <w:shd w:val="clear" w:color="auto" w:fill="auto"/>
            <w:noWrap/>
            <w:vAlign w:val="bottom"/>
            <w:hideMark/>
          </w:tcPr>
          <w:p w:rsidR="00B20E2E" w:rsidRPr="00B20E2E" w:rsidRDefault="00B20E2E" w:rsidP="00B20E2E">
            <w:pPr>
              <w:rPr>
                <w:rFonts w:ascii="Arial" w:eastAsia="Times New Roman" w:hAnsi="Arial" w:cs="Arial"/>
                <w:color w:val="000000"/>
                <w:sz w:val="20"/>
                <w:szCs w:val="20"/>
                <w:lang w:eastAsia="en-AU"/>
              </w:rPr>
            </w:pPr>
            <w:r w:rsidRPr="00B20E2E">
              <w:rPr>
                <w:rFonts w:ascii="Arial" w:eastAsia="Times New Roman" w:hAnsi="Arial" w:cs="Arial"/>
                <w:color w:val="000000"/>
                <w:sz w:val="20"/>
                <w:szCs w:val="20"/>
                <w:lang w:eastAsia="en-AU"/>
              </w:rPr>
              <w:t>ADR70/00 (Euro 1, US EPA 91, Japan 94)</w:t>
            </w:r>
          </w:p>
        </w:tc>
        <w:tc>
          <w:tcPr>
            <w:tcW w:w="1396" w:type="dxa"/>
            <w:tcBorders>
              <w:top w:val="nil"/>
              <w:left w:val="nil"/>
              <w:bottom w:val="nil"/>
              <w:right w:val="nil"/>
            </w:tcBorders>
            <w:shd w:val="clear" w:color="auto" w:fill="auto"/>
            <w:noWrap/>
            <w:vAlign w:val="bottom"/>
            <w:hideMark/>
          </w:tcPr>
          <w:p w:rsidR="00B20E2E" w:rsidRPr="00B20E2E" w:rsidRDefault="00B20E2E" w:rsidP="00B20E2E">
            <w:pPr>
              <w:rPr>
                <w:rFonts w:ascii="Arial" w:eastAsia="Times New Roman" w:hAnsi="Arial" w:cs="Arial"/>
                <w:color w:val="000000"/>
                <w:sz w:val="20"/>
                <w:szCs w:val="20"/>
                <w:lang w:eastAsia="en-AU"/>
              </w:rPr>
            </w:pPr>
            <w:r w:rsidRPr="00B20E2E">
              <w:rPr>
                <w:rFonts w:ascii="Arial" w:eastAsia="Times New Roman" w:hAnsi="Arial" w:cs="Arial"/>
                <w:color w:val="000000"/>
                <w:sz w:val="20"/>
                <w:szCs w:val="20"/>
                <w:lang w:eastAsia="en-AU"/>
              </w:rPr>
              <w:t xml:space="preserve">        74,831 </w:t>
            </w:r>
          </w:p>
        </w:tc>
        <w:tc>
          <w:tcPr>
            <w:tcW w:w="1004" w:type="dxa"/>
            <w:tcBorders>
              <w:top w:val="nil"/>
              <w:left w:val="nil"/>
              <w:bottom w:val="nil"/>
              <w:right w:val="nil"/>
            </w:tcBorders>
            <w:shd w:val="clear" w:color="auto" w:fill="auto"/>
            <w:noWrap/>
            <w:vAlign w:val="bottom"/>
            <w:hideMark/>
          </w:tcPr>
          <w:p w:rsidR="00B20E2E" w:rsidRPr="00B20E2E" w:rsidRDefault="00B20E2E" w:rsidP="00B20E2E">
            <w:pPr>
              <w:jc w:val="right"/>
              <w:rPr>
                <w:rFonts w:ascii="Arial" w:eastAsia="Times New Roman" w:hAnsi="Arial" w:cs="Arial"/>
                <w:color w:val="000000"/>
                <w:sz w:val="20"/>
                <w:szCs w:val="20"/>
                <w:lang w:eastAsia="en-AU"/>
              </w:rPr>
            </w:pPr>
            <w:r w:rsidRPr="00B20E2E">
              <w:rPr>
                <w:rFonts w:ascii="Arial" w:eastAsia="Times New Roman" w:hAnsi="Arial" w:cs="Arial"/>
                <w:color w:val="000000"/>
                <w:sz w:val="20"/>
                <w:szCs w:val="20"/>
                <w:lang w:eastAsia="en-AU"/>
              </w:rPr>
              <w:t>15</w:t>
            </w:r>
          </w:p>
        </w:tc>
      </w:tr>
      <w:tr w:rsidR="00B20E2E" w:rsidRPr="00B20E2E" w:rsidTr="00BC1A81">
        <w:trPr>
          <w:trHeight w:val="20"/>
        </w:trPr>
        <w:tc>
          <w:tcPr>
            <w:tcW w:w="1600" w:type="dxa"/>
            <w:tcBorders>
              <w:top w:val="nil"/>
              <w:left w:val="nil"/>
              <w:bottom w:val="nil"/>
              <w:right w:val="nil"/>
            </w:tcBorders>
            <w:shd w:val="clear" w:color="auto" w:fill="auto"/>
            <w:noWrap/>
            <w:vAlign w:val="bottom"/>
            <w:hideMark/>
          </w:tcPr>
          <w:p w:rsidR="00B20E2E" w:rsidRPr="00B20E2E" w:rsidRDefault="00B20E2E" w:rsidP="00B20E2E">
            <w:pPr>
              <w:rPr>
                <w:rFonts w:ascii="Arial" w:eastAsia="Times New Roman" w:hAnsi="Arial" w:cs="Arial"/>
                <w:color w:val="000000"/>
                <w:sz w:val="20"/>
                <w:szCs w:val="20"/>
                <w:lang w:eastAsia="en-AU"/>
              </w:rPr>
            </w:pPr>
            <w:r w:rsidRPr="00B20E2E">
              <w:rPr>
                <w:rFonts w:ascii="Arial" w:eastAsia="Times New Roman" w:hAnsi="Arial" w:cs="Arial"/>
                <w:color w:val="000000"/>
                <w:sz w:val="20"/>
                <w:szCs w:val="20"/>
                <w:lang w:eastAsia="en-AU"/>
              </w:rPr>
              <w:t>2003-2007</w:t>
            </w:r>
          </w:p>
        </w:tc>
        <w:tc>
          <w:tcPr>
            <w:tcW w:w="5660" w:type="dxa"/>
            <w:tcBorders>
              <w:top w:val="nil"/>
              <w:left w:val="nil"/>
              <w:bottom w:val="nil"/>
              <w:right w:val="nil"/>
            </w:tcBorders>
            <w:shd w:val="clear" w:color="auto" w:fill="auto"/>
            <w:noWrap/>
            <w:vAlign w:val="bottom"/>
            <w:hideMark/>
          </w:tcPr>
          <w:p w:rsidR="00B20E2E" w:rsidRPr="00B20E2E" w:rsidRDefault="00B20E2E" w:rsidP="00B20E2E">
            <w:pPr>
              <w:rPr>
                <w:rFonts w:ascii="Arial" w:eastAsia="Times New Roman" w:hAnsi="Arial" w:cs="Arial"/>
                <w:color w:val="000000"/>
                <w:sz w:val="20"/>
                <w:szCs w:val="20"/>
                <w:lang w:eastAsia="en-AU"/>
              </w:rPr>
            </w:pPr>
            <w:r w:rsidRPr="00B20E2E">
              <w:rPr>
                <w:rFonts w:ascii="Arial" w:eastAsia="Times New Roman" w:hAnsi="Arial" w:cs="Arial"/>
                <w:color w:val="000000"/>
                <w:sz w:val="20"/>
                <w:szCs w:val="20"/>
                <w:lang w:eastAsia="en-AU"/>
              </w:rPr>
              <w:t>ADR80/00 (Euro III, US EPA 98)</w:t>
            </w:r>
          </w:p>
        </w:tc>
        <w:tc>
          <w:tcPr>
            <w:tcW w:w="1396" w:type="dxa"/>
            <w:tcBorders>
              <w:top w:val="nil"/>
              <w:left w:val="nil"/>
              <w:bottom w:val="nil"/>
              <w:right w:val="nil"/>
            </w:tcBorders>
            <w:shd w:val="clear" w:color="auto" w:fill="auto"/>
            <w:noWrap/>
            <w:vAlign w:val="bottom"/>
            <w:hideMark/>
          </w:tcPr>
          <w:p w:rsidR="00B20E2E" w:rsidRPr="00B20E2E" w:rsidRDefault="00B20E2E" w:rsidP="00B20E2E">
            <w:pPr>
              <w:rPr>
                <w:rFonts w:ascii="Arial" w:eastAsia="Times New Roman" w:hAnsi="Arial" w:cs="Arial"/>
                <w:color w:val="000000"/>
                <w:sz w:val="20"/>
                <w:szCs w:val="20"/>
                <w:lang w:eastAsia="en-AU"/>
              </w:rPr>
            </w:pPr>
            <w:r w:rsidRPr="00B20E2E">
              <w:rPr>
                <w:rFonts w:ascii="Arial" w:eastAsia="Times New Roman" w:hAnsi="Arial" w:cs="Arial"/>
                <w:color w:val="000000"/>
                <w:sz w:val="20"/>
                <w:szCs w:val="20"/>
                <w:lang w:eastAsia="en-AU"/>
              </w:rPr>
              <w:t xml:space="preserve">      103,628 </w:t>
            </w:r>
          </w:p>
        </w:tc>
        <w:tc>
          <w:tcPr>
            <w:tcW w:w="1004" w:type="dxa"/>
            <w:tcBorders>
              <w:top w:val="nil"/>
              <w:left w:val="nil"/>
              <w:bottom w:val="nil"/>
              <w:right w:val="nil"/>
            </w:tcBorders>
            <w:shd w:val="clear" w:color="auto" w:fill="auto"/>
            <w:noWrap/>
            <w:vAlign w:val="bottom"/>
            <w:hideMark/>
          </w:tcPr>
          <w:p w:rsidR="00B20E2E" w:rsidRPr="00B20E2E" w:rsidRDefault="00B20E2E" w:rsidP="00B20E2E">
            <w:pPr>
              <w:jc w:val="right"/>
              <w:rPr>
                <w:rFonts w:ascii="Arial" w:eastAsia="Times New Roman" w:hAnsi="Arial" w:cs="Arial"/>
                <w:color w:val="000000"/>
                <w:sz w:val="20"/>
                <w:szCs w:val="20"/>
                <w:lang w:eastAsia="en-AU"/>
              </w:rPr>
            </w:pPr>
            <w:r w:rsidRPr="00B20E2E">
              <w:rPr>
                <w:rFonts w:ascii="Arial" w:eastAsia="Times New Roman" w:hAnsi="Arial" w:cs="Arial"/>
                <w:color w:val="000000"/>
                <w:sz w:val="20"/>
                <w:szCs w:val="20"/>
                <w:lang w:eastAsia="en-AU"/>
              </w:rPr>
              <w:t>21</w:t>
            </w:r>
          </w:p>
        </w:tc>
      </w:tr>
      <w:tr w:rsidR="00B20E2E" w:rsidRPr="00B20E2E" w:rsidTr="00BC1A81">
        <w:trPr>
          <w:trHeight w:val="20"/>
        </w:trPr>
        <w:tc>
          <w:tcPr>
            <w:tcW w:w="1600" w:type="dxa"/>
            <w:tcBorders>
              <w:top w:val="nil"/>
              <w:left w:val="nil"/>
              <w:bottom w:val="nil"/>
              <w:right w:val="nil"/>
            </w:tcBorders>
            <w:shd w:val="clear" w:color="auto" w:fill="auto"/>
            <w:noWrap/>
            <w:vAlign w:val="bottom"/>
            <w:hideMark/>
          </w:tcPr>
          <w:p w:rsidR="00B20E2E" w:rsidRPr="00B20E2E" w:rsidRDefault="00B20E2E" w:rsidP="00B20E2E">
            <w:pPr>
              <w:rPr>
                <w:rFonts w:ascii="Arial" w:eastAsia="Times New Roman" w:hAnsi="Arial" w:cs="Arial"/>
                <w:color w:val="000000"/>
                <w:sz w:val="20"/>
                <w:szCs w:val="20"/>
                <w:lang w:eastAsia="en-AU"/>
              </w:rPr>
            </w:pPr>
            <w:r w:rsidRPr="00B20E2E">
              <w:rPr>
                <w:rFonts w:ascii="Arial" w:eastAsia="Times New Roman" w:hAnsi="Arial" w:cs="Arial"/>
                <w:color w:val="000000"/>
                <w:sz w:val="20"/>
                <w:szCs w:val="20"/>
                <w:lang w:eastAsia="en-AU"/>
              </w:rPr>
              <w:t>2008</w:t>
            </w:r>
            <w:r w:rsidR="007614E2" w:rsidRPr="007614E2">
              <w:rPr>
                <w:rFonts w:ascii="Arial" w:eastAsia="Times New Roman" w:hAnsi="Arial" w:cs="Arial"/>
                <w:color w:val="000000"/>
                <w:sz w:val="20"/>
                <w:szCs w:val="20"/>
                <w:vertAlign w:val="superscript"/>
                <w:lang w:eastAsia="en-AU"/>
              </w:rPr>
              <w:t>b</w:t>
            </w:r>
            <w:r w:rsidRPr="00B20E2E">
              <w:rPr>
                <w:rFonts w:ascii="Arial" w:eastAsia="Times New Roman" w:hAnsi="Arial" w:cs="Arial"/>
                <w:color w:val="000000"/>
                <w:sz w:val="20"/>
                <w:szCs w:val="20"/>
                <w:lang w:eastAsia="en-AU"/>
              </w:rPr>
              <w:t>-2010</w:t>
            </w:r>
          </w:p>
        </w:tc>
        <w:tc>
          <w:tcPr>
            <w:tcW w:w="5660" w:type="dxa"/>
            <w:tcBorders>
              <w:top w:val="nil"/>
              <w:left w:val="nil"/>
              <w:bottom w:val="nil"/>
              <w:right w:val="nil"/>
            </w:tcBorders>
            <w:shd w:val="clear" w:color="auto" w:fill="auto"/>
            <w:noWrap/>
            <w:vAlign w:val="bottom"/>
            <w:hideMark/>
          </w:tcPr>
          <w:p w:rsidR="00B20E2E" w:rsidRPr="00B20E2E" w:rsidRDefault="00B20E2E" w:rsidP="00B20E2E">
            <w:pPr>
              <w:rPr>
                <w:rFonts w:ascii="Arial" w:eastAsia="Times New Roman" w:hAnsi="Arial" w:cs="Arial"/>
                <w:color w:val="000000"/>
                <w:sz w:val="20"/>
                <w:szCs w:val="20"/>
                <w:lang w:eastAsia="en-AU"/>
              </w:rPr>
            </w:pPr>
            <w:r w:rsidRPr="00B20E2E">
              <w:rPr>
                <w:rFonts w:ascii="Arial" w:eastAsia="Times New Roman" w:hAnsi="Arial" w:cs="Arial"/>
                <w:color w:val="000000"/>
                <w:sz w:val="20"/>
                <w:szCs w:val="20"/>
                <w:lang w:eastAsia="en-AU"/>
              </w:rPr>
              <w:t xml:space="preserve">ADR80/02 (Euro IV, US EPA 04, </w:t>
            </w:r>
            <w:r w:rsidRPr="00B20E2E">
              <w:rPr>
                <w:rFonts w:ascii="Arial" w:eastAsia="Times New Roman" w:hAnsi="Arial" w:cs="Arial"/>
                <w:sz w:val="20"/>
                <w:szCs w:val="20"/>
                <w:lang w:eastAsia="en-AU"/>
              </w:rPr>
              <w:t>Japan NLT05</w:t>
            </w:r>
            <w:r w:rsidRPr="00B20E2E">
              <w:rPr>
                <w:rFonts w:ascii="Arial" w:eastAsia="Times New Roman" w:hAnsi="Arial" w:cs="Arial"/>
                <w:color w:val="000000"/>
                <w:sz w:val="20"/>
                <w:szCs w:val="20"/>
                <w:lang w:eastAsia="en-AU"/>
              </w:rPr>
              <w:t>)</w:t>
            </w:r>
          </w:p>
        </w:tc>
        <w:tc>
          <w:tcPr>
            <w:tcW w:w="1396" w:type="dxa"/>
            <w:tcBorders>
              <w:top w:val="nil"/>
              <w:left w:val="nil"/>
              <w:bottom w:val="nil"/>
              <w:right w:val="nil"/>
            </w:tcBorders>
            <w:shd w:val="clear" w:color="auto" w:fill="auto"/>
            <w:noWrap/>
            <w:vAlign w:val="bottom"/>
            <w:hideMark/>
          </w:tcPr>
          <w:p w:rsidR="00B20E2E" w:rsidRPr="00B20E2E" w:rsidRDefault="00B20E2E" w:rsidP="00B20E2E">
            <w:pPr>
              <w:rPr>
                <w:rFonts w:ascii="Arial" w:eastAsia="Times New Roman" w:hAnsi="Arial" w:cs="Arial"/>
                <w:color w:val="000000"/>
                <w:sz w:val="20"/>
                <w:szCs w:val="20"/>
                <w:lang w:eastAsia="en-AU"/>
              </w:rPr>
            </w:pPr>
            <w:r w:rsidRPr="00B20E2E">
              <w:rPr>
                <w:rFonts w:ascii="Arial" w:eastAsia="Times New Roman" w:hAnsi="Arial" w:cs="Arial"/>
                <w:color w:val="000000"/>
                <w:sz w:val="20"/>
                <w:szCs w:val="20"/>
                <w:lang w:eastAsia="en-AU"/>
              </w:rPr>
              <w:t xml:space="preserve">        58,181 </w:t>
            </w:r>
          </w:p>
        </w:tc>
        <w:tc>
          <w:tcPr>
            <w:tcW w:w="1004" w:type="dxa"/>
            <w:tcBorders>
              <w:top w:val="nil"/>
              <w:left w:val="nil"/>
              <w:bottom w:val="nil"/>
              <w:right w:val="nil"/>
            </w:tcBorders>
            <w:shd w:val="clear" w:color="auto" w:fill="auto"/>
            <w:noWrap/>
            <w:vAlign w:val="bottom"/>
            <w:hideMark/>
          </w:tcPr>
          <w:p w:rsidR="00B20E2E" w:rsidRPr="00B20E2E" w:rsidRDefault="00B20E2E" w:rsidP="00B20E2E">
            <w:pPr>
              <w:jc w:val="right"/>
              <w:rPr>
                <w:rFonts w:ascii="Arial" w:eastAsia="Times New Roman" w:hAnsi="Arial" w:cs="Arial"/>
                <w:color w:val="000000"/>
                <w:sz w:val="20"/>
                <w:szCs w:val="20"/>
                <w:lang w:eastAsia="en-AU"/>
              </w:rPr>
            </w:pPr>
            <w:r w:rsidRPr="00B20E2E">
              <w:rPr>
                <w:rFonts w:ascii="Arial" w:eastAsia="Times New Roman" w:hAnsi="Arial" w:cs="Arial"/>
                <w:color w:val="000000"/>
                <w:sz w:val="20"/>
                <w:szCs w:val="20"/>
                <w:lang w:eastAsia="en-AU"/>
              </w:rPr>
              <w:t>12</w:t>
            </w:r>
          </w:p>
        </w:tc>
      </w:tr>
      <w:tr w:rsidR="00B20E2E" w:rsidRPr="00B20E2E" w:rsidTr="00BC1A81">
        <w:trPr>
          <w:trHeight w:val="20"/>
        </w:trPr>
        <w:tc>
          <w:tcPr>
            <w:tcW w:w="1600" w:type="dxa"/>
            <w:tcBorders>
              <w:top w:val="nil"/>
              <w:left w:val="nil"/>
              <w:right w:val="nil"/>
            </w:tcBorders>
            <w:shd w:val="clear" w:color="auto" w:fill="auto"/>
            <w:noWrap/>
            <w:vAlign w:val="bottom"/>
            <w:hideMark/>
          </w:tcPr>
          <w:p w:rsidR="00B20E2E" w:rsidRPr="00B20E2E" w:rsidRDefault="00B20E2E" w:rsidP="00BC1A81">
            <w:pPr>
              <w:rPr>
                <w:rFonts w:ascii="Arial" w:eastAsia="Times New Roman" w:hAnsi="Arial" w:cs="Arial"/>
                <w:color w:val="000000"/>
                <w:sz w:val="20"/>
                <w:szCs w:val="20"/>
                <w:lang w:eastAsia="en-AU"/>
              </w:rPr>
            </w:pPr>
            <w:r w:rsidRPr="00B20E2E">
              <w:rPr>
                <w:rFonts w:ascii="Arial" w:eastAsia="Times New Roman" w:hAnsi="Arial" w:cs="Arial"/>
                <w:color w:val="000000"/>
                <w:sz w:val="20"/>
                <w:szCs w:val="20"/>
                <w:lang w:eastAsia="en-AU"/>
              </w:rPr>
              <w:t>2011-</w:t>
            </w:r>
            <w:r w:rsidR="00BC1A81" w:rsidRPr="00BC1A81">
              <w:rPr>
                <w:rFonts w:ascii="Arial" w:eastAsia="Times New Roman" w:hAnsi="Arial" w:cs="Arial"/>
                <w:sz w:val="20"/>
                <w:szCs w:val="20"/>
                <w:lang w:eastAsia="en-AU"/>
              </w:rPr>
              <w:t>2015</w:t>
            </w:r>
          </w:p>
        </w:tc>
        <w:tc>
          <w:tcPr>
            <w:tcW w:w="5660" w:type="dxa"/>
            <w:tcBorders>
              <w:top w:val="nil"/>
              <w:left w:val="nil"/>
              <w:right w:val="nil"/>
            </w:tcBorders>
            <w:shd w:val="clear" w:color="auto" w:fill="auto"/>
            <w:noWrap/>
            <w:vAlign w:val="bottom"/>
            <w:hideMark/>
          </w:tcPr>
          <w:p w:rsidR="00B20E2E" w:rsidRPr="00B20E2E" w:rsidRDefault="00B20E2E" w:rsidP="00B20E2E">
            <w:pPr>
              <w:rPr>
                <w:rFonts w:ascii="Arial" w:eastAsia="Times New Roman" w:hAnsi="Arial" w:cs="Arial"/>
                <w:color w:val="000000"/>
                <w:sz w:val="20"/>
                <w:szCs w:val="20"/>
                <w:lang w:eastAsia="en-AU"/>
              </w:rPr>
            </w:pPr>
            <w:r w:rsidRPr="00B20E2E">
              <w:rPr>
                <w:rFonts w:ascii="Arial" w:eastAsia="Times New Roman" w:hAnsi="Arial" w:cs="Arial"/>
                <w:color w:val="000000"/>
                <w:sz w:val="20"/>
                <w:szCs w:val="20"/>
                <w:lang w:eastAsia="en-AU"/>
              </w:rPr>
              <w:t xml:space="preserve">ADR80/03 (Euro V, US EPA </w:t>
            </w:r>
            <w:r w:rsidRPr="00B20E2E">
              <w:rPr>
                <w:rFonts w:ascii="Arial" w:eastAsia="Times New Roman" w:hAnsi="Arial" w:cs="Arial"/>
                <w:sz w:val="20"/>
                <w:szCs w:val="20"/>
                <w:lang w:eastAsia="en-AU"/>
              </w:rPr>
              <w:t>07, Japan NLT</w:t>
            </w:r>
            <w:r w:rsidRPr="00B20E2E">
              <w:rPr>
                <w:rFonts w:ascii="Arial" w:eastAsia="Times New Roman" w:hAnsi="Arial" w:cs="Arial"/>
                <w:color w:val="000000"/>
                <w:sz w:val="20"/>
                <w:szCs w:val="20"/>
                <w:lang w:eastAsia="en-AU"/>
              </w:rPr>
              <w:t>05)</w:t>
            </w:r>
          </w:p>
        </w:tc>
        <w:tc>
          <w:tcPr>
            <w:tcW w:w="1396" w:type="dxa"/>
            <w:tcBorders>
              <w:top w:val="nil"/>
              <w:left w:val="nil"/>
              <w:right w:val="nil"/>
            </w:tcBorders>
            <w:shd w:val="clear" w:color="auto" w:fill="auto"/>
            <w:noWrap/>
            <w:vAlign w:val="bottom"/>
            <w:hideMark/>
          </w:tcPr>
          <w:p w:rsidR="00B20E2E" w:rsidRPr="00B20E2E" w:rsidRDefault="00B20E2E" w:rsidP="00B20E2E">
            <w:pPr>
              <w:rPr>
                <w:rFonts w:ascii="Arial" w:eastAsia="Times New Roman" w:hAnsi="Arial" w:cs="Arial"/>
                <w:color w:val="000000"/>
                <w:sz w:val="20"/>
                <w:szCs w:val="20"/>
                <w:lang w:eastAsia="en-AU"/>
              </w:rPr>
            </w:pPr>
            <w:r w:rsidRPr="00B20E2E">
              <w:rPr>
                <w:rFonts w:ascii="Arial" w:eastAsia="Times New Roman" w:hAnsi="Arial" w:cs="Arial"/>
                <w:color w:val="000000"/>
                <w:sz w:val="20"/>
                <w:szCs w:val="20"/>
                <w:lang w:eastAsia="en-AU"/>
              </w:rPr>
              <w:t xml:space="preserve">        88,141 </w:t>
            </w:r>
          </w:p>
        </w:tc>
        <w:tc>
          <w:tcPr>
            <w:tcW w:w="1004" w:type="dxa"/>
            <w:tcBorders>
              <w:top w:val="nil"/>
              <w:left w:val="nil"/>
              <w:right w:val="nil"/>
            </w:tcBorders>
            <w:shd w:val="clear" w:color="auto" w:fill="auto"/>
            <w:noWrap/>
            <w:vAlign w:val="bottom"/>
            <w:hideMark/>
          </w:tcPr>
          <w:p w:rsidR="00B20E2E" w:rsidRPr="00B20E2E" w:rsidRDefault="00B20E2E" w:rsidP="00B20E2E">
            <w:pPr>
              <w:jc w:val="right"/>
              <w:rPr>
                <w:rFonts w:ascii="Arial" w:eastAsia="Times New Roman" w:hAnsi="Arial" w:cs="Arial"/>
                <w:color w:val="000000"/>
                <w:sz w:val="20"/>
                <w:szCs w:val="20"/>
                <w:lang w:eastAsia="en-AU"/>
              </w:rPr>
            </w:pPr>
            <w:r w:rsidRPr="00B20E2E">
              <w:rPr>
                <w:rFonts w:ascii="Arial" w:eastAsia="Times New Roman" w:hAnsi="Arial" w:cs="Arial"/>
                <w:color w:val="000000"/>
                <w:sz w:val="20"/>
                <w:szCs w:val="20"/>
                <w:lang w:eastAsia="en-AU"/>
              </w:rPr>
              <w:t>18</w:t>
            </w:r>
          </w:p>
        </w:tc>
      </w:tr>
      <w:tr w:rsidR="00B20E2E" w:rsidRPr="00B20E2E" w:rsidTr="00BC1A81">
        <w:trPr>
          <w:trHeight w:val="20"/>
        </w:trPr>
        <w:tc>
          <w:tcPr>
            <w:tcW w:w="1600" w:type="dxa"/>
            <w:tcBorders>
              <w:top w:val="nil"/>
              <w:left w:val="nil"/>
              <w:bottom w:val="single" w:sz="4" w:space="0" w:color="auto"/>
              <w:right w:val="nil"/>
            </w:tcBorders>
            <w:shd w:val="clear" w:color="auto" w:fill="auto"/>
            <w:noWrap/>
            <w:vAlign w:val="bottom"/>
            <w:hideMark/>
          </w:tcPr>
          <w:p w:rsidR="00B20E2E" w:rsidRPr="00B20E2E" w:rsidRDefault="00B20E2E" w:rsidP="00B20E2E">
            <w:pPr>
              <w:rPr>
                <w:rFonts w:ascii="Arial" w:eastAsia="Times New Roman" w:hAnsi="Arial" w:cs="Arial"/>
                <w:color w:val="000000"/>
                <w:sz w:val="20"/>
                <w:szCs w:val="20"/>
                <w:lang w:eastAsia="en-AU"/>
              </w:rPr>
            </w:pPr>
            <w:r w:rsidRPr="00B20E2E">
              <w:rPr>
                <w:rFonts w:ascii="Arial" w:eastAsia="Times New Roman" w:hAnsi="Arial" w:cs="Arial"/>
                <w:color w:val="000000"/>
                <w:sz w:val="20"/>
                <w:szCs w:val="20"/>
                <w:lang w:eastAsia="en-AU"/>
              </w:rPr>
              <w:t>Total</w:t>
            </w:r>
          </w:p>
        </w:tc>
        <w:tc>
          <w:tcPr>
            <w:tcW w:w="5660" w:type="dxa"/>
            <w:tcBorders>
              <w:top w:val="nil"/>
              <w:left w:val="nil"/>
              <w:bottom w:val="single" w:sz="4" w:space="0" w:color="auto"/>
              <w:right w:val="nil"/>
            </w:tcBorders>
            <w:shd w:val="clear" w:color="auto" w:fill="auto"/>
            <w:noWrap/>
            <w:vAlign w:val="bottom"/>
            <w:hideMark/>
          </w:tcPr>
          <w:p w:rsidR="00B20E2E" w:rsidRPr="00B20E2E" w:rsidRDefault="00B20E2E" w:rsidP="00B20E2E">
            <w:pPr>
              <w:rPr>
                <w:rFonts w:ascii="Arial" w:eastAsia="Times New Roman" w:hAnsi="Arial" w:cs="Arial"/>
                <w:color w:val="000000"/>
                <w:sz w:val="20"/>
                <w:szCs w:val="20"/>
                <w:lang w:eastAsia="en-AU"/>
              </w:rPr>
            </w:pPr>
          </w:p>
        </w:tc>
        <w:tc>
          <w:tcPr>
            <w:tcW w:w="1396" w:type="dxa"/>
            <w:tcBorders>
              <w:top w:val="nil"/>
              <w:left w:val="nil"/>
              <w:bottom w:val="single" w:sz="4" w:space="0" w:color="auto"/>
              <w:right w:val="nil"/>
            </w:tcBorders>
            <w:shd w:val="clear" w:color="auto" w:fill="auto"/>
            <w:noWrap/>
            <w:vAlign w:val="bottom"/>
            <w:hideMark/>
          </w:tcPr>
          <w:p w:rsidR="00B20E2E" w:rsidRPr="00B20E2E" w:rsidRDefault="00B20E2E" w:rsidP="00B20E2E">
            <w:pPr>
              <w:rPr>
                <w:rFonts w:ascii="Arial" w:eastAsia="Times New Roman" w:hAnsi="Arial" w:cs="Arial"/>
                <w:color w:val="000000"/>
                <w:sz w:val="20"/>
                <w:szCs w:val="20"/>
                <w:lang w:eastAsia="en-AU"/>
              </w:rPr>
            </w:pPr>
            <w:r w:rsidRPr="00B20E2E">
              <w:rPr>
                <w:rFonts w:ascii="Arial" w:eastAsia="Times New Roman" w:hAnsi="Arial" w:cs="Arial"/>
                <w:color w:val="000000"/>
                <w:sz w:val="20"/>
                <w:szCs w:val="20"/>
                <w:lang w:eastAsia="en-AU"/>
              </w:rPr>
              <w:t xml:space="preserve">      484,367 </w:t>
            </w:r>
          </w:p>
        </w:tc>
        <w:tc>
          <w:tcPr>
            <w:tcW w:w="1004" w:type="dxa"/>
            <w:tcBorders>
              <w:top w:val="nil"/>
              <w:left w:val="nil"/>
              <w:bottom w:val="single" w:sz="4" w:space="0" w:color="auto"/>
              <w:right w:val="nil"/>
            </w:tcBorders>
            <w:shd w:val="clear" w:color="auto" w:fill="auto"/>
            <w:noWrap/>
            <w:vAlign w:val="bottom"/>
            <w:hideMark/>
          </w:tcPr>
          <w:p w:rsidR="00B20E2E" w:rsidRPr="00B20E2E" w:rsidRDefault="00B20E2E" w:rsidP="00B20E2E">
            <w:pPr>
              <w:jc w:val="right"/>
              <w:rPr>
                <w:rFonts w:ascii="Arial" w:eastAsia="Times New Roman" w:hAnsi="Arial" w:cs="Arial"/>
                <w:color w:val="000000"/>
                <w:sz w:val="20"/>
                <w:szCs w:val="20"/>
                <w:lang w:eastAsia="en-AU"/>
              </w:rPr>
            </w:pPr>
            <w:r w:rsidRPr="00B20E2E">
              <w:rPr>
                <w:rFonts w:ascii="Arial" w:eastAsia="Times New Roman" w:hAnsi="Arial" w:cs="Arial"/>
                <w:color w:val="000000"/>
                <w:sz w:val="20"/>
                <w:szCs w:val="20"/>
                <w:lang w:eastAsia="en-AU"/>
              </w:rPr>
              <w:t>100</w:t>
            </w:r>
          </w:p>
        </w:tc>
      </w:tr>
      <w:tr w:rsidR="00BC1A81" w:rsidRPr="00B20E2E" w:rsidTr="0017458B">
        <w:trPr>
          <w:trHeight w:val="20"/>
        </w:trPr>
        <w:tc>
          <w:tcPr>
            <w:tcW w:w="9660" w:type="dxa"/>
            <w:gridSpan w:val="4"/>
            <w:tcBorders>
              <w:top w:val="single" w:sz="4" w:space="0" w:color="auto"/>
              <w:left w:val="nil"/>
              <w:bottom w:val="nil"/>
              <w:right w:val="nil"/>
            </w:tcBorders>
            <w:shd w:val="clear" w:color="auto" w:fill="auto"/>
            <w:noWrap/>
            <w:vAlign w:val="bottom"/>
          </w:tcPr>
          <w:p w:rsidR="00BC1A81" w:rsidRDefault="007614E2" w:rsidP="007614E2">
            <w:pPr>
              <w:pStyle w:val="ListParagraph"/>
              <w:numPr>
                <w:ilvl w:val="0"/>
                <w:numId w:val="44"/>
              </w:numPr>
              <w:spacing w:after="0" w:line="240" w:lineRule="auto"/>
              <w:rPr>
                <w:rFonts w:ascii="Arial" w:eastAsia="Times New Roman" w:hAnsi="Arial" w:cs="Arial"/>
                <w:color w:val="000000"/>
                <w:sz w:val="18"/>
                <w:szCs w:val="18"/>
                <w:lang w:eastAsia="en-AU"/>
              </w:rPr>
            </w:pPr>
            <w:r w:rsidRPr="007614E2">
              <w:rPr>
                <w:rFonts w:ascii="Arial" w:eastAsia="Times New Roman" w:hAnsi="Arial" w:cs="Arial"/>
                <w:color w:val="000000"/>
                <w:sz w:val="18"/>
                <w:szCs w:val="18"/>
                <w:lang w:eastAsia="en-AU"/>
              </w:rPr>
              <w:t>based</w:t>
            </w:r>
            <w:r>
              <w:rPr>
                <w:rFonts w:ascii="Arial" w:eastAsia="Times New Roman" w:hAnsi="Arial" w:cs="Arial"/>
                <w:color w:val="000000"/>
                <w:sz w:val="18"/>
                <w:szCs w:val="18"/>
                <w:lang w:eastAsia="en-AU"/>
              </w:rPr>
              <w:t xml:space="preserve"> on the date the ADR came into force for all new trucks</w:t>
            </w:r>
          </w:p>
          <w:p w:rsidR="007614E2" w:rsidRDefault="007614E2" w:rsidP="007614E2">
            <w:pPr>
              <w:pStyle w:val="ListParagraph"/>
              <w:numPr>
                <w:ilvl w:val="0"/>
                <w:numId w:val="44"/>
              </w:numPr>
              <w:spacing w:after="0" w:line="240" w:lineRule="auto"/>
              <w:ind w:left="357" w:hanging="357"/>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 January 2008 has been used as the breakpoint between ADR80/00 and ADR80/02</w:t>
            </w:r>
          </w:p>
          <w:p w:rsidR="007614E2" w:rsidRDefault="007614E2" w:rsidP="007614E2">
            <w:pP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Figures may not add to totals due to rounding</w:t>
            </w:r>
          </w:p>
          <w:p w:rsidR="007614E2" w:rsidRPr="007614E2" w:rsidRDefault="007614E2" w:rsidP="00193150">
            <w:pPr>
              <w:rPr>
                <w:rFonts w:ascii="Arial" w:eastAsia="Times New Roman" w:hAnsi="Arial" w:cs="Arial"/>
                <w:color w:val="000000"/>
                <w:sz w:val="18"/>
                <w:szCs w:val="18"/>
                <w:lang w:eastAsia="en-AU"/>
              </w:rPr>
            </w:pPr>
            <w:r>
              <w:rPr>
                <w:rFonts w:ascii="Arial" w:hAnsi="Arial" w:cs="Arial"/>
                <w:sz w:val="18"/>
                <w:szCs w:val="18"/>
              </w:rPr>
              <w:t xml:space="preserve">Source: </w:t>
            </w:r>
            <w:r w:rsidR="00193150">
              <w:rPr>
                <w:rFonts w:ascii="Arial" w:hAnsi="Arial" w:cs="Arial"/>
                <w:sz w:val="18"/>
                <w:szCs w:val="18"/>
              </w:rPr>
              <w:t xml:space="preserve">Based on </w:t>
            </w:r>
            <w:r w:rsidR="00193150" w:rsidRPr="00193150">
              <w:rPr>
                <w:rFonts w:ascii="Arial" w:hAnsi="Arial" w:cs="Arial"/>
                <w:sz w:val="18"/>
                <w:szCs w:val="18"/>
              </w:rPr>
              <w:t xml:space="preserve">ARTSA analysis </w:t>
            </w:r>
            <w:r w:rsidR="00193150">
              <w:rPr>
                <w:rFonts w:ascii="Arial" w:hAnsi="Arial" w:cs="Arial"/>
                <w:sz w:val="18"/>
                <w:szCs w:val="18"/>
              </w:rPr>
              <w:t xml:space="preserve">of </w:t>
            </w:r>
            <w:r w:rsidR="00193150" w:rsidRPr="00193150">
              <w:rPr>
                <w:rFonts w:ascii="Arial" w:hAnsi="Arial" w:cs="Arial"/>
                <w:sz w:val="18"/>
                <w:szCs w:val="18"/>
              </w:rPr>
              <w:t>Austroads NEVDIS supplied data</w:t>
            </w:r>
            <w:r>
              <w:rPr>
                <w:rFonts w:ascii="Arial" w:hAnsi="Arial" w:cs="Arial"/>
                <w:sz w:val="18"/>
                <w:szCs w:val="18"/>
              </w:rPr>
              <w:t xml:space="preserve">. </w:t>
            </w:r>
            <w:r w:rsidR="005C520B">
              <w:rPr>
                <w:rFonts w:ascii="Arial" w:hAnsi="Arial" w:cs="Arial"/>
                <w:sz w:val="18"/>
                <w:szCs w:val="18"/>
              </w:rPr>
              <w:t>Used with ARTSA permission.</w:t>
            </w:r>
            <w:bookmarkStart w:id="4" w:name="_GoBack"/>
            <w:bookmarkEnd w:id="4"/>
          </w:p>
        </w:tc>
      </w:tr>
    </w:tbl>
    <w:p w:rsidR="00B20E2E" w:rsidRDefault="00B20E2E" w:rsidP="0022088D">
      <w:pPr>
        <w:pStyle w:val="NoSpacing"/>
        <w:rPr>
          <w:rFonts w:ascii="Arial" w:hAnsi="Arial" w:cs="Arial"/>
          <w:color w:val="auto"/>
          <w:sz w:val="22"/>
          <w:szCs w:val="22"/>
        </w:rPr>
      </w:pPr>
    </w:p>
    <w:p w:rsidR="001F1EFF" w:rsidRDefault="001F1EFF" w:rsidP="0022088D">
      <w:pPr>
        <w:pStyle w:val="NoSpacing"/>
        <w:rPr>
          <w:rFonts w:ascii="Arial" w:hAnsi="Arial" w:cs="Arial"/>
          <w:color w:val="auto"/>
          <w:sz w:val="22"/>
          <w:szCs w:val="22"/>
        </w:rPr>
      </w:pPr>
    </w:p>
    <w:p w:rsidR="00B34673" w:rsidRDefault="0022088D" w:rsidP="0022088D">
      <w:pPr>
        <w:pStyle w:val="NoSpacing"/>
        <w:rPr>
          <w:rFonts w:ascii="Arial" w:hAnsi="Arial" w:cs="Arial"/>
          <w:color w:val="auto"/>
          <w:sz w:val="22"/>
          <w:szCs w:val="22"/>
        </w:rPr>
      </w:pPr>
      <w:r>
        <w:rPr>
          <w:rFonts w:ascii="Arial" w:hAnsi="Arial" w:cs="Arial"/>
          <w:color w:val="auto"/>
          <w:sz w:val="22"/>
          <w:szCs w:val="22"/>
        </w:rPr>
        <w:t xml:space="preserve">Given the importance of maintenance to achieving emission </w:t>
      </w:r>
      <w:r w:rsidR="00B34673">
        <w:rPr>
          <w:rFonts w:ascii="Arial" w:hAnsi="Arial" w:cs="Arial"/>
          <w:color w:val="auto"/>
          <w:sz w:val="22"/>
          <w:szCs w:val="22"/>
        </w:rPr>
        <w:t>standards</w:t>
      </w:r>
      <w:r>
        <w:rPr>
          <w:rFonts w:ascii="Arial" w:hAnsi="Arial" w:cs="Arial"/>
          <w:color w:val="auto"/>
          <w:sz w:val="22"/>
          <w:szCs w:val="22"/>
        </w:rPr>
        <w:t xml:space="preserve">, </w:t>
      </w:r>
      <w:r w:rsidR="00B34673">
        <w:rPr>
          <w:rFonts w:ascii="Arial" w:hAnsi="Arial" w:cs="Arial"/>
          <w:color w:val="auto"/>
          <w:sz w:val="22"/>
          <w:szCs w:val="22"/>
        </w:rPr>
        <w:t xml:space="preserve">it is clearly necessary to update the </w:t>
      </w:r>
      <w:r w:rsidR="00B34673" w:rsidRPr="00B34673">
        <w:rPr>
          <w:rFonts w:ascii="Arial" w:hAnsi="Arial" w:cs="Arial"/>
          <w:i/>
          <w:color w:val="auto"/>
          <w:sz w:val="22"/>
          <w:szCs w:val="22"/>
        </w:rPr>
        <w:t>Fuel Tax Act</w:t>
      </w:r>
      <w:r w:rsidR="00B34673">
        <w:rPr>
          <w:rFonts w:ascii="Arial" w:hAnsi="Arial" w:cs="Arial"/>
          <w:color w:val="auto"/>
          <w:sz w:val="22"/>
          <w:szCs w:val="22"/>
        </w:rPr>
        <w:t xml:space="preserve"> environmental criteria. </w:t>
      </w:r>
    </w:p>
    <w:p w:rsidR="00B34673" w:rsidRDefault="00B34673" w:rsidP="0022088D">
      <w:pPr>
        <w:pStyle w:val="NoSpacing"/>
        <w:rPr>
          <w:rFonts w:ascii="Arial" w:hAnsi="Arial" w:cs="Arial"/>
          <w:color w:val="auto"/>
          <w:sz w:val="22"/>
          <w:szCs w:val="22"/>
        </w:rPr>
      </w:pPr>
    </w:p>
    <w:p w:rsidR="00EC292F" w:rsidRDefault="00B34673" w:rsidP="0022088D">
      <w:pPr>
        <w:pStyle w:val="NoSpacing"/>
        <w:rPr>
          <w:rFonts w:ascii="Arial" w:hAnsi="Arial" w:cs="Arial"/>
          <w:color w:val="auto"/>
          <w:sz w:val="22"/>
          <w:szCs w:val="22"/>
        </w:rPr>
      </w:pPr>
      <w:r>
        <w:rPr>
          <w:rFonts w:ascii="Arial" w:hAnsi="Arial" w:cs="Arial"/>
          <w:color w:val="auto"/>
          <w:sz w:val="22"/>
          <w:szCs w:val="22"/>
        </w:rPr>
        <w:t xml:space="preserve">In developing this submission, the ATA </w:t>
      </w:r>
      <w:r w:rsidR="0060648F">
        <w:rPr>
          <w:rFonts w:ascii="Arial" w:hAnsi="Arial" w:cs="Arial"/>
          <w:color w:val="auto"/>
          <w:sz w:val="22"/>
          <w:szCs w:val="22"/>
        </w:rPr>
        <w:t>began by looking at</w:t>
      </w:r>
      <w:r>
        <w:rPr>
          <w:rFonts w:ascii="Arial" w:hAnsi="Arial" w:cs="Arial"/>
          <w:color w:val="auto"/>
          <w:sz w:val="22"/>
          <w:szCs w:val="22"/>
        </w:rPr>
        <w:t xml:space="preserve"> the </w:t>
      </w:r>
      <w:r w:rsidR="00FD299A">
        <w:rPr>
          <w:rFonts w:ascii="Arial" w:hAnsi="Arial" w:cs="Arial"/>
          <w:color w:val="auto"/>
          <w:sz w:val="22"/>
          <w:szCs w:val="22"/>
        </w:rPr>
        <w:t>option</w:t>
      </w:r>
      <w:r>
        <w:rPr>
          <w:rFonts w:ascii="Arial" w:hAnsi="Arial" w:cs="Arial"/>
          <w:color w:val="auto"/>
          <w:sz w:val="22"/>
          <w:szCs w:val="22"/>
        </w:rPr>
        <w:t xml:space="preserve"> of </w:t>
      </w:r>
      <w:r w:rsidR="0060648F">
        <w:rPr>
          <w:rFonts w:ascii="Arial" w:hAnsi="Arial" w:cs="Arial"/>
          <w:color w:val="auto"/>
          <w:sz w:val="22"/>
          <w:szCs w:val="22"/>
        </w:rPr>
        <w:t xml:space="preserve">changing </w:t>
      </w:r>
      <w:r>
        <w:rPr>
          <w:rFonts w:ascii="Arial" w:hAnsi="Arial" w:cs="Arial"/>
          <w:color w:val="auto"/>
          <w:sz w:val="22"/>
          <w:szCs w:val="22"/>
        </w:rPr>
        <w:t xml:space="preserve">the 1 January 1996 </w:t>
      </w:r>
      <w:r w:rsidR="0060648F">
        <w:rPr>
          <w:rFonts w:ascii="Arial" w:hAnsi="Arial" w:cs="Arial"/>
          <w:color w:val="auto"/>
          <w:sz w:val="22"/>
          <w:szCs w:val="22"/>
        </w:rPr>
        <w:t>threshold</w:t>
      </w:r>
      <w:r w:rsidR="00FE5851">
        <w:rPr>
          <w:rFonts w:ascii="Arial" w:hAnsi="Arial" w:cs="Arial"/>
          <w:color w:val="auto"/>
          <w:sz w:val="22"/>
          <w:szCs w:val="22"/>
        </w:rPr>
        <w:t xml:space="preserve"> to 1 January 2008</w:t>
      </w:r>
      <w:r w:rsidR="0060648F">
        <w:rPr>
          <w:rFonts w:ascii="Arial" w:hAnsi="Arial" w:cs="Arial"/>
          <w:color w:val="auto"/>
          <w:sz w:val="22"/>
          <w:szCs w:val="22"/>
        </w:rPr>
        <w:t>, th</w:t>
      </w:r>
      <w:r w:rsidR="00FE5851">
        <w:rPr>
          <w:rFonts w:ascii="Arial" w:hAnsi="Arial" w:cs="Arial"/>
          <w:color w:val="auto"/>
          <w:sz w:val="22"/>
          <w:szCs w:val="22"/>
        </w:rPr>
        <w:t>e commencement date for ADR80/02</w:t>
      </w:r>
      <w:r w:rsidR="0060648F">
        <w:rPr>
          <w:rFonts w:ascii="Arial" w:hAnsi="Arial" w:cs="Arial"/>
          <w:color w:val="auto"/>
          <w:sz w:val="22"/>
          <w:szCs w:val="22"/>
        </w:rPr>
        <w:t xml:space="preserve"> for all new trucks. </w:t>
      </w:r>
      <w:r w:rsidR="006A15E3">
        <w:rPr>
          <w:rFonts w:ascii="Arial" w:hAnsi="Arial" w:cs="Arial"/>
          <w:color w:val="auto"/>
          <w:sz w:val="22"/>
          <w:szCs w:val="22"/>
        </w:rPr>
        <w:t>This</w:t>
      </w:r>
      <w:r w:rsidR="0060648F">
        <w:rPr>
          <w:rFonts w:ascii="Arial" w:hAnsi="Arial" w:cs="Arial"/>
          <w:color w:val="auto"/>
          <w:sz w:val="22"/>
          <w:szCs w:val="22"/>
        </w:rPr>
        <w:t xml:space="preserve"> option </w:t>
      </w:r>
      <w:r w:rsidR="00A20F91">
        <w:rPr>
          <w:rFonts w:ascii="Arial" w:hAnsi="Arial" w:cs="Arial"/>
          <w:color w:val="auto"/>
          <w:sz w:val="22"/>
          <w:szCs w:val="22"/>
        </w:rPr>
        <w:t xml:space="preserve">has a certain </w:t>
      </w:r>
      <w:r w:rsidR="000522D3">
        <w:rPr>
          <w:rFonts w:ascii="Arial" w:hAnsi="Arial" w:cs="Arial"/>
          <w:color w:val="auto"/>
          <w:sz w:val="22"/>
          <w:szCs w:val="22"/>
        </w:rPr>
        <w:t>plausibility, for</w:t>
      </w:r>
      <w:r w:rsidR="006A15E3">
        <w:rPr>
          <w:rFonts w:ascii="Arial" w:hAnsi="Arial" w:cs="Arial"/>
          <w:color w:val="auto"/>
          <w:sz w:val="22"/>
          <w:szCs w:val="22"/>
        </w:rPr>
        <w:t xml:space="preserve"> </w:t>
      </w:r>
      <w:r w:rsidR="0060648F">
        <w:rPr>
          <w:rFonts w:ascii="Arial" w:hAnsi="Arial" w:cs="Arial"/>
          <w:color w:val="auto"/>
          <w:sz w:val="22"/>
          <w:szCs w:val="22"/>
        </w:rPr>
        <w:t>it would bring the proportion of trucks within the scope of the maintenance/test criteria back to about 2006 levels (69 per cent versus 61 per cent</w:t>
      </w:r>
      <w:r w:rsidR="006A15E3">
        <w:rPr>
          <w:rFonts w:ascii="Arial" w:hAnsi="Arial" w:cs="Arial"/>
          <w:color w:val="auto"/>
          <w:sz w:val="22"/>
          <w:szCs w:val="22"/>
        </w:rPr>
        <w:t xml:space="preserve"> in 2006</w:t>
      </w:r>
      <w:r w:rsidR="0060648F">
        <w:rPr>
          <w:rFonts w:ascii="Arial" w:hAnsi="Arial" w:cs="Arial"/>
          <w:color w:val="auto"/>
          <w:sz w:val="22"/>
          <w:szCs w:val="22"/>
        </w:rPr>
        <w:t xml:space="preserve">). </w:t>
      </w:r>
    </w:p>
    <w:p w:rsidR="00EC292F" w:rsidRDefault="00EC292F" w:rsidP="0022088D">
      <w:pPr>
        <w:pStyle w:val="NoSpacing"/>
        <w:rPr>
          <w:rFonts w:ascii="Arial" w:hAnsi="Arial" w:cs="Arial"/>
          <w:color w:val="auto"/>
          <w:sz w:val="22"/>
          <w:szCs w:val="22"/>
        </w:rPr>
      </w:pPr>
    </w:p>
    <w:p w:rsidR="00B34673" w:rsidRDefault="00EC292F" w:rsidP="0022088D">
      <w:pPr>
        <w:pStyle w:val="NoSpacing"/>
        <w:rPr>
          <w:rFonts w:ascii="Arial" w:hAnsi="Arial" w:cs="Arial"/>
          <w:color w:val="auto"/>
          <w:sz w:val="22"/>
          <w:szCs w:val="22"/>
        </w:rPr>
      </w:pPr>
      <w:r>
        <w:rPr>
          <w:rFonts w:ascii="Arial" w:hAnsi="Arial" w:cs="Arial"/>
          <w:color w:val="auto"/>
          <w:sz w:val="22"/>
          <w:szCs w:val="22"/>
        </w:rPr>
        <w:t>After consideration, however, t</w:t>
      </w:r>
      <w:r w:rsidR="0060648F">
        <w:rPr>
          <w:rFonts w:ascii="Arial" w:hAnsi="Arial" w:cs="Arial"/>
          <w:color w:val="auto"/>
          <w:sz w:val="22"/>
          <w:szCs w:val="22"/>
        </w:rPr>
        <w:t xml:space="preserve">he ATA </w:t>
      </w:r>
      <w:r>
        <w:rPr>
          <w:rFonts w:ascii="Arial" w:hAnsi="Arial" w:cs="Arial"/>
          <w:color w:val="auto"/>
          <w:sz w:val="22"/>
          <w:szCs w:val="22"/>
        </w:rPr>
        <w:t>decided against recommending this approach, because</w:t>
      </w:r>
      <w:r w:rsidR="0060648F">
        <w:rPr>
          <w:rFonts w:ascii="Arial" w:hAnsi="Arial" w:cs="Arial"/>
          <w:color w:val="auto"/>
          <w:sz w:val="22"/>
          <w:szCs w:val="22"/>
        </w:rPr>
        <w:t xml:space="preserve"> a heavy vehicle’s maintenance requir</w:t>
      </w:r>
      <w:r w:rsidR="000522D3">
        <w:rPr>
          <w:rFonts w:ascii="Arial" w:hAnsi="Arial" w:cs="Arial"/>
          <w:color w:val="auto"/>
          <w:sz w:val="22"/>
          <w:szCs w:val="22"/>
        </w:rPr>
        <w:t xml:space="preserve">ements depend on its duty cycle, not </w:t>
      </w:r>
      <w:r w:rsidR="006A15E3">
        <w:rPr>
          <w:rFonts w:ascii="Arial" w:hAnsi="Arial" w:cs="Arial"/>
          <w:color w:val="auto"/>
          <w:sz w:val="22"/>
          <w:szCs w:val="22"/>
        </w:rPr>
        <w:t>its</w:t>
      </w:r>
      <w:r w:rsidR="0060648F">
        <w:rPr>
          <w:rFonts w:ascii="Arial" w:hAnsi="Arial" w:cs="Arial"/>
          <w:color w:val="auto"/>
          <w:sz w:val="22"/>
          <w:szCs w:val="22"/>
        </w:rPr>
        <w:t xml:space="preserve"> age. </w:t>
      </w:r>
      <w:r w:rsidR="000522D3">
        <w:rPr>
          <w:rFonts w:ascii="Arial" w:hAnsi="Arial" w:cs="Arial"/>
          <w:color w:val="auto"/>
          <w:sz w:val="22"/>
          <w:szCs w:val="22"/>
        </w:rPr>
        <w:t>T</w:t>
      </w:r>
      <w:r w:rsidR="006A15E3">
        <w:rPr>
          <w:rFonts w:ascii="Arial" w:hAnsi="Arial" w:cs="Arial"/>
          <w:color w:val="auto"/>
          <w:sz w:val="22"/>
          <w:szCs w:val="22"/>
        </w:rPr>
        <w:t xml:space="preserve">he Pillot research found no correlation between the age of the diesel </w:t>
      </w:r>
      <w:r w:rsidR="00927F0F">
        <w:rPr>
          <w:rFonts w:ascii="Arial" w:hAnsi="Arial" w:cs="Arial"/>
          <w:color w:val="auto"/>
          <w:sz w:val="22"/>
          <w:szCs w:val="22"/>
        </w:rPr>
        <w:t xml:space="preserve">vehicles </w:t>
      </w:r>
      <w:r w:rsidR="006A15E3">
        <w:rPr>
          <w:rFonts w:ascii="Arial" w:hAnsi="Arial" w:cs="Arial"/>
          <w:color w:val="auto"/>
          <w:sz w:val="22"/>
          <w:szCs w:val="22"/>
        </w:rPr>
        <w:t xml:space="preserve">in </w:t>
      </w:r>
      <w:r w:rsidR="00927F0F">
        <w:rPr>
          <w:rFonts w:ascii="Arial" w:hAnsi="Arial" w:cs="Arial"/>
          <w:color w:val="auto"/>
          <w:sz w:val="22"/>
          <w:szCs w:val="22"/>
        </w:rPr>
        <w:t xml:space="preserve">the </w:t>
      </w:r>
      <w:r w:rsidR="006A15E3">
        <w:rPr>
          <w:rFonts w:ascii="Arial" w:hAnsi="Arial" w:cs="Arial"/>
          <w:color w:val="auto"/>
          <w:sz w:val="22"/>
          <w:szCs w:val="22"/>
        </w:rPr>
        <w:t xml:space="preserve">sample </w:t>
      </w:r>
      <w:r w:rsidR="00927F0F">
        <w:rPr>
          <w:rFonts w:ascii="Arial" w:hAnsi="Arial" w:cs="Arial"/>
          <w:color w:val="auto"/>
          <w:sz w:val="22"/>
          <w:szCs w:val="22"/>
        </w:rPr>
        <w:t>tested and the number of emission defects</w:t>
      </w:r>
      <w:r w:rsidR="006A15E3">
        <w:rPr>
          <w:rFonts w:ascii="Arial" w:hAnsi="Arial" w:cs="Arial"/>
          <w:color w:val="auto"/>
          <w:sz w:val="22"/>
          <w:szCs w:val="22"/>
        </w:rPr>
        <w:t>.</w:t>
      </w:r>
      <w:r w:rsidR="00927F0F">
        <w:rPr>
          <w:rStyle w:val="FootnoteReference"/>
          <w:rFonts w:ascii="Arial" w:hAnsi="Arial"/>
          <w:color w:val="auto"/>
          <w:sz w:val="22"/>
          <w:szCs w:val="22"/>
        </w:rPr>
        <w:footnoteReference w:id="9"/>
      </w:r>
    </w:p>
    <w:p w:rsidR="0060648F" w:rsidRDefault="0060648F" w:rsidP="0022088D">
      <w:pPr>
        <w:pStyle w:val="NoSpacing"/>
        <w:rPr>
          <w:rFonts w:ascii="Arial" w:hAnsi="Arial" w:cs="Arial"/>
          <w:color w:val="auto"/>
          <w:sz w:val="22"/>
          <w:szCs w:val="22"/>
        </w:rPr>
      </w:pPr>
    </w:p>
    <w:p w:rsidR="00927F0F" w:rsidRDefault="00927F0F" w:rsidP="00927F0F">
      <w:pPr>
        <w:pStyle w:val="NoSpacing"/>
        <w:rPr>
          <w:rFonts w:ascii="Arial" w:hAnsi="Arial" w:cs="Arial"/>
          <w:color w:val="auto"/>
          <w:sz w:val="22"/>
          <w:szCs w:val="22"/>
        </w:rPr>
      </w:pPr>
      <w:r>
        <w:rPr>
          <w:rFonts w:ascii="Arial" w:hAnsi="Arial" w:cs="Arial"/>
          <w:color w:val="auto"/>
          <w:sz w:val="22"/>
          <w:szCs w:val="22"/>
        </w:rPr>
        <w:t>Instead of changing the 1 January 1996 threshold, the ATA proposes that it should be removed entirely. Every heavy diesel vehicle used on public roads should be required to meet one of the three maintenance/test criteria to be eligible for fuel tax credits.</w:t>
      </w:r>
    </w:p>
    <w:p w:rsidR="0022088D" w:rsidRDefault="0022088D" w:rsidP="0022088D">
      <w:pPr>
        <w:pStyle w:val="NoSpacing"/>
        <w:rPr>
          <w:rFonts w:ascii="Arial" w:hAnsi="Arial" w:cs="Arial"/>
          <w:color w:val="auto"/>
          <w:sz w:val="22"/>
          <w:szCs w:val="22"/>
        </w:rPr>
      </w:pPr>
    </w:p>
    <w:p w:rsidR="00C770EB" w:rsidRDefault="00C770EB" w:rsidP="0022088D">
      <w:pPr>
        <w:pStyle w:val="NoSpacing"/>
        <w:rPr>
          <w:rFonts w:ascii="Arial" w:hAnsi="Arial" w:cs="Arial"/>
          <w:color w:val="auto"/>
          <w:sz w:val="22"/>
          <w:szCs w:val="22"/>
        </w:rPr>
      </w:pPr>
    </w:p>
    <w:p w:rsidR="00C770EB" w:rsidRPr="00C770EB" w:rsidRDefault="00A20F91" w:rsidP="00C770EB">
      <w:pPr>
        <w:pStyle w:val="NoSpacing"/>
        <w:keepNext/>
        <w:rPr>
          <w:rFonts w:ascii="Arial" w:hAnsi="Arial" w:cs="Arial"/>
          <w:b/>
          <w:color w:val="auto"/>
          <w:sz w:val="22"/>
          <w:szCs w:val="22"/>
        </w:rPr>
      </w:pPr>
      <w:r>
        <w:rPr>
          <w:rFonts w:ascii="Arial" w:hAnsi="Arial" w:cs="Arial"/>
          <w:b/>
          <w:color w:val="auto"/>
          <w:sz w:val="22"/>
          <w:szCs w:val="22"/>
        </w:rPr>
        <w:t>ATA recommendation 4</w:t>
      </w:r>
    </w:p>
    <w:p w:rsidR="0022088D" w:rsidRDefault="0022088D" w:rsidP="00C770EB">
      <w:pPr>
        <w:pStyle w:val="ATAHeading2"/>
        <w:keepNext/>
        <w:numPr>
          <w:ilvl w:val="0"/>
          <w:numId w:val="0"/>
        </w:numPr>
        <w:spacing w:before="0" w:after="0" w:line="240" w:lineRule="auto"/>
        <w:ind w:left="432" w:hanging="432"/>
        <w:rPr>
          <w:b w:val="0"/>
          <w:color w:val="auto"/>
          <w:sz w:val="22"/>
          <w:szCs w:val="22"/>
        </w:rPr>
      </w:pPr>
    </w:p>
    <w:p w:rsidR="00C770EB" w:rsidRPr="00C770EB" w:rsidRDefault="00C770EB" w:rsidP="00927F0F">
      <w:pPr>
        <w:pStyle w:val="ATAHeading2"/>
        <w:keepNext/>
        <w:numPr>
          <w:ilvl w:val="0"/>
          <w:numId w:val="0"/>
        </w:numPr>
        <w:spacing w:before="0" w:after="0" w:line="240" w:lineRule="auto"/>
        <w:rPr>
          <w:color w:val="auto"/>
          <w:sz w:val="22"/>
          <w:szCs w:val="22"/>
        </w:rPr>
      </w:pPr>
      <w:bookmarkStart w:id="5" w:name="_Toc447197675"/>
      <w:r w:rsidRPr="00C770EB">
        <w:rPr>
          <w:color w:val="auto"/>
          <w:sz w:val="22"/>
          <w:szCs w:val="22"/>
        </w:rPr>
        <w:t xml:space="preserve">Section 41-25(1)(a) of the Fuel Tax Act 2006 should be </w:t>
      </w:r>
      <w:r w:rsidR="00927F0F">
        <w:rPr>
          <w:color w:val="auto"/>
          <w:sz w:val="22"/>
          <w:szCs w:val="22"/>
        </w:rPr>
        <w:t>removed</w:t>
      </w:r>
      <w:r w:rsidRPr="00C770EB">
        <w:rPr>
          <w:color w:val="auto"/>
          <w:sz w:val="22"/>
          <w:szCs w:val="22"/>
        </w:rPr>
        <w:t>.</w:t>
      </w:r>
      <w:bookmarkEnd w:id="5"/>
      <w:r w:rsidR="00927F0F">
        <w:rPr>
          <w:color w:val="auto"/>
          <w:sz w:val="22"/>
          <w:szCs w:val="22"/>
        </w:rPr>
        <w:t xml:space="preserve"> Every heavy diesel vehicle used on public roads should be required to meet one of the three maintenance/test criteria in the Act to be eligible for fuel tax credits.</w:t>
      </w:r>
    </w:p>
    <w:p w:rsidR="00D219F7" w:rsidRDefault="00D219F7" w:rsidP="00BE4572">
      <w:pPr>
        <w:pStyle w:val="ATAHeading2"/>
        <w:numPr>
          <w:ilvl w:val="0"/>
          <w:numId w:val="0"/>
        </w:numPr>
        <w:spacing w:before="0" w:after="0" w:line="240" w:lineRule="auto"/>
        <w:ind w:left="432" w:hanging="432"/>
        <w:rPr>
          <w:b w:val="0"/>
          <w:color w:val="auto"/>
          <w:sz w:val="22"/>
          <w:szCs w:val="22"/>
        </w:rPr>
      </w:pPr>
    </w:p>
    <w:p w:rsidR="007238DA" w:rsidRDefault="007238DA" w:rsidP="00BE4572">
      <w:pPr>
        <w:pStyle w:val="ATAHeading2"/>
        <w:numPr>
          <w:ilvl w:val="0"/>
          <w:numId w:val="0"/>
        </w:numPr>
        <w:spacing w:before="0" w:after="0" w:line="240" w:lineRule="auto"/>
        <w:ind w:left="432" w:hanging="432"/>
        <w:rPr>
          <w:b w:val="0"/>
          <w:color w:val="auto"/>
          <w:sz w:val="22"/>
          <w:szCs w:val="22"/>
        </w:rPr>
      </w:pPr>
    </w:p>
    <w:p w:rsidR="007238DA" w:rsidRPr="007238DA" w:rsidRDefault="007238DA" w:rsidP="00AC2EB5">
      <w:pPr>
        <w:pStyle w:val="ATAHeading2"/>
        <w:keepNext/>
        <w:numPr>
          <w:ilvl w:val="0"/>
          <w:numId w:val="0"/>
        </w:numPr>
        <w:spacing w:before="0" w:after="0" w:line="240" w:lineRule="auto"/>
        <w:ind w:left="432" w:hanging="432"/>
        <w:rPr>
          <w:color w:val="auto"/>
          <w:sz w:val="22"/>
          <w:szCs w:val="22"/>
        </w:rPr>
      </w:pPr>
      <w:r w:rsidRPr="007238DA">
        <w:rPr>
          <w:color w:val="auto"/>
          <w:sz w:val="22"/>
          <w:szCs w:val="22"/>
        </w:rPr>
        <w:lastRenderedPageBreak/>
        <w:t>ATA recommendation 5</w:t>
      </w:r>
    </w:p>
    <w:p w:rsidR="00D219F7" w:rsidRPr="007238DA" w:rsidRDefault="00D219F7" w:rsidP="00AC2EB5">
      <w:pPr>
        <w:pStyle w:val="ATAHeading2"/>
        <w:keepNext/>
        <w:numPr>
          <w:ilvl w:val="0"/>
          <w:numId w:val="0"/>
        </w:numPr>
        <w:spacing w:before="0" w:after="0" w:line="240" w:lineRule="auto"/>
        <w:rPr>
          <w:color w:val="auto"/>
          <w:sz w:val="22"/>
          <w:szCs w:val="22"/>
        </w:rPr>
      </w:pPr>
    </w:p>
    <w:p w:rsidR="007238DA" w:rsidRPr="007238DA" w:rsidRDefault="007238DA" w:rsidP="00AC2EB5">
      <w:pPr>
        <w:pStyle w:val="ATAHeading2"/>
        <w:keepNext/>
        <w:numPr>
          <w:ilvl w:val="0"/>
          <w:numId w:val="0"/>
        </w:numPr>
        <w:spacing w:before="0" w:after="0" w:line="240" w:lineRule="auto"/>
        <w:rPr>
          <w:color w:val="auto"/>
          <w:sz w:val="22"/>
          <w:szCs w:val="22"/>
        </w:rPr>
      </w:pPr>
      <w:r w:rsidRPr="007238DA">
        <w:rPr>
          <w:color w:val="auto"/>
          <w:sz w:val="22"/>
          <w:szCs w:val="22"/>
        </w:rPr>
        <w:t xml:space="preserve">The Australian Government should press the National Heavy Vehicle Regulator to </w:t>
      </w:r>
      <w:r>
        <w:rPr>
          <w:color w:val="auto"/>
          <w:sz w:val="22"/>
          <w:szCs w:val="22"/>
        </w:rPr>
        <w:t xml:space="preserve">seek </w:t>
      </w:r>
      <w:r w:rsidRPr="007238DA">
        <w:rPr>
          <w:color w:val="auto"/>
          <w:sz w:val="22"/>
          <w:szCs w:val="22"/>
        </w:rPr>
        <w:t>accredit</w:t>
      </w:r>
      <w:r>
        <w:rPr>
          <w:color w:val="auto"/>
          <w:sz w:val="22"/>
          <w:szCs w:val="22"/>
        </w:rPr>
        <w:t>ation for</w:t>
      </w:r>
      <w:r w:rsidRPr="007238DA">
        <w:rPr>
          <w:color w:val="auto"/>
          <w:sz w:val="22"/>
          <w:szCs w:val="22"/>
        </w:rPr>
        <w:t xml:space="preserve"> the NHVAS Maintenance </w:t>
      </w:r>
      <w:r>
        <w:rPr>
          <w:color w:val="auto"/>
          <w:sz w:val="22"/>
          <w:szCs w:val="22"/>
        </w:rPr>
        <w:t xml:space="preserve">Management </w:t>
      </w:r>
      <w:r w:rsidRPr="007238DA">
        <w:rPr>
          <w:color w:val="auto"/>
          <w:sz w:val="22"/>
          <w:szCs w:val="22"/>
        </w:rPr>
        <w:t>module under s41-25(1)(b) of the Fuel Tax Act 2006.</w:t>
      </w:r>
    </w:p>
    <w:p w:rsidR="007238DA" w:rsidRDefault="007238DA" w:rsidP="00BE4572">
      <w:pPr>
        <w:pStyle w:val="ATAHeading2"/>
        <w:numPr>
          <w:ilvl w:val="0"/>
          <w:numId w:val="0"/>
        </w:numPr>
        <w:spacing w:before="0" w:after="0" w:line="240" w:lineRule="auto"/>
        <w:ind w:left="432" w:hanging="432"/>
        <w:rPr>
          <w:b w:val="0"/>
          <w:color w:val="auto"/>
          <w:sz w:val="22"/>
          <w:szCs w:val="22"/>
        </w:rPr>
      </w:pPr>
    </w:p>
    <w:p w:rsidR="007238DA" w:rsidRDefault="007238DA" w:rsidP="00BE4572">
      <w:pPr>
        <w:pStyle w:val="ATAHeading2"/>
        <w:numPr>
          <w:ilvl w:val="0"/>
          <w:numId w:val="0"/>
        </w:numPr>
        <w:spacing w:before="0" w:after="0" w:line="240" w:lineRule="auto"/>
        <w:ind w:left="432" w:hanging="432"/>
        <w:rPr>
          <w:b w:val="0"/>
          <w:color w:val="auto"/>
          <w:sz w:val="22"/>
          <w:szCs w:val="22"/>
        </w:rPr>
      </w:pPr>
    </w:p>
    <w:p w:rsidR="00881FE3" w:rsidRPr="00881FE3" w:rsidRDefault="00881FE3" w:rsidP="007238DA">
      <w:pPr>
        <w:pStyle w:val="ATAHeading2"/>
        <w:keepNext/>
        <w:numPr>
          <w:ilvl w:val="0"/>
          <w:numId w:val="0"/>
        </w:numPr>
        <w:spacing w:before="0" w:after="0" w:line="240" w:lineRule="auto"/>
        <w:ind w:left="432" w:hanging="432"/>
        <w:rPr>
          <w:b w:val="0"/>
          <w:i/>
          <w:color w:val="auto"/>
          <w:sz w:val="22"/>
          <w:szCs w:val="22"/>
        </w:rPr>
      </w:pPr>
      <w:r w:rsidRPr="00881FE3">
        <w:rPr>
          <w:b w:val="0"/>
          <w:i/>
          <w:color w:val="auto"/>
          <w:sz w:val="22"/>
          <w:szCs w:val="22"/>
        </w:rPr>
        <w:t>11. What would be the most efficient and effective measures to improve the fuel efficiency of heavy vehicles in Australia?</w:t>
      </w:r>
    </w:p>
    <w:p w:rsidR="00881FE3" w:rsidRDefault="00881FE3" w:rsidP="007238DA">
      <w:pPr>
        <w:pStyle w:val="ATAHeading2"/>
        <w:keepNext/>
        <w:numPr>
          <w:ilvl w:val="0"/>
          <w:numId w:val="0"/>
        </w:numPr>
        <w:spacing w:before="0" w:after="0" w:line="240" w:lineRule="auto"/>
        <w:ind w:left="432" w:hanging="432"/>
        <w:rPr>
          <w:b w:val="0"/>
          <w:color w:val="auto"/>
          <w:sz w:val="22"/>
          <w:szCs w:val="22"/>
        </w:rPr>
      </w:pPr>
    </w:p>
    <w:p w:rsidR="00821DBE" w:rsidRDefault="00821DBE" w:rsidP="007238DA">
      <w:pPr>
        <w:pStyle w:val="ATAHeading2"/>
        <w:keepNext/>
        <w:numPr>
          <w:ilvl w:val="0"/>
          <w:numId w:val="0"/>
        </w:numPr>
        <w:spacing w:before="0" w:after="0" w:line="240" w:lineRule="auto"/>
        <w:rPr>
          <w:b w:val="0"/>
          <w:color w:val="auto"/>
          <w:sz w:val="22"/>
          <w:szCs w:val="22"/>
        </w:rPr>
      </w:pPr>
      <w:r>
        <w:rPr>
          <w:b w:val="0"/>
          <w:color w:val="auto"/>
          <w:sz w:val="22"/>
          <w:szCs w:val="22"/>
        </w:rPr>
        <w:t xml:space="preserve">The discussion paper cites 2011 modelling by ClimateWorks </w:t>
      </w:r>
      <w:r w:rsidR="00460EC9">
        <w:rPr>
          <w:b w:val="0"/>
          <w:color w:val="auto"/>
          <w:sz w:val="22"/>
          <w:szCs w:val="22"/>
        </w:rPr>
        <w:t>showing that some of the most cost effective abatement opportunities available across all major emitting sectors are from improving the efficiency of large articulated trucks</w:t>
      </w:r>
      <w:r>
        <w:rPr>
          <w:b w:val="0"/>
          <w:color w:val="auto"/>
          <w:sz w:val="22"/>
          <w:szCs w:val="22"/>
        </w:rPr>
        <w:t>.</w:t>
      </w:r>
      <w:r>
        <w:rPr>
          <w:rStyle w:val="FootnoteReference"/>
          <w:b w:val="0"/>
          <w:color w:val="auto"/>
          <w:sz w:val="22"/>
          <w:szCs w:val="22"/>
        </w:rPr>
        <w:footnoteReference w:id="10"/>
      </w:r>
      <w:r w:rsidR="00156558">
        <w:rPr>
          <w:b w:val="0"/>
          <w:color w:val="auto"/>
          <w:sz w:val="22"/>
          <w:szCs w:val="22"/>
        </w:rPr>
        <w:t xml:space="preserve"> </w:t>
      </w:r>
    </w:p>
    <w:p w:rsidR="00156558" w:rsidRDefault="00156558" w:rsidP="00821DBE">
      <w:pPr>
        <w:pStyle w:val="ATAHeading2"/>
        <w:numPr>
          <w:ilvl w:val="0"/>
          <w:numId w:val="0"/>
        </w:numPr>
        <w:spacing w:before="0" w:after="0" w:line="240" w:lineRule="auto"/>
        <w:rPr>
          <w:b w:val="0"/>
          <w:color w:val="auto"/>
          <w:sz w:val="22"/>
          <w:szCs w:val="22"/>
        </w:rPr>
      </w:pPr>
    </w:p>
    <w:p w:rsidR="00193150" w:rsidRDefault="00156558" w:rsidP="00193150">
      <w:pPr>
        <w:pStyle w:val="ATAHeading2"/>
        <w:keepNext/>
        <w:numPr>
          <w:ilvl w:val="0"/>
          <w:numId w:val="0"/>
        </w:numPr>
        <w:spacing w:before="0" w:after="0" w:line="240" w:lineRule="auto"/>
      </w:pPr>
      <w:r>
        <w:rPr>
          <w:b w:val="0"/>
          <w:color w:val="auto"/>
          <w:sz w:val="22"/>
          <w:szCs w:val="22"/>
        </w:rPr>
        <w:t xml:space="preserve">The ATA has long argued that the efficiency gains identified in the modelling </w:t>
      </w:r>
      <w:r w:rsidR="0053204B">
        <w:rPr>
          <w:b w:val="0"/>
          <w:color w:val="auto"/>
          <w:sz w:val="22"/>
          <w:szCs w:val="22"/>
        </w:rPr>
        <w:t>will not achieve themselves.</w:t>
      </w:r>
      <w:r w:rsidR="0053204B">
        <w:rPr>
          <w:rStyle w:val="FootnoteReference"/>
          <w:b w:val="0"/>
          <w:color w:val="auto"/>
          <w:sz w:val="22"/>
          <w:szCs w:val="22"/>
        </w:rPr>
        <w:footnoteReference w:id="11"/>
      </w:r>
      <w:r w:rsidR="0053204B">
        <w:rPr>
          <w:b w:val="0"/>
          <w:color w:val="auto"/>
          <w:sz w:val="22"/>
          <w:szCs w:val="22"/>
        </w:rPr>
        <w:t xml:space="preserve"> </w:t>
      </w:r>
      <w:r w:rsidR="00460EC9">
        <w:rPr>
          <w:b w:val="0"/>
          <w:color w:val="auto"/>
          <w:sz w:val="22"/>
          <w:szCs w:val="22"/>
        </w:rPr>
        <w:t xml:space="preserve">They can only be achieved through changes in government regulation, </w:t>
      </w:r>
      <w:r w:rsidR="00193150">
        <w:rPr>
          <w:b w:val="0"/>
          <w:color w:val="auto"/>
          <w:sz w:val="22"/>
          <w:szCs w:val="22"/>
        </w:rPr>
        <w:t>including the design rules and vehicle standards regulations.</w:t>
      </w:r>
    </w:p>
    <w:p w:rsidR="00537F7C" w:rsidRDefault="00537F7C" w:rsidP="007D4922">
      <w:pPr>
        <w:pStyle w:val="ListParagraph"/>
        <w:spacing w:after="0" w:line="240" w:lineRule="auto"/>
        <w:ind w:left="0"/>
        <w:rPr>
          <w:rFonts w:ascii="Arial" w:hAnsi="Arial" w:cs="Arial"/>
        </w:rPr>
      </w:pPr>
    </w:p>
    <w:p w:rsidR="000326E1" w:rsidRPr="000326E1" w:rsidRDefault="000326E1" w:rsidP="007D4922">
      <w:pPr>
        <w:pStyle w:val="ListParagraph"/>
        <w:spacing w:after="0" w:line="240" w:lineRule="auto"/>
        <w:ind w:left="0"/>
        <w:rPr>
          <w:rFonts w:ascii="Arial" w:hAnsi="Arial" w:cs="Arial"/>
        </w:rPr>
      </w:pPr>
    </w:p>
    <w:p w:rsidR="000326E1" w:rsidRPr="000326E1" w:rsidRDefault="007238DA" w:rsidP="000326E1">
      <w:pPr>
        <w:keepNext/>
        <w:rPr>
          <w:rFonts w:ascii="Arial" w:hAnsi="Arial" w:cs="Arial"/>
          <w:b/>
        </w:rPr>
      </w:pPr>
      <w:r>
        <w:rPr>
          <w:rFonts w:ascii="Arial" w:hAnsi="Arial" w:cs="Arial"/>
          <w:b/>
        </w:rPr>
        <w:t>ATA recommendation 6</w:t>
      </w:r>
    </w:p>
    <w:p w:rsidR="00AE6A91" w:rsidRPr="000326E1" w:rsidRDefault="00AE6A91" w:rsidP="000326E1">
      <w:pPr>
        <w:keepNext/>
        <w:rPr>
          <w:rFonts w:ascii="Arial" w:hAnsi="Arial" w:cs="Arial"/>
          <w:b/>
        </w:rPr>
      </w:pPr>
    </w:p>
    <w:p w:rsidR="00537F7C" w:rsidRPr="00537F7C" w:rsidRDefault="000326E1" w:rsidP="007238DA">
      <w:pPr>
        <w:keepNext/>
        <w:rPr>
          <w:rFonts w:ascii="Arial" w:hAnsi="Arial" w:cs="Arial"/>
          <w:b/>
        </w:rPr>
      </w:pPr>
      <w:r w:rsidRPr="000326E1">
        <w:rPr>
          <w:rFonts w:ascii="Arial" w:hAnsi="Arial" w:cs="Arial"/>
          <w:b/>
        </w:rPr>
        <w:t xml:space="preserve">The Government should review the </w:t>
      </w:r>
      <w:r w:rsidR="00537F7C">
        <w:rPr>
          <w:rFonts w:ascii="Arial" w:hAnsi="Arial" w:cs="Arial"/>
          <w:b/>
        </w:rPr>
        <w:t>ADRs and in-service vehicle standards regulations that</w:t>
      </w:r>
      <w:r w:rsidRPr="000326E1">
        <w:rPr>
          <w:rFonts w:ascii="Arial" w:hAnsi="Arial" w:cs="Arial"/>
          <w:b/>
        </w:rPr>
        <w:t xml:space="preserve"> restrict the rollout of more fuel e</w:t>
      </w:r>
      <w:r w:rsidR="007238DA">
        <w:rPr>
          <w:rFonts w:ascii="Arial" w:hAnsi="Arial" w:cs="Arial"/>
          <w:b/>
        </w:rPr>
        <w:t>fficient solutions for industry.</w:t>
      </w:r>
    </w:p>
    <w:p w:rsidR="00537F7C" w:rsidRDefault="00537F7C" w:rsidP="00AE6A91">
      <w:pPr>
        <w:rPr>
          <w:rFonts w:ascii="Arial" w:hAnsi="Arial" w:cs="Arial"/>
        </w:rPr>
      </w:pPr>
    </w:p>
    <w:p w:rsidR="000326E1" w:rsidRPr="00AE6A91" w:rsidRDefault="000326E1" w:rsidP="00AE6A91">
      <w:pPr>
        <w:rPr>
          <w:rFonts w:ascii="Arial" w:hAnsi="Arial" w:cs="Arial"/>
        </w:rPr>
      </w:pPr>
    </w:p>
    <w:p w:rsidR="00AE6A91" w:rsidRPr="00AE6A91" w:rsidRDefault="004C0CCC" w:rsidP="00AE6A91">
      <w:pPr>
        <w:rPr>
          <w:rFonts w:ascii="Arial" w:hAnsi="Arial" w:cs="Arial"/>
        </w:rPr>
      </w:pPr>
      <w:r>
        <w:rPr>
          <w:rFonts w:ascii="Arial" w:hAnsi="Arial" w:cs="Arial"/>
        </w:rPr>
        <w:t>Beyond vehicle efficiency improvements, t</w:t>
      </w:r>
      <w:r w:rsidR="00AE6A91" w:rsidRPr="00AE6A91">
        <w:rPr>
          <w:rFonts w:ascii="Arial" w:hAnsi="Arial" w:cs="Arial"/>
        </w:rPr>
        <w:t xml:space="preserve">he best way trucking businesses can reduce their fuel consumption is to use high productivity vehicles on </w:t>
      </w:r>
      <w:r w:rsidR="00F614A5">
        <w:rPr>
          <w:rFonts w:ascii="Arial" w:hAnsi="Arial" w:cs="Arial"/>
        </w:rPr>
        <w:t xml:space="preserve">more </w:t>
      </w:r>
      <w:r w:rsidR="00AE6A91" w:rsidRPr="00AE6A91">
        <w:rPr>
          <w:rFonts w:ascii="Arial" w:hAnsi="Arial" w:cs="Arial"/>
        </w:rPr>
        <w:t xml:space="preserve">routes. </w:t>
      </w:r>
      <w:r>
        <w:rPr>
          <w:rFonts w:ascii="Arial" w:hAnsi="Arial" w:cs="Arial"/>
        </w:rPr>
        <w:t>Table 2</w:t>
      </w:r>
      <w:r w:rsidR="00F614A5">
        <w:rPr>
          <w:rFonts w:ascii="Arial" w:hAnsi="Arial" w:cs="Arial"/>
        </w:rPr>
        <w:t xml:space="preserve"> summarises the effectiveness of switching to HPVs as a way of reducing emissions.</w:t>
      </w:r>
    </w:p>
    <w:p w:rsidR="00844F4E" w:rsidRPr="00844F4E" w:rsidRDefault="00844F4E" w:rsidP="00844F4E">
      <w:pPr>
        <w:rPr>
          <w:rFonts w:ascii="Arial" w:hAnsi="Arial" w:cs="Arial"/>
        </w:rPr>
      </w:pPr>
    </w:p>
    <w:tbl>
      <w:tblPr>
        <w:tblStyle w:val="TableGrid"/>
        <w:tblpPr w:leftFromText="180" w:rightFromText="180" w:vertAnchor="text" w:horzAnchor="margin" w:tblpY="34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221"/>
        <w:gridCol w:w="2221"/>
        <w:gridCol w:w="2224"/>
      </w:tblGrid>
      <w:tr w:rsidR="00EE6A7D" w:rsidRPr="00AE6A91" w:rsidTr="003A0AAF">
        <w:trPr>
          <w:trHeight w:val="227"/>
        </w:trPr>
        <w:tc>
          <w:tcPr>
            <w:tcW w:w="5000" w:type="pct"/>
            <w:gridSpan w:val="4"/>
            <w:tcBorders>
              <w:bottom w:val="single" w:sz="4" w:space="0" w:color="auto"/>
            </w:tcBorders>
            <w:tcMar>
              <w:bottom w:w="108" w:type="dxa"/>
            </w:tcMar>
          </w:tcPr>
          <w:p w:rsidR="00EE6A7D" w:rsidRDefault="00EE6A7D" w:rsidP="00EE6A7D">
            <w:pPr>
              <w:rPr>
                <w:rFonts w:ascii="Arial" w:hAnsi="Arial" w:cs="Arial"/>
                <w:b/>
                <w:bCs/>
                <w:sz w:val="20"/>
                <w:szCs w:val="20"/>
              </w:rPr>
            </w:pPr>
            <w:r>
              <w:rPr>
                <w:rFonts w:ascii="Arial" w:hAnsi="Arial" w:cs="Arial"/>
                <w:b/>
                <w:bCs/>
                <w:sz w:val="20"/>
                <w:szCs w:val="20"/>
              </w:rPr>
              <w:t>Table 2: Emissions benefits of high productivity vehicles</w:t>
            </w:r>
          </w:p>
        </w:tc>
      </w:tr>
      <w:tr w:rsidR="00844F4E" w:rsidRPr="00AE6A91" w:rsidTr="00EE6A7D">
        <w:trPr>
          <w:trHeight w:val="227"/>
        </w:trPr>
        <w:tc>
          <w:tcPr>
            <w:tcW w:w="1542" w:type="pct"/>
            <w:tcBorders>
              <w:top w:val="single" w:sz="4" w:space="0" w:color="auto"/>
              <w:bottom w:val="single" w:sz="4" w:space="0" w:color="auto"/>
            </w:tcBorders>
            <w:hideMark/>
          </w:tcPr>
          <w:p w:rsidR="00844F4E" w:rsidRPr="00844F4E" w:rsidRDefault="00844F4E" w:rsidP="00844F4E">
            <w:pPr>
              <w:rPr>
                <w:rFonts w:ascii="Arial" w:hAnsi="Arial" w:cs="Arial"/>
                <w:b/>
                <w:bCs/>
                <w:sz w:val="20"/>
                <w:szCs w:val="20"/>
              </w:rPr>
            </w:pPr>
            <w:r>
              <w:rPr>
                <w:rFonts w:ascii="Arial" w:hAnsi="Arial" w:cs="Arial"/>
                <w:b/>
                <w:bCs/>
                <w:sz w:val="20"/>
                <w:szCs w:val="20"/>
              </w:rPr>
              <w:t>Combination</w:t>
            </w:r>
          </w:p>
        </w:tc>
        <w:tc>
          <w:tcPr>
            <w:tcW w:w="1152" w:type="pct"/>
            <w:tcBorders>
              <w:top w:val="single" w:sz="4" w:space="0" w:color="auto"/>
              <w:bottom w:val="single" w:sz="4" w:space="0" w:color="auto"/>
            </w:tcBorders>
            <w:hideMark/>
          </w:tcPr>
          <w:p w:rsidR="00844F4E" w:rsidRPr="00844F4E" w:rsidRDefault="00844F4E" w:rsidP="00844F4E">
            <w:pPr>
              <w:jc w:val="right"/>
              <w:rPr>
                <w:rFonts w:ascii="Arial" w:hAnsi="Arial" w:cs="Arial"/>
                <w:b/>
                <w:bCs/>
                <w:sz w:val="20"/>
                <w:szCs w:val="20"/>
              </w:rPr>
            </w:pPr>
            <w:r>
              <w:rPr>
                <w:rFonts w:ascii="Arial" w:hAnsi="Arial" w:cs="Arial"/>
                <w:b/>
                <w:bCs/>
                <w:sz w:val="20"/>
                <w:szCs w:val="20"/>
              </w:rPr>
              <w:t>T</w:t>
            </w:r>
            <w:r w:rsidRPr="00844F4E">
              <w:rPr>
                <w:rFonts w:ascii="Arial" w:hAnsi="Arial" w:cs="Arial"/>
                <w:b/>
                <w:bCs/>
                <w:sz w:val="20"/>
                <w:szCs w:val="20"/>
              </w:rPr>
              <w:t xml:space="preserve">rips </w:t>
            </w:r>
            <w:r>
              <w:rPr>
                <w:rFonts w:ascii="Arial" w:hAnsi="Arial" w:cs="Arial"/>
                <w:b/>
                <w:bCs/>
                <w:sz w:val="20"/>
                <w:szCs w:val="20"/>
              </w:rPr>
              <w:t xml:space="preserve">required </w:t>
            </w:r>
            <w:r w:rsidRPr="00844F4E">
              <w:rPr>
                <w:rFonts w:ascii="Arial" w:hAnsi="Arial" w:cs="Arial"/>
                <w:b/>
                <w:bCs/>
                <w:sz w:val="20"/>
                <w:szCs w:val="20"/>
              </w:rPr>
              <w:t>per 1000 tonnes</w:t>
            </w:r>
          </w:p>
        </w:tc>
        <w:tc>
          <w:tcPr>
            <w:tcW w:w="1152" w:type="pct"/>
            <w:tcBorders>
              <w:top w:val="single" w:sz="4" w:space="0" w:color="auto"/>
              <w:bottom w:val="single" w:sz="4" w:space="0" w:color="auto"/>
            </w:tcBorders>
            <w:hideMark/>
          </w:tcPr>
          <w:p w:rsidR="00844F4E" w:rsidRDefault="00844F4E" w:rsidP="00844F4E">
            <w:pPr>
              <w:jc w:val="right"/>
              <w:rPr>
                <w:rFonts w:ascii="Arial" w:hAnsi="Arial" w:cs="Arial"/>
                <w:b/>
                <w:bCs/>
                <w:sz w:val="20"/>
                <w:szCs w:val="20"/>
              </w:rPr>
            </w:pPr>
            <w:r>
              <w:rPr>
                <w:rFonts w:ascii="Arial" w:hAnsi="Arial" w:cs="Arial"/>
                <w:b/>
                <w:bCs/>
                <w:sz w:val="20"/>
                <w:szCs w:val="20"/>
              </w:rPr>
              <w:t>Fuel required to deliver 1000 tonnes 1</w:t>
            </w:r>
            <w:r w:rsidR="003A0AAF">
              <w:rPr>
                <w:rFonts w:ascii="Arial" w:hAnsi="Arial" w:cs="Arial"/>
                <w:b/>
                <w:bCs/>
                <w:sz w:val="20"/>
                <w:szCs w:val="20"/>
              </w:rPr>
              <w:t>000 km</w:t>
            </w:r>
            <w:r w:rsidRPr="00844F4E">
              <w:rPr>
                <w:rFonts w:ascii="Arial" w:hAnsi="Arial" w:cs="Arial"/>
                <w:b/>
                <w:bCs/>
                <w:sz w:val="20"/>
                <w:szCs w:val="20"/>
              </w:rPr>
              <w:t xml:space="preserve"> and return</w:t>
            </w:r>
          </w:p>
          <w:p w:rsidR="00844F4E" w:rsidRPr="00844F4E" w:rsidRDefault="00844F4E" w:rsidP="00844F4E">
            <w:pPr>
              <w:jc w:val="right"/>
              <w:rPr>
                <w:rFonts w:ascii="Arial" w:hAnsi="Arial" w:cs="Arial"/>
                <w:b/>
                <w:bCs/>
                <w:sz w:val="20"/>
                <w:szCs w:val="20"/>
              </w:rPr>
            </w:pPr>
            <w:r>
              <w:rPr>
                <w:rFonts w:ascii="Arial" w:hAnsi="Arial" w:cs="Arial"/>
                <w:b/>
                <w:bCs/>
                <w:sz w:val="20"/>
                <w:szCs w:val="20"/>
              </w:rPr>
              <w:t>(litres)</w:t>
            </w:r>
          </w:p>
        </w:tc>
        <w:tc>
          <w:tcPr>
            <w:tcW w:w="1153" w:type="pct"/>
            <w:tcBorders>
              <w:top w:val="single" w:sz="4" w:space="0" w:color="auto"/>
              <w:bottom w:val="single" w:sz="4" w:space="0" w:color="auto"/>
            </w:tcBorders>
          </w:tcPr>
          <w:p w:rsidR="00844F4E" w:rsidRPr="00844F4E" w:rsidRDefault="00844F4E" w:rsidP="00844F4E">
            <w:pPr>
              <w:jc w:val="right"/>
              <w:rPr>
                <w:rFonts w:ascii="Arial" w:hAnsi="Arial" w:cs="Arial"/>
                <w:b/>
                <w:bCs/>
                <w:sz w:val="20"/>
                <w:szCs w:val="20"/>
              </w:rPr>
            </w:pPr>
            <w:r>
              <w:rPr>
                <w:rFonts w:ascii="Arial" w:hAnsi="Arial" w:cs="Arial"/>
                <w:b/>
                <w:bCs/>
                <w:sz w:val="20"/>
                <w:szCs w:val="20"/>
              </w:rPr>
              <w:t>Emissions index</w:t>
            </w:r>
          </w:p>
        </w:tc>
      </w:tr>
      <w:tr w:rsidR="00844F4E" w:rsidRPr="00AE6A91" w:rsidTr="00EE6A7D">
        <w:trPr>
          <w:trHeight w:val="227"/>
        </w:trPr>
        <w:tc>
          <w:tcPr>
            <w:tcW w:w="1542" w:type="pct"/>
            <w:tcBorders>
              <w:top w:val="single" w:sz="4" w:space="0" w:color="auto"/>
            </w:tcBorders>
            <w:hideMark/>
          </w:tcPr>
          <w:p w:rsidR="00844F4E" w:rsidRPr="00844F4E" w:rsidRDefault="00844F4E" w:rsidP="00EE6A7D">
            <w:pPr>
              <w:rPr>
                <w:rFonts w:ascii="Arial" w:hAnsi="Arial" w:cs="Arial"/>
                <w:bCs/>
                <w:sz w:val="20"/>
                <w:szCs w:val="20"/>
              </w:rPr>
            </w:pPr>
            <w:r w:rsidRPr="00844F4E">
              <w:rPr>
                <w:rFonts w:ascii="Arial" w:hAnsi="Arial" w:cs="Arial"/>
                <w:bCs/>
                <w:sz w:val="20"/>
                <w:szCs w:val="20"/>
              </w:rPr>
              <w:t>3 axle rigid</w:t>
            </w:r>
          </w:p>
        </w:tc>
        <w:tc>
          <w:tcPr>
            <w:tcW w:w="1152" w:type="pct"/>
            <w:tcBorders>
              <w:top w:val="single" w:sz="4" w:space="0" w:color="auto"/>
            </w:tcBorders>
            <w:hideMark/>
          </w:tcPr>
          <w:p w:rsidR="00844F4E" w:rsidRPr="00844F4E" w:rsidRDefault="00844F4E" w:rsidP="00844F4E">
            <w:pPr>
              <w:jc w:val="right"/>
              <w:rPr>
                <w:rFonts w:ascii="Arial" w:hAnsi="Arial" w:cs="Arial"/>
                <w:bCs/>
                <w:sz w:val="20"/>
                <w:szCs w:val="20"/>
              </w:rPr>
            </w:pPr>
            <w:r w:rsidRPr="00844F4E">
              <w:rPr>
                <w:rFonts w:ascii="Arial" w:hAnsi="Arial" w:cs="Arial"/>
                <w:bCs/>
                <w:sz w:val="20"/>
                <w:szCs w:val="20"/>
              </w:rPr>
              <w:t>77</w:t>
            </w:r>
          </w:p>
        </w:tc>
        <w:tc>
          <w:tcPr>
            <w:tcW w:w="1152" w:type="pct"/>
            <w:tcBorders>
              <w:top w:val="single" w:sz="4" w:space="0" w:color="auto"/>
            </w:tcBorders>
            <w:hideMark/>
          </w:tcPr>
          <w:p w:rsidR="00844F4E" w:rsidRPr="00844F4E" w:rsidRDefault="00844F4E" w:rsidP="00844F4E">
            <w:pPr>
              <w:tabs>
                <w:tab w:val="center" w:pos="1245"/>
              </w:tabs>
              <w:jc w:val="right"/>
              <w:rPr>
                <w:rFonts w:ascii="Arial" w:hAnsi="Arial" w:cs="Arial"/>
                <w:bCs/>
                <w:sz w:val="20"/>
                <w:szCs w:val="20"/>
              </w:rPr>
            </w:pPr>
            <w:r w:rsidRPr="00844F4E">
              <w:rPr>
                <w:rFonts w:ascii="Arial" w:hAnsi="Arial" w:cs="Arial"/>
                <w:bCs/>
                <w:sz w:val="20"/>
                <w:szCs w:val="20"/>
              </w:rPr>
              <w:t>43,120</w:t>
            </w:r>
          </w:p>
        </w:tc>
        <w:tc>
          <w:tcPr>
            <w:tcW w:w="1153" w:type="pct"/>
            <w:tcBorders>
              <w:top w:val="single" w:sz="4" w:space="0" w:color="auto"/>
            </w:tcBorders>
          </w:tcPr>
          <w:p w:rsidR="00844F4E" w:rsidRPr="00844F4E" w:rsidRDefault="00844F4E" w:rsidP="00844F4E">
            <w:pPr>
              <w:tabs>
                <w:tab w:val="center" w:pos="1245"/>
              </w:tabs>
              <w:jc w:val="right"/>
              <w:rPr>
                <w:rFonts w:ascii="Arial" w:hAnsi="Arial" w:cs="Arial"/>
                <w:bCs/>
                <w:sz w:val="20"/>
                <w:szCs w:val="20"/>
              </w:rPr>
            </w:pPr>
            <w:r>
              <w:rPr>
                <w:rFonts w:ascii="Arial" w:hAnsi="Arial" w:cs="Arial"/>
                <w:bCs/>
                <w:sz w:val="20"/>
                <w:szCs w:val="20"/>
              </w:rPr>
              <w:t>109</w:t>
            </w:r>
          </w:p>
        </w:tc>
      </w:tr>
      <w:tr w:rsidR="00844F4E" w:rsidRPr="00AE6A91" w:rsidTr="00EE6A7D">
        <w:trPr>
          <w:trHeight w:val="227"/>
        </w:trPr>
        <w:tc>
          <w:tcPr>
            <w:tcW w:w="1542" w:type="pct"/>
            <w:hideMark/>
          </w:tcPr>
          <w:p w:rsidR="00844F4E" w:rsidRPr="00844F4E" w:rsidRDefault="00844F4E" w:rsidP="00844F4E">
            <w:pPr>
              <w:rPr>
                <w:rFonts w:ascii="Arial" w:hAnsi="Arial" w:cs="Arial"/>
                <w:bCs/>
                <w:sz w:val="20"/>
                <w:szCs w:val="20"/>
              </w:rPr>
            </w:pPr>
            <w:r w:rsidRPr="00844F4E">
              <w:rPr>
                <w:rFonts w:ascii="Arial" w:hAnsi="Arial" w:cs="Arial"/>
                <w:bCs/>
                <w:sz w:val="20"/>
                <w:szCs w:val="20"/>
              </w:rPr>
              <w:t>6 axle semi-trailer</w:t>
            </w:r>
          </w:p>
        </w:tc>
        <w:tc>
          <w:tcPr>
            <w:tcW w:w="1152" w:type="pct"/>
            <w:hideMark/>
          </w:tcPr>
          <w:p w:rsidR="00844F4E" w:rsidRPr="00844F4E" w:rsidRDefault="00844F4E" w:rsidP="00844F4E">
            <w:pPr>
              <w:jc w:val="right"/>
              <w:rPr>
                <w:rFonts w:ascii="Arial" w:hAnsi="Arial" w:cs="Arial"/>
                <w:bCs/>
                <w:sz w:val="20"/>
                <w:szCs w:val="20"/>
              </w:rPr>
            </w:pPr>
            <w:r w:rsidRPr="00844F4E">
              <w:rPr>
                <w:rFonts w:ascii="Arial" w:hAnsi="Arial" w:cs="Arial"/>
                <w:bCs/>
                <w:sz w:val="20"/>
                <w:szCs w:val="20"/>
              </w:rPr>
              <w:t>42</w:t>
            </w:r>
          </w:p>
        </w:tc>
        <w:tc>
          <w:tcPr>
            <w:tcW w:w="1152" w:type="pct"/>
            <w:hideMark/>
          </w:tcPr>
          <w:p w:rsidR="00844F4E" w:rsidRPr="00844F4E" w:rsidRDefault="00844F4E" w:rsidP="00844F4E">
            <w:pPr>
              <w:jc w:val="right"/>
              <w:rPr>
                <w:rFonts w:ascii="Arial" w:hAnsi="Arial" w:cs="Arial"/>
                <w:bCs/>
                <w:sz w:val="20"/>
                <w:szCs w:val="20"/>
              </w:rPr>
            </w:pPr>
            <w:r w:rsidRPr="00844F4E">
              <w:rPr>
                <w:rFonts w:ascii="Arial" w:hAnsi="Arial" w:cs="Arial"/>
                <w:bCs/>
                <w:sz w:val="20"/>
                <w:szCs w:val="20"/>
              </w:rPr>
              <w:t>39,480</w:t>
            </w:r>
          </w:p>
        </w:tc>
        <w:tc>
          <w:tcPr>
            <w:tcW w:w="1153" w:type="pct"/>
          </w:tcPr>
          <w:p w:rsidR="00844F4E" w:rsidRPr="00844F4E" w:rsidRDefault="00844F4E" w:rsidP="00844F4E">
            <w:pPr>
              <w:jc w:val="right"/>
              <w:rPr>
                <w:rFonts w:ascii="Arial" w:hAnsi="Arial" w:cs="Arial"/>
                <w:bCs/>
                <w:sz w:val="20"/>
                <w:szCs w:val="20"/>
              </w:rPr>
            </w:pPr>
            <w:r>
              <w:rPr>
                <w:rFonts w:ascii="Arial" w:hAnsi="Arial" w:cs="Arial"/>
                <w:bCs/>
                <w:sz w:val="20"/>
                <w:szCs w:val="20"/>
              </w:rPr>
              <w:t>100</w:t>
            </w:r>
          </w:p>
        </w:tc>
      </w:tr>
      <w:tr w:rsidR="00844F4E" w:rsidRPr="00AE6A91" w:rsidTr="00EE6A7D">
        <w:trPr>
          <w:trHeight w:val="227"/>
        </w:trPr>
        <w:tc>
          <w:tcPr>
            <w:tcW w:w="1542" w:type="pct"/>
            <w:hideMark/>
          </w:tcPr>
          <w:p w:rsidR="00844F4E" w:rsidRPr="00844F4E" w:rsidRDefault="00844F4E" w:rsidP="00844F4E">
            <w:pPr>
              <w:rPr>
                <w:rFonts w:ascii="Arial" w:hAnsi="Arial" w:cs="Arial"/>
                <w:bCs/>
                <w:sz w:val="20"/>
                <w:szCs w:val="20"/>
              </w:rPr>
            </w:pPr>
            <w:r w:rsidRPr="00844F4E">
              <w:rPr>
                <w:rFonts w:ascii="Arial" w:hAnsi="Arial" w:cs="Arial"/>
                <w:bCs/>
                <w:sz w:val="20"/>
                <w:szCs w:val="20"/>
              </w:rPr>
              <w:t>9 axle B-double</w:t>
            </w:r>
          </w:p>
        </w:tc>
        <w:tc>
          <w:tcPr>
            <w:tcW w:w="1152" w:type="pct"/>
            <w:hideMark/>
          </w:tcPr>
          <w:p w:rsidR="00844F4E" w:rsidRPr="00844F4E" w:rsidRDefault="00844F4E" w:rsidP="00844F4E">
            <w:pPr>
              <w:jc w:val="right"/>
              <w:rPr>
                <w:rFonts w:ascii="Arial" w:hAnsi="Arial" w:cs="Arial"/>
                <w:bCs/>
                <w:sz w:val="20"/>
                <w:szCs w:val="20"/>
              </w:rPr>
            </w:pPr>
            <w:r w:rsidRPr="00844F4E">
              <w:rPr>
                <w:rFonts w:ascii="Arial" w:hAnsi="Arial" w:cs="Arial"/>
                <w:bCs/>
                <w:sz w:val="20"/>
                <w:szCs w:val="20"/>
              </w:rPr>
              <w:t>26</w:t>
            </w:r>
          </w:p>
        </w:tc>
        <w:tc>
          <w:tcPr>
            <w:tcW w:w="1152" w:type="pct"/>
            <w:hideMark/>
          </w:tcPr>
          <w:p w:rsidR="00844F4E" w:rsidRPr="00844F4E" w:rsidRDefault="00844F4E" w:rsidP="00844F4E">
            <w:pPr>
              <w:jc w:val="right"/>
              <w:rPr>
                <w:rFonts w:ascii="Arial" w:hAnsi="Arial" w:cs="Arial"/>
                <w:bCs/>
                <w:sz w:val="20"/>
                <w:szCs w:val="20"/>
              </w:rPr>
            </w:pPr>
            <w:r w:rsidRPr="00844F4E">
              <w:rPr>
                <w:rFonts w:ascii="Arial" w:hAnsi="Arial" w:cs="Arial"/>
                <w:bCs/>
                <w:sz w:val="20"/>
                <w:szCs w:val="20"/>
              </w:rPr>
              <w:t>32,240</w:t>
            </w:r>
          </w:p>
        </w:tc>
        <w:tc>
          <w:tcPr>
            <w:tcW w:w="1153" w:type="pct"/>
          </w:tcPr>
          <w:p w:rsidR="00844F4E" w:rsidRPr="00844F4E" w:rsidRDefault="00844F4E" w:rsidP="00844F4E">
            <w:pPr>
              <w:jc w:val="right"/>
              <w:rPr>
                <w:rFonts w:ascii="Arial" w:hAnsi="Arial" w:cs="Arial"/>
                <w:bCs/>
                <w:sz w:val="20"/>
                <w:szCs w:val="20"/>
              </w:rPr>
            </w:pPr>
            <w:r>
              <w:rPr>
                <w:rFonts w:ascii="Arial" w:hAnsi="Arial" w:cs="Arial"/>
                <w:bCs/>
                <w:sz w:val="20"/>
                <w:szCs w:val="20"/>
              </w:rPr>
              <w:t>82</w:t>
            </w:r>
          </w:p>
        </w:tc>
      </w:tr>
      <w:tr w:rsidR="00844F4E" w:rsidRPr="00AE6A91" w:rsidTr="00EE6A7D">
        <w:trPr>
          <w:trHeight w:val="227"/>
        </w:trPr>
        <w:tc>
          <w:tcPr>
            <w:tcW w:w="1542" w:type="pct"/>
            <w:hideMark/>
          </w:tcPr>
          <w:p w:rsidR="00844F4E" w:rsidRPr="00844F4E" w:rsidRDefault="00EE6A7D" w:rsidP="00844F4E">
            <w:pPr>
              <w:rPr>
                <w:rFonts w:ascii="Arial" w:hAnsi="Arial" w:cs="Arial"/>
                <w:bCs/>
                <w:sz w:val="20"/>
                <w:szCs w:val="20"/>
              </w:rPr>
            </w:pPr>
            <w:r>
              <w:rPr>
                <w:rFonts w:ascii="Arial" w:hAnsi="Arial" w:cs="Arial"/>
                <w:bCs/>
                <w:noProof/>
                <w:sz w:val="20"/>
                <w:szCs w:val="20"/>
              </w:rPr>
              <w:t>Type 1 road t</w:t>
            </w:r>
            <w:r w:rsidR="00844F4E" w:rsidRPr="00844F4E">
              <w:rPr>
                <w:rFonts w:ascii="Arial" w:hAnsi="Arial" w:cs="Arial"/>
                <w:bCs/>
                <w:noProof/>
                <w:sz w:val="20"/>
                <w:szCs w:val="20"/>
              </w:rPr>
              <w:t xml:space="preserve">rain </w:t>
            </w:r>
            <w:r w:rsidR="00844F4E">
              <w:rPr>
                <w:rFonts w:ascii="Arial" w:hAnsi="Arial" w:cs="Arial"/>
                <w:bCs/>
                <w:noProof/>
                <w:sz w:val="20"/>
                <w:szCs w:val="20"/>
              </w:rPr>
              <w:t>(A-</w:t>
            </w:r>
            <w:r w:rsidR="00844F4E" w:rsidRPr="00844F4E">
              <w:rPr>
                <w:rFonts w:ascii="Arial" w:hAnsi="Arial" w:cs="Arial"/>
                <w:bCs/>
                <w:noProof/>
                <w:sz w:val="20"/>
                <w:szCs w:val="20"/>
              </w:rPr>
              <w:t>double</w:t>
            </w:r>
            <w:r w:rsidR="00844F4E">
              <w:rPr>
                <w:rFonts w:ascii="Arial" w:hAnsi="Arial" w:cs="Arial"/>
                <w:bCs/>
                <w:noProof/>
                <w:sz w:val="20"/>
                <w:szCs w:val="20"/>
              </w:rPr>
              <w:t>)</w:t>
            </w:r>
          </w:p>
        </w:tc>
        <w:tc>
          <w:tcPr>
            <w:tcW w:w="1152" w:type="pct"/>
            <w:hideMark/>
          </w:tcPr>
          <w:p w:rsidR="00844F4E" w:rsidRPr="00844F4E" w:rsidRDefault="00844F4E" w:rsidP="00844F4E">
            <w:pPr>
              <w:jc w:val="right"/>
              <w:rPr>
                <w:rFonts w:ascii="Arial" w:hAnsi="Arial" w:cs="Arial"/>
                <w:bCs/>
                <w:sz w:val="20"/>
                <w:szCs w:val="20"/>
              </w:rPr>
            </w:pPr>
            <w:r w:rsidRPr="00844F4E">
              <w:rPr>
                <w:rFonts w:ascii="Arial" w:hAnsi="Arial" w:cs="Arial"/>
                <w:bCs/>
                <w:sz w:val="20"/>
                <w:szCs w:val="20"/>
              </w:rPr>
              <w:t>21</w:t>
            </w:r>
          </w:p>
        </w:tc>
        <w:tc>
          <w:tcPr>
            <w:tcW w:w="1152" w:type="pct"/>
            <w:hideMark/>
          </w:tcPr>
          <w:p w:rsidR="00844F4E" w:rsidRPr="00844F4E" w:rsidRDefault="00844F4E" w:rsidP="00844F4E">
            <w:pPr>
              <w:jc w:val="right"/>
              <w:rPr>
                <w:rFonts w:ascii="Arial" w:hAnsi="Arial" w:cs="Arial"/>
                <w:bCs/>
                <w:sz w:val="20"/>
                <w:szCs w:val="20"/>
              </w:rPr>
            </w:pPr>
            <w:r w:rsidRPr="00844F4E">
              <w:rPr>
                <w:rFonts w:ascii="Arial" w:hAnsi="Arial" w:cs="Arial"/>
                <w:bCs/>
                <w:sz w:val="20"/>
                <w:szCs w:val="20"/>
              </w:rPr>
              <w:t>28,560</w:t>
            </w:r>
          </w:p>
        </w:tc>
        <w:tc>
          <w:tcPr>
            <w:tcW w:w="1153" w:type="pct"/>
          </w:tcPr>
          <w:p w:rsidR="00844F4E" w:rsidRPr="00844F4E" w:rsidRDefault="00844F4E" w:rsidP="00844F4E">
            <w:pPr>
              <w:jc w:val="right"/>
              <w:rPr>
                <w:rFonts w:ascii="Arial" w:hAnsi="Arial" w:cs="Arial"/>
                <w:bCs/>
                <w:sz w:val="20"/>
                <w:szCs w:val="20"/>
              </w:rPr>
            </w:pPr>
            <w:r>
              <w:rPr>
                <w:rFonts w:ascii="Arial" w:hAnsi="Arial" w:cs="Arial"/>
                <w:bCs/>
                <w:sz w:val="20"/>
                <w:szCs w:val="20"/>
              </w:rPr>
              <w:t>72</w:t>
            </w:r>
          </w:p>
        </w:tc>
      </w:tr>
      <w:tr w:rsidR="00844F4E" w:rsidRPr="00AE6A91" w:rsidTr="00EE6A7D">
        <w:trPr>
          <w:trHeight w:val="227"/>
        </w:trPr>
        <w:tc>
          <w:tcPr>
            <w:tcW w:w="1542" w:type="pct"/>
            <w:hideMark/>
          </w:tcPr>
          <w:p w:rsidR="00844F4E" w:rsidRPr="00844F4E" w:rsidRDefault="00844F4E" w:rsidP="00844F4E">
            <w:pPr>
              <w:rPr>
                <w:rFonts w:ascii="Arial" w:hAnsi="Arial" w:cs="Arial"/>
                <w:bCs/>
                <w:noProof/>
                <w:sz w:val="20"/>
                <w:szCs w:val="20"/>
              </w:rPr>
            </w:pPr>
            <w:r w:rsidRPr="00844F4E">
              <w:rPr>
                <w:rFonts w:ascii="Arial" w:hAnsi="Arial" w:cs="Arial"/>
                <w:bCs/>
                <w:sz w:val="20"/>
                <w:szCs w:val="20"/>
              </w:rPr>
              <w:t>12 axle B-triple</w:t>
            </w:r>
          </w:p>
        </w:tc>
        <w:tc>
          <w:tcPr>
            <w:tcW w:w="1152" w:type="pct"/>
            <w:hideMark/>
          </w:tcPr>
          <w:p w:rsidR="00844F4E" w:rsidRPr="00844F4E" w:rsidRDefault="00844F4E" w:rsidP="00844F4E">
            <w:pPr>
              <w:jc w:val="right"/>
              <w:rPr>
                <w:rFonts w:ascii="Arial" w:hAnsi="Arial" w:cs="Arial"/>
                <w:bCs/>
                <w:sz w:val="20"/>
                <w:szCs w:val="20"/>
              </w:rPr>
            </w:pPr>
            <w:r w:rsidRPr="00844F4E">
              <w:rPr>
                <w:rFonts w:ascii="Arial" w:hAnsi="Arial" w:cs="Arial"/>
                <w:bCs/>
                <w:sz w:val="20"/>
                <w:szCs w:val="20"/>
              </w:rPr>
              <w:t>20</w:t>
            </w:r>
          </w:p>
        </w:tc>
        <w:tc>
          <w:tcPr>
            <w:tcW w:w="1152" w:type="pct"/>
            <w:hideMark/>
          </w:tcPr>
          <w:p w:rsidR="00844F4E" w:rsidRPr="00844F4E" w:rsidRDefault="00844F4E" w:rsidP="00844F4E">
            <w:pPr>
              <w:jc w:val="right"/>
              <w:rPr>
                <w:rFonts w:ascii="Arial" w:hAnsi="Arial" w:cs="Arial"/>
                <w:bCs/>
                <w:sz w:val="20"/>
                <w:szCs w:val="20"/>
              </w:rPr>
            </w:pPr>
            <w:r w:rsidRPr="00844F4E">
              <w:rPr>
                <w:rFonts w:ascii="Arial" w:hAnsi="Arial" w:cs="Arial"/>
                <w:bCs/>
                <w:sz w:val="20"/>
                <w:szCs w:val="20"/>
              </w:rPr>
              <w:t>27,200</w:t>
            </w:r>
          </w:p>
        </w:tc>
        <w:tc>
          <w:tcPr>
            <w:tcW w:w="1153" w:type="pct"/>
          </w:tcPr>
          <w:p w:rsidR="00844F4E" w:rsidRPr="00844F4E" w:rsidRDefault="00844F4E" w:rsidP="00844F4E">
            <w:pPr>
              <w:jc w:val="right"/>
              <w:rPr>
                <w:rFonts w:ascii="Arial" w:hAnsi="Arial" w:cs="Arial"/>
                <w:bCs/>
                <w:sz w:val="20"/>
                <w:szCs w:val="20"/>
              </w:rPr>
            </w:pPr>
            <w:r>
              <w:rPr>
                <w:rFonts w:ascii="Arial" w:hAnsi="Arial" w:cs="Arial"/>
                <w:bCs/>
                <w:sz w:val="20"/>
                <w:szCs w:val="20"/>
              </w:rPr>
              <w:t>69</w:t>
            </w:r>
          </w:p>
        </w:tc>
      </w:tr>
      <w:tr w:rsidR="00844F4E" w:rsidRPr="00AE6A91" w:rsidTr="00EE6A7D">
        <w:trPr>
          <w:trHeight w:val="227"/>
        </w:trPr>
        <w:tc>
          <w:tcPr>
            <w:tcW w:w="1542" w:type="pct"/>
            <w:tcBorders>
              <w:bottom w:val="single" w:sz="4" w:space="0" w:color="auto"/>
            </w:tcBorders>
            <w:hideMark/>
          </w:tcPr>
          <w:p w:rsidR="00844F4E" w:rsidRPr="00844F4E" w:rsidRDefault="00844F4E" w:rsidP="00844F4E">
            <w:pPr>
              <w:rPr>
                <w:rFonts w:ascii="Arial" w:hAnsi="Arial" w:cs="Arial"/>
                <w:bCs/>
                <w:sz w:val="20"/>
                <w:szCs w:val="20"/>
              </w:rPr>
            </w:pPr>
            <w:r>
              <w:rPr>
                <w:rFonts w:ascii="Arial" w:hAnsi="Arial" w:cs="Arial"/>
                <w:bCs/>
                <w:sz w:val="20"/>
                <w:szCs w:val="20"/>
              </w:rPr>
              <w:t>Type 2 road train (A-</w:t>
            </w:r>
            <w:r w:rsidRPr="00844F4E">
              <w:rPr>
                <w:rFonts w:ascii="Arial" w:hAnsi="Arial" w:cs="Arial"/>
                <w:bCs/>
                <w:sz w:val="20"/>
                <w:szCs w:val="20"/>
              </w:rPr>
              <w:t>triple</w:t>
            </w:r>
            <w:r>
              <w:rPr>
                <w:rFonts w:ascii="Arial" w:hAnsi="Arial" w:cs="Arial"/>
                <w:bCs/>
                <w:sz w:val="20"/>
                <w:szCs w:val="20"/>
              </w:rPr>
              <w:t>)</w:t>
            </w:r>
          </w:p>
        </w:tc>
        <w:tc>
          <w:tcPr>
            <w:tcW w:w="1152" w:type="pct"/>
            <w:tcBorders>
              <w:bottom w:val="single" w:sz="4" w:space="0" w:color="auto"/>
            </w:tcBorders>
            <w:hideMark/>
          </w:tcPr>
          <w:p w:rsidR="00844F4E" w:rsidRPr="00844F4E" w:rsidRDefault="00844F4E" w:rsidP="00844F4E">
            <w:pPr>
              <w:jc w:val="right"/>
              <w:rPr>
                <w:rFonts w:ascii="Arial" w:hAnsi="Arial" w:cs="Arial"/>
                <w:bCs/>
                <w:sz w:val="20"/>
                <w:szCs w:val="20"/>
              </w:rPr>
            </w:pPr>
            <w:r w:rsidRPr="00844F4E">
              <w:rPr>
                <w:rFonts w:ascii="Arial" w:hAnsi="Arial" w:cs="Arial"/>
                <w:bCs/>
                <w:sz w:val="20"/>
                <w:szCs w:val="20"/>
              </w:rPr>
              <w:t>14</w:t>
            </w:r>
          </w:p>
        </w:tc>
        <w:tc>
          <w:tcPr>
            <w:tcW w:w="1152" w:type="pct"/>
            <w:tcBorders>
              <w:bottom w:val="single" w:sz="4" w:space="0" w:color="auto"/>
            </w:tcBorders>
            <w:hideMark/>
          </w:tcPr>
          <w:p w:rsidR="00844F4E" w:rsidRPr="00844F4E" w:rsidRDefault="00844F4E" w:rsidP="00844F4E">
            <w:pPr>
              <w:jc w:val="right"/>
              <w:rPr>
                <w:rFonts w:ascii="Arial" w:hAnsi="Arial" w:cs="Arial"/>
                <w:bCs/>
                <w:sz w:val="20"/>
                <w:szCs w:val="20"/>
              </w:rPr>
            </w:pPr>
            <w:r w:rsidRPr="00844F4E">
              <w:rPr>
                <w:rFonts w:ascii="Arial" w:hAnsi="Arial" w:cs="Arial"/>
                <w:bCs/>
                <w:sz w:val="20"/>
                <w:szCs w:val="20"/>
              </w:rPr>
              <w:t>22,400</w:t>
            </w:r>
          </w:p>
        </w:tc>
        <w:tc>
          <w:tcPr>
            <w:tcW w:w="1153" w:type="pct"/>
            <w:tcBorders>
              <w:bottom w:val="single" w:sz="4" w:space="0" w:color="auto"/>
            </w:tcBorders>
          </w:tcPr>
          <w:p w:rsidR="00844F4E" w:rsidRPr="00844F4E" w:rsidRDefault="00844F4E" w:rsidP="00844F4E">
            <w:pPr>
              <w:jc w:val="right"/>
              <w:rPr>
                <w:rFonts w:ascii="Arial" w:hAnsi="Arial" w:cs="Arial"/>
                <w:bCs/>
                <w:sz w:val="20"/>
                <w:szCs w:val="20"/>
              </w:rPr>
            </w:pPr>
            <w:r>
              <w:rPr>
                <w:rFonts w:ascii="Arial" w:hAnsi="Arial" w:cs="Arial"/>
                <w:bCs/>
                <w:sz w:val="20"/>
                <w:szCs w:val="20"/>
              </w:rPr>
              <w:t>57</w:t>
            </w:r>
          </w:p>
        </w:tc>
      </w:tr>
      <w:tr w:rsidR="00844F4E" w:rsidRPr="00AE6A91" w:rsidTr="00844F4E">
        <w:trPr>
          <w:trHeight w:val="227"/>
        </w:trPr>
        <w:tc>
          <w:tcPr>
            <w:tcW w:w="5000" w:type="pct"/>
            <w:gridSpan w:val="4"/>
            <w:tcBorders>
              <w:top w:val="single" w:sz="4" w:space="0" w:color="auto"/>
            </w:tcBorders>
          </w:tcPr>
          <w:p w:rsidR="00844F4E" w:rsidRPr="00844F4E" w:rsidRDefault="00844F4E" w:rsidP="00844F4E">
            <w:pPr>
              <w:rPr>
                <w:rFonts w:ascii="Arial" w:hAnsi="Arial" w:cs="Arial"/>
                <w:bCs/>
                <w:sz w:val="18"/>
                <w:szCs w:val="18"/>
              </w:rPr>
            </w:pPr>
            <w:r>
              <w:rPr>
                <w:rFonts w:ascii="Arial" w:hAnsi="Arial" w:cs="Arial"/>
                <w:bCs/>
                <w:sz w:val="18"/>
                <w:szCs w:val="18"/>
              </w:rPr>
              <w:t>Source: ATA and Barkwood</w:t>
            </w:r>
            <w:r w:rsidR="00EE6A7D">
              <w:rPr>
                <w:rFonts w:ascii="Arial" w:hAnsi="Arial" w:cs="Arial"/>
                <w:bCs/>
                <w:sz w:val="18"/>
                <w:szCs w:val="18"/>
              </w:rPr>
              <w:t xml:space="preserve"> Consulting, Truck impact chart, </w:t>
            </w:r>
            <w:r w:rsidR="00EE6A7D" w:rsidRPr="00EE6A7D">
              <w:rPr>
                <w:rFonts w:ascii="Arial" w:hAnsi="Arial" w:cs="Arial"/>
                <w:bCs/>
                <w:sz w:val="18"/>
                <w:szCs w:val="18"/>
              </w:rPr>
              <w:t>2nd</w:t>
            </w:r>
            <w:r w:rsidR="00EE6A7D">
              <w:rPr>
                <w:rFonts w:ascii="Arial" w:hAnsi="Arial" w:cs="Arial"/>
                <w:bCs/>
                <w:sz w:val="18"/>
                <w:szCs w:val="18"/>
              </w:rPr>
              <w:t xml:space="preserve"> edition, in preparation.</w:t>
            </w:r>
          </w:p>
        </w:tc>
      </w:tr>
    </w:tbl>
    <w:p w:rsidR="00881FE3" w:rsidRDefault="00881FE3" w:rsidP="00BE4572">
      <w:pPr>
        <w:pStyle w:val="ATAHeading2"/>
        <w:numPr>
          <w:ilvl w:val="0"/>
          <w:numId w:val="0"/>
        </w:numPr>
        <w:spacing w:before="0" w:after="0" w:line="240" w:lineRule="auto"/>
        <w:ind w:left="432" w:hanging="432"/>
        <w:rPr>
          <w:b w:val="0"/>
          <w:color w:val="auto"/>
          <w:sz w:val="22"/>
          <w:szCs w:val="22"/>
        </w:rPr>
      </w:pPr>
    </w:p>
    <w:p w:rsidR="00844F4E" w:rsidRDefault="00844F4E" w:rsidP="0055299B">
      <w:pPr>
        <w:pStyle w:val="ATAHeading2"/>
        <w:numPr>
          <w:ilvl w:val="0"/>
          <w:numId w:val="0"/>
        </w:numPr>
        <w:spacing w:before="0" w:after="0" w:line="240" w:lineRule="auto"/>
        <w:rPr>
          <w:b w:val="0"/>
          <w:color w:val="auto"/>
          <w:sz w:val="22"/>
          <w:szCs w:val="22"/>
        </w:rPr>
      </w:pPr>
    </w:p>
    <w:p w:rsidR="00844F4E" w:rsidRDefault="00844F4E" w:rsidP="0055299B">
      <w:pPr>
        <w:pStyle w:val="ATAHeading2"/>
        <w:numPr>
          <w:ilvl w:val="0"/>
          <w:numId w:val="0"/>
        </w:numPr>
        <w:spacing w:before="0" w:after="0" w:line="240" w:lineRule="auto"/>
        <w:rPr>
          <w:b w:val="0"/>
          <w:color w:val="auto"/>
          <w:sz w:val="22"/>
          <w:szCs w:val="22"/>
        </w:rPr>
      </w:pPr>
    </w:p>
    <w:p w:rsidR="00507DA0" w:rsidRDefault="0055299B" w:rsidP="0055299B">
      <w:pPr>
        <w:pStyle w:val="ATAHeading2"/>
        <w:numPr>
          <w:ilvl w:val="0"/>
          <w:numId w:val="0"/>
        </w:numPr>
        <w:spacing w:before="0" w:after="0" w:line="240" w:lineRule="auto"/>
        <w:rPr>
          <w:b w:val="0"/>
          <w:color w:val="auto"/>
          <w:sz w:val="22"/>
          <w:szCs w:val="22"/>
        </w:rPr>
      </w:pPr>
      <w:r>
        <w:rPr>
          <w:b w:val="0"/>
          <w:color w:val="auto"/>
          <w:sz w:val="22"/>
          <w:szCs w:val="22"/>
        </w:rPr>
        <w:t xml:space="preserve">The ability of HPVs to access the road network is predominately regulated by the states </w:t>
      </w:r>
      <w:r w:rsidR="003A0AAF">
        <w:rPr>
          <w:b w:val="0"/>
          <w:color w:val="auto"/>
          <w:sz w:val="22"/>
          <w:szCs w:val="22"/>
        </w:rPr>
        <w:t xml:space="preserve">and the NHVR; </w:t>
      </w:r>
      <w:r>
        <w:rPr>
          <w:b w:val="0"/>
          <w:color w:val="auto"/>
          <w:sz w:val="22"/>
          <w:szCs w:val="22"/>
        </w:rPr>
        <w:t xml:space="preserve">however, the Australian Government’s </w:t>
      </w:r>
      <w:r w:rsidR="003A0AAF">
        <w:rPr>
          <w:b w:val="0"/>
          <w:color w:val="auto"/>
          <w:sz w:val="22"/>
          <w:szCs w:val="22"/>
        </w:rPr>
        <w:t xml:space="preserve">road reform program </w:t>
      </w:r>
      <w:r>
        <w:rPr>
          <w:b w:val="0"/>
          <w:color w:val="auto"/>
          <w:sz w:val="22"/>
          <w:szCs w:val="22"/>
        </w:rPr>
        <w:t xml:space="preserve">could have a significant impact on </w:t>
      </w:r>
      <w:r w:rsidR="003A0AAF">
        <w:rPr>
          <w:b w:val="0"/>
          <w:color w:val="auto"/>
          <w:sz w:val="22"/>
          <w:szCs w:val="22"/>
        </w:rPr>
        <w:t>the industry’s level of access and fuel efficiency</w:t>
      </w:r>
      <w:r>
        <w:rPr>
          <w:b w:val="0"/>
          <w:color w:val="auto"/>
          <w:sz w:val="22"/>
          <w:szCs w:val="22"/>
        </w:rPr>
        <w:t>.</w:t>
      </w:r>
    </w:p>
    <w:p w:rsidR="0055299B" w:rsidRDefault="0055299B" w:rsidP="0055299B">
      <w:pPr>
        <w:pStyle w:val="ATAHeading2"/>
        <w:numPr>
          <w:ilvl w:val="0"/>
          <w:numId w:val="0"/>
        </w:numPr>
        <w:spacing w:before="0" w:after="0" w:line="240" w:lineRule="auto"/>
        <w:rPr>
          <w:b w:val="0"/>
          <w:color w:val="auto"/>
          <w:sz w:val="22"/>
          <w:szCs w:val="22"/>
        </w:rPr>
      </w:pPr>
    </w:p>
    <w:p w:rsidR="003B7F05" w:rsidRPr="003B7F05" w:rsidRDefault="003B7F05" w:rsidP="003B7F05">
      <w:pPr>
        <w:pStyle w:val="ATAHeading2"/>
        <w:numPr>
          <w:ilvl w:val="0"/>
          <w:numId w:val="0"/>
        </w:numPr>
        <w:spacing w:before="0" w:after="0" w:line="240" w:lineRule="auto"/>
        <w:rPr>
          <w:b w:val="0"/>
          <w:color w:val="auto"/>
          <w:sz w:val="22"/>
          <w:szCs w:val="22"/>
        </w:rPr>
      </w:pPr>
      <w:r>
        <w:rPr>
          <w:rFonts w:eastAsiaTheme="minorHAnsi"/>
          <w:b w:val="0"/>
          <w:color w:val="auto"/>
          <w:sz w:val="22"/>
          <w:szCs w:val="22"/>
        </w:rPr>
        <w:t>T</w:t>
      </w:r>
      <w:r w:rsidRPr="003B7F05">
        <w:rPr>
          <w:rFonts w:eastAsiaTheme="minorHAnsi"/>
          <w:b w:val="0"/>
          <w:color w:val="auto"/>
          <w:sz w:val="22"/>
          <w:szCs w:val="22"/>
        </w:rPr>
        <w:t xml:space="preserve">he Government </w:t>
      </w:r>
      <w:r>
        <w:rPr>
          <w:rFonts w:eastAsiaTheme="minorHAnsi"/>
          <w:b w:val="0"/>
          <w:color w:val="auto"/>
          <w:sz w:val="22"/>
          <w:szCs w:val="22"/>
        </w:rPr>
        <w:t>has announced</w:t>
      </w:r>
      <w:r w:rsidRPr="003B7F05">
        <w:rPr>
          <w:rFonts w:eastAsiaTheme="minorHAnsi"/>
          <w:b w:val="0"/>
          <w:color w:val="auto"/>
          <w:sz w:val="22"/>
          <w:szCs w:val="22"/>
        </w:rPr>
        <w:t xml:space="preserve"> it </w:t>
      </w:r>
      <w:r>
        <w:rPr>
          <w:rFonts w:eastAsiaTheme="minorHAnsi"/>
          <w:b w:val="0"/>
          <w:color w:val="auto"/>
          <w:sz w:val="22"/>
          <w:szCs w:val="22"/>
        </w:rPr>
        <w:t xml:space="preserve">will </w:t>
      </w:r>
      <w:r w:rsidRPr="003B7F05">
        <w:rPr>
          <w:rFonts w:eastAsiaTheme="minorHAnsi"/>
          <w:b w:val="0"/>
          <w:color w:val="auto"/>
          <w:sz w:val="22"/>
          <w:szCs w:val="22"/>
        </w:rPr>
        <w:t>work through COAG to develop steps to transition to independent heavy vehicle price regulation by 2017-18.</w:t>
      </w:r>
      <w:r w:rsidRPr="003B7F05">
        <w:rPr>
          <w:rStyle w:val="FootnoteReference"/>
          <w:rFonts w:eastAsiaTheme="minorHAnsi"/>
          <w:b w:val="0"/>
          <w:color w:val="auto"/>
          <w:sz w:val="22"/>
          <w:szCs w:val="22"/>
        </w:rPr>
        <w:footnoteReference w:id="12"/>
      </w:r>
    </w:p>
    <w:p w:rsidR="003B7F05" w:rsidRDefault="003B7F05" w:rsidP="00507DA0">
      <w:pPr>
        <w:rPr>
          <w:rFonts w:ascii="Arial" w:eastAsia="Times New Roman" w:hAnsi="Arial" w:cs="Arial"/>
        </w:rPr>
      </w:pPr>
    </w:p>
    <w:p w:rsidR="00507DA0" w:rsidRPr="003B7F05" w:rsidRDefault="003B7F05" w:rsidP="003B7F05">
      <w:pPr>
        <w:rPr>
          <w:rFonts w:ascii="Arial" w:eastAsia="Times New Roman" w:hAnsi="Arial" w:cs="Arial"/>
        </w:rPr>
      </w:pPr>
      <w:r>
        <w:rPr>
          <w:rFonts w:ascii="Arial" w:eastAsia="Times New Roman" w:hAnsi="Arial" w:cs="Arial"/>
        </w:rPr>
        <w:t>In the ATA’s view, t</w:t>
      </w:r>
      <w:r w:rsidR="00507DA0" w:rsidRPr="00C07345">
        <w:rPr>
          <w:rFonts w:ascii="Arial" w:eastAsia="Times New Roman" w:hAnsi="Arial" w:cs="Arial"/>
        </w:rPr>
        <w:t>he introduction of cost-reflective road pricing must include the establishment of an independent economic regulator to set fair, en</w:t>
      </w:r>
      <w:r w:rsidR="00507DA0">
        <w:rPr>
          <w:rFonts w:ascii="Arial" w:eastAsia="Times New Roman" w:hAnsi="Arial" w:cs="Arial"/>
        </w:rPr>
        <w:t>forceable prices for road users.</w:t>
      </w:r>
      <w:r>
        <w:rPr>
          <w:rFonts w:ascii="Arial" w:eastAsia="Times New Roman" w:hAnsi="Arial" w:cs="Arial"/>
        </w:rPr>
        <w:t xml:space="preserve"> </w:t>
      </w:r>
      <w:r>
        <w:rPr>
          <w:rFonts w:ascii="Arial" w:hAnsi="Arial" w:cs="Arial"/>
          <w:iCs/>
        </w:rPr>
        <w:t>I</w:t>
      </w:r>
      <w:r w:rsidR="00507DA0">
        <w:rPr>
          <w:rFonts w:ascii="Arial" w:hAnsi="Arial" w:cs="Arial"/>
          <w:iCs/>
        </w:rPr>
        <w:t xml:space="preserve">n addition to regulating pricing, </w:t>
      </w:r>
      <w:r w:rsidR="003A0AAF">
        <w:rPr>
          <w:rFonts w:ascii="Arial" w:hAnsi="Arial" w:cs="Arial"/>
          <w:iCs/>
        </w:rPr>
        <w:t>the</w:t>
      </w:r>
      <w:r w:rsidR="00507DA0">
        <w:rPr>
          <w:rFonts w:ascii="Arial" w:hAnsi="Arial" w:cs="Arial"/>
          <w:iCs/>
        </w:rPr>
        <w:t xml:space="preserve"> road reform process </w:t>
      </w:r>
      <w:r w:rsidR="003A0AAF">
        <w:rPr>
          <w:rFonts w:ascii="Arial" w:hAnsi="Arial" w:cs="Arial"/>
          <w:iCs/>
        </w:rPr>
        <w:t xml:space="preserve">would need to result in </w:t>
      </w:r>
      <w:r w:rsidR="00507DA0">
        <w:rPr>
          <w:rFonts w:ascii="Arial" w:hAnsi="Arial" w:cs="Arial"/>
          <w:iCs/>
        </w:rPr>
        <w:t>regulate</w:t>
      </w:r>
      <w:r w:rsidR="003A0AAF">
        <w:rPr>
          <w:rFonts w:ascii="Arial" w:hAnsi="Arial" w:cs="Arial"/>
          <w:iCs/>
        </w:rPr>
        <w:t>d</w:t>
      </w:r>
      <w:r w:rsidR="00507DA0">
        <w:rPr>
          <w:rFonts w:ascii="Arial" w:hAnsi="Arial" w:cs="Arial"/>
          <w:iCs/>
        </w:rPr>
        <w:t xml:space="preserve"> road standards, </w:t>
      </w:r>
      <w:r w:rsidR="00507DA0">
        <w:rPr>
          <w:rFonts w:ascii="Arial" w:hAnsi="Arial" w:cs="Arial"/>
          <w:iCs/>
        </w:rPr>
        <w:lastRenderedPageBreak/>
        <w:t>because a price regulated monopoly provider of roads would have an economic incentive to underprovide on service quality.</w:t>
      </w:r>
      <w:r w:rsidR="00507DA0">
        <w:rPr>
          <w:rStyle w:val="FootnoteReference"/>
          <w:rFonts w:ascii="Arial" w:hAnsi="Arial"/>
          <w:iCs/>
        </w:rPr>
        <w:footnoteReference w:id="13"/>
      </w:r>
      <w:r w:rsidR="00507DA0">
        <w:rPr>
          <w:rFonts w:ascii="Arial" w:hAnsi="Arial" w:cs="Arial"/>
          <w:iCs/>
        </w:rPr>
        <w:t xml:space="preserve"> </w:t>
      </w:r>
    </w:p>
    <w:p w:rsidR="00507DA0" w:rsidRDefault="00507DA0" w:rsidP="00507DA0">
      <w:pPr>
        <w:pStyle w:val="NormalWeb"/>
        <w:spacing w:before="0" w:beforeAutospacing="0" w:after="0" w:afterAutospacing="0"/>
        <w:rPr>
          <w:rFonts w:ascii="Arial" w:hAnsi="Arial" w:cs="Arial"/>
          <w:iCs/>
          <w:sz w:val="22"/>
          <w:szCs w:val="22"/>
        </w:rPr>
      </w:pPr>
    </w:p>
    <w:p w:rsidR="003B7F05" w:rsidRDefault="00507DA0" w:rsidP="00507DA0">
      <w:pPr>
        <w:pStyle w:val="NormalWeb"/>
        <w:spacing w:before="0" w:beforeAutospacing="0" w:after="0" w:afterAutospacing="0"/>
        <w:rPr>
          <w:rFonts w:ascii="Arial" w:hAnsi="Arial" w:cs="Arial"/>
          <w:iCs/>
          <w:sz w:val="22"/>
          <w:szCs w:val="22"/>
        </w:rPr>
      </w:pPr>
      <w:r>
        <w:rPr>
          <w:rFonts w:ascii="Arial" w:hAnsi="Arial" w:cs="Arial"/>
          <w:iCs/>
          <w:sz w:val="22"/>
          <w:szCs w:val="22"/>
        </w:rPr>
        <w:t>Drawing on a comprehensive report from PricewaterhouseCoopers, the ATA has previously argued that the Government should define a three tier road freight network, with engineering and access standards set for each tier.</w:t>
      </w:r>
      <w:r>
        <w:rPr>
          <w:rStyle w:val="FootnoteReference"/>
          <w:rFonts w:ascii="Arial" w:hAnsi="Arial"/>
          <w:iCs/>
          <w:sz w:val="22"/>
          <w:szCs w:val="22"/>
        </w:rPr>
        <w:footnoteReference w:id="14"/>
      </w:r>
      <w:r>
        <w:rPr>
          <w:rFonts w:ascii="Arial" w:hAnsi="Arial" w:cs="Arial"/>
          <w:iCs/>
          <w:sz w:val="22"/>
          <w:szCs w:val="22"/>
        </w:rPr>
        <w:t xml:space="preserve"> </w:t>
      </w:r>
    </w:p>
    <w:p w:rsidR="003B7F05" w:rsidRDefault="003B7F05" w:rsidP="00507DA0">
      <w:pPr>
        <w:pStyle w:val="NormalWeb"/>
        <w:spacing w:before="0" w:beforeAutospacing="0" w:after="0" w:afterAutospacing="0"/>
        <w:rPr>
          <w:rFonts w:ascii="Arial" w:hAnsi="Arial" w:cs="Arial"/>
          <w:iCs/>
          <w:sz w:val="22"/>
          <w:szCs w:val="22"/>
        </w:rPr>
      </w:pPr>
    </w:p>
    <w:p w:rsidR="00507DA0" w:rsidRDefault="003B7F05" w:rsidP="00507DA0">
      <w:pPr>
        <w:pStyle w:val="NormalWeb"/>
        <w:spacing w:before="0" w:beforeAutospacing="0" w:after="0" w:afterAutospacing="0"/>
        <w:rPr>
          <w:rFonts w:ascii="Arial" w:hAnsi="Arial" w:cs="Arial"/>
          <w:iCs/>
          <w:sz w:val="22"/>
          <w:szCs w:val="22"/>
        </w:rPr>
      </w:pPr>
      <w:r>
        <w:rPr>
          <w:rFonts w:ascii="Arial" w:hAnsi="Arial" w:cs="Arial"/>
          <w:iCs/>
          <w:sz w:val="22"/>
          <w:szCs w:val="22"/>
        </w:rPr>
        <w:t xml:space="preserve">The ATA continues to hold this view: any regulated standards should define </w:t>
      </w:r>
      <w:r w:rsidR="003A0AAF">
        <w:rPr>
          <w:rFonts w:ascii="Arial" w:hAnsi="Arial" w:cs="Arial"/>
          <w:iCs/>
          <w:sz w:val="22"/>
          <w:szCs w:val="22"/>
        </w:rPr>
        <w:t xml:space="preserve">mandatory levels of HPV </w:t>
      </w:r>
      <w:r>
        <w:rPr>
          <w:rFonts w:ascii="Arial" w:hAnsi="Arial" w:cs="Arial"/>
          <w:iCs/>
          <w:sz w:val="22"/>
          <w:szCs w:val="22"/>
        </w:rPr>
        <w:t>access</w:t>
      </w:r>
      <w:r w:rsidR="00507DA0">
        <w:rPr>
          <w:rFonts w:ascii="Arial" w:hAnsi="Arial" w:cs="Arial"/>
          <w:iCs/>
          <w:sz w:val="22"/>
          <w:szCs w:val="22"/>
        </w:rPr>
        <w:t xml:space="preserve"> </w:t>
      </w:r>
      <w:r>
        <w:rPr>
          <w:rFonts w:ascii="Arial" w:hAnsi="Arial" w:cs="Arial"/>
          <w:iCs/>
          <w:sz w:val="22"/>
          <w:szCs w:val="22"/>
        </w:rPr>
        <w:t>as well as engineering standards.</w:t>
      </w:r>
    </w:p>
    <w:p w:rsidR="003B7F05" w:rsidRDefault="003B7F05" w:rsidP="00507DA0">
      <w:pPr>
        <w:pStyle w:val="NormalWeb"/>
        <w:spacing w:before="0" w:beforeAutospacing="0" w:after="0" w:afterAutospacing="0"/>
        <w:rPr>
          <w:rFonts w:ascii="Arial" w:hAnsi="Arial" w:cs="Arial"/>
          <w:iCs/>
          <w:sz w:val="22"/>
          <w:szCs w:val="22"/>
        </w:rPr>
      </w:pPr>
    </w:p>
    <w:p w:rsidR="003B7F05" w:rsidRDefault="003B7F05" w:rsidP="00507DA0">
      <w:pPr>
        <w:pStyle w:val="NormalWeb"/>
        <w:spacing w:before="0" w:beforeAutospacing="0" w:after="0" w:afterAutospacing="0"/>
        <w:rPr>
          <w:rFonts w:ascii="Arial" w:hAnsi="Arial" w:cs="Arial"/>
          <w:iCs/>
          <w:sz w:val="22"/>
          <w:szCs w:val="22"/>
        </w:rPr>
      </w:pPr>
    </w:p>
    <w:p w:rsidR="003B7F05" w:rsidRPr="003B7F05" w:rsidRDefault="007238DA" w:rsidP="00507DA0">
      <w:pPr>
        <w:pStyle w:val="NormalWeb"/>
        <w:spacing w:before="0" w:beforeAutospacing="0" w:after="0" w:afterAutospacing="0"/>
        <w:rPr>
          <w:rFonts w:ascii="Arial" w:hAnsi="Arial" w:cs="Arial"/>
          <w:b/>
          <w:iCs/>
          <w:sz w:val="22"/>
          <w:szCs w:val="22"/>
        </w:rPr>
      </w:pPr>
      <w:r>
        <w:rPr>
          <w:rFonts w:ascii="Arial" w:hAnsi="Arial" w:cs="Arial"/>
          <w:b/>
          <w:iCs/>
          <w:sz w:val="22"/>
          <w:szCs w:val="22"/>
        </w:rPr>
        <w:t>ATA recommendation 7</w:t>
      </w:r>
    </w:p>
    <w:p w:rsidR="00507DA0" w:rsidRDefault="00507DA0" w:rsidP="00BE4572">
      <w:pPr>
        <w:pStyle w:val="ATAHeading2"/>
        <w:numPr>
          <w:ilvl w:val="0"/>
          <w:numId w:val="0"/>
        </w:numPr>
        <w:spacing w:before="0" w:after="0" w:line="240" w:lineRule="auto"/>
        <w:ind w:left="432" w:hanging="432"/>
        <w:rPr>
          <w:b w:val="0"/>
          <w:color w:val="auto"/>
          <w:sz w:val="22"/>
          <w:szCs w:val="22"/>
        </w:rPr>
      </w:pPr>
    </w:p>
    <w:p w:rsidR="003B7F05" w:rsidRPr="007D4922" w:rsidRDefault="007D4922" w:rsidP="007D4922">
      <w:pPr>
        <w:pStyle w:val="ATAHeading2"/>
        <w:numPr>
          <w:ilvl w:val="0"/>
          <w:numId w:val="0"/>
        </w:numPr>
        <w:spacing w:before="0" w:after="0" w:line="240" w:lineRule="auto"/>
        <w:rPr>
          <w:color w:val="auto"/>
          <w:sz w:val="22"/>
          <w:szCs w:val="22"/>
        </w:rPr>
      </w:pPr>
      <w:r w:rsidRPr="007D4922">
        <w:rPr>
          <w:color w:val="auto"/>
          <w:sz w:val="22"/>
          <w:szCs w:val="22"/>
        </w:rPr>
        <w:t>The Government’s road reform program should include the establishment of an independent economic regulator with the ability to regulate road standards as well as prices. The regulated road standards should include standards about HPV access.</w:t>
      </w:r>
    </w:p>
    <w:p w:rsidR="003B7F05" w:rsidRDefault="003B7F05" w:rsidP="00BE4572">
      <w:pPr>
        <w:pStyle w:val="ATAHeading2"/>
        <w:numPr>
          <w:ilvl w:val="0"/>
          <w:numId w:val="0"/>
        </w:numPr>
        <w:spacing w:before="0" w:after="0" w:line="240" w:lineRule="auto"/>
        <w:ind w:left="432" w:hanging="432"/>
        <w:rPr>
          <w:b w:val="0"/>
          <w:color w:val="auto"/>
          <w:sz w:val="22"/>
          <w:szCs w:val="22"/>
        </w:rPr>
      </w:pPr>
    </w:p>
    <w:p w:rsidR="00881FE3" w:rsidRDefault="00881FE3" w:rsidP="00BE4572">
      <w:pPr>
        <w:pStyle w:val="ATAHeading2"/>
        <w:numPr>
          <w:ilvl w:val="0"/>
          <w:numId w:val="0"/>
        </w:numPr>
        <w:spacing w:before="0" w:after="0" w:line="240" w:lineRule="auto"/>
        <w:ind w:left="432" w:hanging="432"/>
        <w:rPr>
          <w:b w:val="0"/>
          <w:color w:val="auto"/>
          <w:sz w:val="22"/>
          <w:szCs w:val="22"/>
        </w:rPr>
      </w:pPr>
    </w:p>
    <w:p w:rsidR="00BE4572" w:rsidRPr="00431A02" w:rsidRDefault="00BE4572" w:rsidP="009E66F7">
      <w:pPr>
        <w:pStyle w:val="ATAHeading2"/>
        <w:keepNext/>
        <w:numPr>
          <w:ilvl w:val="0"/>
          <w:numId w:val="0"/>
        </w:numPr>
        <w:spacing w:before="0" w:after="0" w:line="240" w:lineRule="auto"/>
        <w:ind w:left="432" w:hanging="432"/>
        <w:rPr>
          <w:b w:val="0"/>
          <w:i/>
          <w:color w:val="auto"/>
          <w:sz w:val="22"/>
          <w:szCs w:val="22"/>
        </w:rPr>
      </w:pPr>
      <w:bookmarkStart w:id="6" w:name="_Toc447197677"/>
      <w:r w:rsidRPr="00431A02">
        <w:rPr>
          <w:b w:val="0"/>
          <w:i/>
          <w:color w:val="auto"/>
          <w:sz w:val="22"/>
          <w:szCs w:val="22"/>
        </w:rPr>
        <w:t>24.</w:t>
      </w:r>
      <w:r w:rsidRPr="00431A02">
        <w:rPr>
          <w:b w:val="0"/>
          <w:i/>
          <w:color w:val="auto"/>
          <w:sz w:val="22"/>
          <w:szCs w:val="22"/>
        </w:rPr>
        <w:tab/>
        <w:t>How could taxes and charges for motor vehicle purchase and/or use be reformed to encourage the purchase and supply of more efficient vehicles?</w:t>
      </w:r>
      <w:bookmarkEnd w:id="6"/>
    </w:p>
    <w:p w:rsidR="00A20F91" w:rsidRDefault="00A20F91" w:rsidP="009E66F7">
      <w:pPr>
        <w:pStyle w:val="NoSpacing"/>
        <w:keepNext/>
        <w:rPr>
          <w:rFonts w:ascii="Arial" w:hAnsi="Arial" w:cs="Arial"/>
          <w:color w:val="auto"/>
          <w:sz w:val="22"/>
          <w:szCs w:val="22"/>
        </w:rPr>
      </w:pPr>
    </w:p>
    <w:p w:rsidR="0022088D" w:rsidRDefault="00A20F91" w:rsidP="009E66F7">
      <w:pPr>
        <w:pStyle w:val="NoSpacing"/>
        <w:keepNext/>
        <w:rPr>
          <w:rFonts w:ascii="Arial" w:hAnsi="Arial" w:cs="Arial"/>
          <w:color w:val="auto"/>
          <w:sz w:val="22"/>
          <w:szCs w:val="22"/>
        </w:rPr>
      </w:pPr>
      <w:r>
        <w:rPr>
          <w:rFonts w:ascii="Arial" w:hAnsi="Arial" w:cs="Arial"/>
          <w:color w:val="auto"/>
          <w:sz w:val="22"/>
          <w:szCs w:val="22"/>
        </w:rPr>
        <w:t>The ATA is aware of a proposal to remove or reduce the eligibility of older vehicles for fuel tax credits, regardless of their compliance with the c</w:t>
      </w:r>
      <w:r w:rsidR="000E130C">
        <w:rPr>
          <w:rFonts w:ascii="Arial" w:hAnsi="Arial" w:cs="Arial"/>
          <w:color w:val="auto"/>
          <w:sz w:val="22"/>
          <w:szCs w:val="22"/>
        </w:rPr>
        <w:t>urrent maintenance requirements</w:t>
      </w:r>
      <w:r>
        <w:rPr>
          <w:rFonts w:ascii="Arial" w:hAnsi="Arial" w:cs="Arial"/>
          <w:color w:val="auto"/>
          <w:sz w:val="22"/>
          <w:szCs w:val="22"/>
        </w:rPr>
        <w:t xml:space="preserve"> or the requirements proposed in ATA recommendation 4.</w:t>
      </w:r>
    </w:p>
    <w:p w:rsidR="00A20F91" w:rsidRDefault="00A20F91" w:rsidP="0022088D">
      <w:pPr>
        <w:pStyle w:val="NoSpacing"/>
        <w:rPr>
          <w:rFonts w:ascii="Arial" w:hAnsi="Arial" w:cs="Arial"/>
          <w:color w:val="auto"/>
          <w:sz w:val="22"/>
          <w:szCs w:val="22"/>
        </w:rPr>
      </w:pPr>
    </w:p>
    <w:p w:rsidR="00A20F91" w:rsidRDefault="002E7838" w:rsidP="0022088D">
      <w:pPr>
        <w:pStyle w:val="NoSpacing"/>
        <w:rPr>
          <w:rFonts w:ascii="Arial" w:hAnsi="Arial" w:cs="Arial"/>
          <w:color w:val="auto"/>
          <w:sz w:val="22"/>
          <w:szCs w:val="22"/>
        </w:rPr>
      </w:pPr>
      <w:r>
        <w:rPr>
          <w:rFonts w:ascii="Arial" w:hAnsi="Arial" w:cs="Arial"/>
          <w:color w:val="auto"/>
          <w:sz w:val="22"/>
          <w:szCs w:val="22"/>
        </w:rPr>
        <w:t>T</w:t>
      </w:r>
      <w:r w:rsidR="00A20F91">
        <w:rPr>
          <w:rFonts w:ascii="Arial" w:hAnsi="Arial" w:cs="Arial"/>
          <w:color w:val="auto"/>
          <w:sz w:val="22"/>
          <w:szCs w:val="22"/>
        </w:rPr>
        <w:t>he revenue saved would be used to fund investment allowances to encourage the purchase of new trucks, with a smaller allowance for the purchase of late model second hand trucks.</w:t>
      </w:r>
    </w:p>
    <w:p w:rsidR="0022088D" w:rsidRPr="0022088D" w:rsidRDefault="0022088D" w:rsidP="0022088D">
      <w:pPr>
        <w:pStyle w:val="NoSpacing"/>
        <w:rPr>
          <w:rFonts w:ascii="Arial" w:hAnsi="Arial" w:cs="Arial"/>
          <w:color w:val="auto"/>
          <w:sz w:val="22"/>
          <w:szCs w:val="22"/>
        </w:rPr>
      </w:pPr>
    </w:p>
    <w:p w:rsidR="0022088D" w:rsidRPr="0022088D" w:rsidRDefault="0022088D" w:rsidP="0022088D">
      <w:pPr>
        <w:pStyle w:val="NoSpacing"/>
        <w:rPr>
          <w:rFonts w:ascii="Arial" w:hAnsi="Arial" w:cs="Arial"/>
          <w:color w:val="auto"/>
          <w:sz w:val="22"/>
          <w:szCs w:val="22"/>
        </w:rPr>
      </w:pPr>
      <w:r w:rsidRPr="0022088D">
        <w:rPr>
          <w:rFonts w:ascii="Arial" w:hAnsi="Arial" w:cs="Arial"/>
          <w:color w:val="auto"/>
          <w:sz w:val="22"/>
          <w:szCs w:val="22"/>
        </w:rPr>
        <w:t xml:space="preserve">The </w:t>
      </w:r>
      <w:r w:rsidR="00A20F91">
        <w:rPr>
          <w:rFonts w:ascii="Arial" w:hAnsi="Arial" w:cs="Arial"/>
          <w:color w:val="auto"/>
          <w:sz w:val="22"/>
          <w:szCs w:val="22"/>
        </w:rPr>
        <w:t xml:space="preserve">proposal </w:t>
      </w:r>
      <w:r w:rsidRPr="0022088D">
        <w:rPr>
          <w:rFonts w:ascii="Arial" w:hAnsi="Arial" w:cs="Arial"/>
          <w:color w:val="auto"/>
          <w:sz w:val="22"/>
          <w:szCs w:val="22"/>
        </w:rPr>
        <w:t xml:space="preserve">is </w:t>
      </w:r>
      <w:r w:rsidR="002E7838">
        <w:rPr>
          <w:rFonts w:ascii="Arial" w:hAnsi="Arial" w:cs="Arial"/>
          <w:color w:val="auto"/>
          <w:sz w:val="22"/>
          <w:szCs w:val="22"/>
        </w:rPr>
        <w:t xml:space="preserve">said </w:t>
      </w:r>
      <w:r w:rsidRPr="0022088D">
        <w:rPr>
          <w:rFonts w:ascii="Arial" w:hAnsi="Arial" w:cs="Arial"/>
          <w:color w:val="auto"/>
          <w:sz w:val="22"/>
          <w:szCs w:val="22"/>
        </w:rPr>
        <w:t>to have multiple benefits, including a reduction in vehicle emissions and an increase in truck sales.</w:t>
      </w:r>
    </w:p>
    <w:p w:rsidR="0022088D" w:rsidRPr="0022088D" w:rsidRDefault="0022088D" w:rsidP="0022088D">
      <w:pPr>
        <w:pStyle w:val="NoSpacing"/>
        <w:rPr>
          <w:rFonts w:ascii="Arial" w:hAnsi="Arial" w:cs="Arial"/>
          <w:color w:val="auto"/>
          <w:sz w:val="22"/>
          <w:szCs w:val="22"/>
        </w:rPr>
      </w:pPr>
    </w:p>
    <w:p w:rsidR="0022088D" w:rsidRPr="0022088D" w:rsidRDefault="0022088D" w:rsidP="0022088D">
      <w:pPr>
        <w:pStyle w:val="NoSpacing"/>
        <w:rPr>
          <w:rFonts w:ascii="Arial" w:hAnsi="Arial" w:cs="Arial"/>
          <w:color w:val="auto"/>
          <w:sz w:val="22"/>
          <w:szCs w:val="22"/>
        </w:rPr>
      </w:pPr>
      <w:r w:rsidRPr="0022088D">
        <w:rPr>
          <w:rFonts w:ascii="Arial" w:hAnsi="Arial" w:cs="Arial"/>
          <w:color w:val="auto"/>
          <w:sz w:val="22"/>
          <w:szCs w:val="22"/>
        </w:rPr>
        <w:t xml:space="preserve">As the peak body representing the businesses that would be expected to pay the extra fuel tax, </w:t>
      </w:r>
      <w:r w:rsidR="00A20F91">
        <w:rPr>
          <w:rFonts w:ascii="Arial" w:hAnsi="Arial" w:cs="Arial"/>
          <w:color w:val="auto"/>
          <w:sz w:val="22"/>
          <w:szCs w:val="22"/>
        </w:rPr>
        <w:t>the ATA does not support this proposal,</w:t>
      </w:r>
      <w:r w:rsidRPr="0022088D">
        <w:rPr>
          <w:rFonts w:ascii="Arial" w:hAnsi="Arial" w:cs="Arial"/>
          <w:color w:val="auto"/>
          <w:sz w:val="22"/>
          <w:szCs w:val="22"/>
        </w:rPr>
        <w:t xml:space="preserve"> </w:t>
      </w:r>
      <w:r w:rsidR="00A20F91">
        <w:rPr>
          <w:rFonts w:ascii="Arial" w:hAnsi="Arial" w:cs="Arial"/>
          <w:color w:val="auto"/>
          <w:sz w:val="22"/>
          <w:szCs w:val="22"/>
        </w:rPr>
        <w:t>because</w:t>
      </w:r>
      <w:r w:rsidRPr="0022088D">
        <w:rPr>
          <w:rFonts w:ascii="Arial" w:hAnsi="Arial" w:cs="Arial"/>
          <w:color w:val="auto"/>
          <w:sz w:val="22"/>
          <w:szCs w:val="22"/>
        </w:rPr>
        <w:t>:</w:t>
      </w:r>
    </w:p>
    <w:p w:rsidR="0022088D" w:rsidRPr="0022088D" w:rsidRDefault="0022088D" w:rsidP="0022088D">
      <w:pPr>
        <w:pStyle w:val="NoSpacing"/>
        <w:rPr>
          <w:rFonts w:ascii="Arial" w:hAnsi="Arial" w:cs="Arial"/>
          <w:color w:val="auto"/>
          <w:sz w:val="22"/>
          <w:szCs w:val="22"/>
        </w:rPr>
      </w:pPr>
    </w:p>
    <w:p w:rsidR="0022088D" w:rsidRPr="00A20F91" w:rsidRDefault="0022088D" w:rsidP="00957CB8">
      <w:pPr>
        <w:pStyle w:val="NoSpacing"/>
        <w:numPr>
          <w:ilvl w:val="0"/>
          <w:numId w:val="41"/>
        </w:numPr>
        <w:rPr>
          <w:rFonts w:ascii="Arial" w:hAnsi="Arial" w:cs="Arial"/>
          <w:color w:val="auto"/>
          <w:sz w:val="22"/>
          <w:szCs w:val="22"/>
        </w:rPr>
      </w:pPr>
      <w:r w:rsidRPr="002E7838">
        <w:rPr>
          <w:rFonts w:ascii="Arial" w:hAnsi="Arial" w:cs="Arial"/>
          <w:color w:val="auto"/>
          <w:sz w:val="22"/>
          <w:szCs w:val="22"/>
        </w:rPr>
        <w:t>Altering fuel tax credit rates is an inefficient way to address vehicle emissions</w:t>
      </w:r>
      <w:r w:rsidR="00A20F91" w:rsidRPr="002E7838">
        <w:rPr>
          <w:rFonts w:ascii="Arial" w:hAnsi="Arial" w:cs="Arial"/>
          <w:color w:val="auto"/>
          <w:sz w:val="22"/>
          <w:szCs w:val="22"/>
        </w:rPr>
        <w:t xml:space="preserve">. </w:t>
      </w:r>
      <w:r w:rsidR="00A20F91">
        <w:rPr>
          <w:rFonts w:ascii="Arial" w:hAnsi="Arial" w:cs="Arial"/>
          <w:color w:val="auto"/>
          <w:sz w:val="22"/>
          <w:szCs w:val="22"/>
        </w:rPr>
        <w:t>T</w:t>
      </w:r>
      <w:r w:rsidRPr="00A20F91">
        <w:rPr>
          <w:rFonts w:ascii="Arial" w:hAnsi="Arial" w:cs="Arial"/>
          <w:color w:val="auto"/>
          <w:sz w:val="22"/>
          <w:szCs w:val="22"/>
        </w:rPr>
        <w:t xml:space="preserve">he vehicle emissions regulated by the ADRs are overwhelmingly an urban </w:t>
      </w:r>
      <w:r w:rsidR="000E130C">
        <w:rPr>
          <w:rFonts w:ascii="Arial" w:hAnsi="Arial" w:cs="Arial"/>
          <w:color w:val="auto"/>
          <w:sz w:val="22"/>
          <w:szCs w:val="22"/>
        </w:rPr>
        <w:t>issue</w:t>
      </w:r>
      <w:r w:rsidRPr="00A20F91">
        <w:rPr>
          <w:rFonts w:ascii="Arial" w:hAnsi="Arial" w:cs="Arial"/>
          <w:color w:val="auto"/>
          <w:sz w:val="22"/>
          <w:szCs w:val="22"/>
        </w:rPr>
        <w:t>. In 2005, for example, the BTRE concluded that 85 per cent of the cost of motor vehicle emissions related mortality and morbidity was incurred in capital cities.</w:t>
      </w:r>
      <w:r w:rsidRPr="0022088D">
        <w:rPr>
          <w:rStyle w:val="FootnoteReference"/>
          <w:rFonts w:ascii="Arial" w:hAnsi="Arial" w:cs="Arial"/>
          <w:color w:val="auto"/>
          <w:sz w:val="22"/>
          <w:szCs w:val="22"/>
        </w:rPr>
        <w:footnoteReference w:id="15"/>
      </w:r>
    </w:p>
    <w:p w:rsidR="0022088D" w:rsidRPr="0022088D" w:rsidRDefault="0022088D" w:rsidP="0022088D">
      <w:pPr>
        <w:pStyle w:val="NoSpacing"/>
        <w:rPr>
          <w:rFonts w:ascii="Arial" w:hAnsi="Arial" w:cs="Arial"/>
          <w:color w:val="auto"/>
          <w:sz w:val="22"/>
          <w:szCs w:val="22"/>
        </w:rPr>
      </w:pPr>
    </w:p>
    <w:p w:rsidR="0022088D" w:rsidRPr="0022088D" w:rsidRDefault="0022088D" w:rsidP="00A20F91">
      <w:pPr>
        <w:pStyle w:val="NoSpacing"/>
        <w:ind w:left="720"/>
        <w:rPr>
          <w:rFonts w:ascii="Arial" w:hAnsi="Arial" w:cs="Arial"/>
          <w:color w:val="auto"/>
          <w:sz w:val="22"/>
          <w:szCs w:val="22"/>
        </w:rPr>
      </w:pPr>
      <w:r w:rsidRPr="0022088D">
        <w:rPr>
          <w:rFonts w:ascii="Arial" w:hAnsi="Arial" w:cs="Arial"/>
          <w:color w:val="auto"/>
          <w:sz w:val="22"/>
          <w:szCs w:val="22"/>
        </w:rPr>
        <w:t xml:space="preserve">Altering fuel tax credit rates as a mechanism for encouraging operators to purchase more recent vehicles would impose </w:t>
      </w:r>
      <w:r w:rsidR="002E7838">
        <w:rPr>
          <w:rFonts w:ascii="Arial" w:hAnsi="Arial" w:cs="Arial"/>
          <w:color w:val="auto"/>
          <w:sz w:val="22"/>
          <w:szCs w:val="22"/>
        </w:rPr>
        <w:t xml:space="preserve">large </w:t>
      </w:r>
      <w:r w:rsidRPr="0022088D">
        <w:rPr>
          <w:rFonts w:ascii="Arial" w:hAnsi="Arial" w:cs="Arial"/>
          <w:color w:val="auto"/>
          <w:sz w:val="22"/>
          <w:szCs w:val="22"/>
        </w:rPr>
        <w:t>costs across the whole of Australia, including in r</w:t>
      </w:r>
      <w:r w:rsidR="006B3C96">
        <w:rPr>
          <w:rFonts w:ascii="Arial" w:hAnsi="Arial" w:cs="Arial"/>
          <w:color w:val="auto"/>
          <w:sz w:val="22"/>
          <w:szCs w:val="22"/>
        </w:rPr>
        <w:t>ural and remote areas where the</w:t>
      </w:r>
      <w:r w:rsidRPr="0022088D">
        <w:rPr>
          <w:rFonts w:ascii="Arial" w:hAnsi="Arial" w:cs="Arial"/>
          <w:color w:val="auto"/>
          <w:sz w:val="22"/>
          <w:szCs w:val="22"/>
        </w:rPr>
        <w:t xml:space="preserve"> major sources of particulate pollution are bushfires, mining and agriculture, and windblown particles – not vehicle operations.</w:t>
      </w:r>
      <w:r w:rsidRPr="0022088D">
        <w:rPr>
          <w:rStyle w:val="FootnoteReference"/>
          <w:rFonts w:ascii="Arial" w:hAnsi="Arial" w:cs="Arial"/>
          <w:color w:val="auto"/>
          <w:sz w:val="22"/>
          <w:szCs w:val="22"/>
        </w:rPr>
        <w:footnoteReference w:id="16"/>
      </w:r>
    </w:p>
    <w:p w:rsidR="0022088D" w:rsidRPr="0022088D" w:rsidRDefault="0022088D" w:rsidP="0022088D">
      <w:pPr>
        <w:pStyle w:val="NoSpacing"/>
        <w:rPr>
          <w:rFonts w:ascii="Arial" w:hAnsi="Arial" w:cs="Arial"/>
          <w:color w:val="auto"/>
          <w:sz w:val="22"/>
          <w:szCs w:val="22"/>
        </w:rPr>
      </w:pPr>
    </w:p>
    <w:p w:rsidR="002E7838" w:rsidRPr="002E7838" w:rsidRDefault="002E7838" w:rsidP="002E7838">
      <w:pPr>
        <w:pStyle w:val="NoSpacing"/>
        <w:numPr>
          <w:ilvl w:val="0"/>
          <w:numId w:val="41"/>
        </w:numPr>
        <w:rPr>
          <w:rFonts w:ascii="Arial" w:hAnsi="Arial" w:cs="Arial"/>
          <w:i/>
          <w:color w:val="auto"/>
          <w:sz w:val="22"/>
          <w:szCs w:val="22"/>
        </w:rPr>
      </w:pPr>
      <w:r>
        <w:rPr>
          <w:rFonts w:ascii="Arial" w:hAnsi="Arial" w:cs="Arial"/>
          <w:color w:val="auto"/>
          <w:sz w:val="22"/>
          <w:szCs w:val="22"/>
        </w:rPr>
        <w:t>Trucking businesses set their freight rates on the basis that they receive fuel tax credits for every litre of fuel they use.</w:t>
      </w:r>
      <w:r w:rsidR="00F25517">
        <w:rPr>
          <w:rFonts w:ascii="Arial" w:hAnsi="Arial" w:cs="Arial"/>
          <w:color w:val="auto"/>
          <w:sz w:val="22"/>
          <w:szCs w:val="22"/>
        </w:rPr>
        <w:t xml:space="preserve"> </w:t>
      </w:r>
      <w:r>
        <w:rPr>
          <w:rFonts w:ascii="Arial" w:hAnsi="Arial" w:cs="Arial"/>
          <w:color w:val="auto"/>
          <w:sz w:val="22"/>
          <w:szCs w:val="22"/>
        </w:rPr>
        <w:t>Under the proposal, a trucking business operating older vehicles would simply not be competitive.</w:t>
      </w:r>
    </w:p>
    <w:p w:rsidR="002E7838" w:rsidRPr="002E7838" w:rsidRDefault="002E7838" w:rsidP="002E7838">
      <w:pPr>
        <w:pStyle w:val="NoSpacing"/>
        <w:ind w:left="720"/>
        <w:rPr>
          <w:rFonts w:ascii="Arial" w:hAnsi="Arial" w:cs="Arial"/>
          <w:i/>
          <w:color w:val="auto"/>
          <w:sz w:val="22"/>
          <w:szCs w:val="22"/>
        </w:rPr>
      </w:pPr>
    </w:p>
    <w:p w:rsidR="002E7838" w:rsidRDefault="002E7838" w:rsidP="002E7838">
      <w:pPr>
        <w:pStyle w:val="NoSpacing"/>
        <w:ind w:left="720"/>
        <w:rPr>
          <w:rFonts w:ascii="Arial" w:hAnsi="Arial" w:cs="Arial"/>
          <w:color w:val="auto"/>
          <w:sz w:val="22"/>
          <w:szCs w:val="22"/>
        </w:rPr>
      </w:pPr>
      <w:r>
        <w:rPr>
          <w:rFonts w:ascii="Arial" w:hAnsi="Arial" w:cs="Arial"/>
          <w:color w:val="auto"/>
          <w:sz w:val="22"/>
          <w:szCs w:val="22"/>
        </w:rPr>
        <w:t>The proponents of tiered fuel tax credit rates would no doubt argue that an opera</w:t>
      </w:r>
      <w:r w:rsidR="00B20E2E">
        <w:rPr>
          <w:rFonts w:ascii="Arial" w:hAnsi="Arial" w:cs="Arial"/>
          <w:color w:val="auto"/>
          <w:sz w:val="22"/>
          <w:szCs w:val="22"/>
        </w:rPr>
        <w:t>tor with older trucks c</w:t>
      </w:r>
      <w:r>
        <w:rPr>
          <w:rFonts w:ascii="Arial" w:hAnsi="Arial" w:cs="Arial"/>
          <w:color w:val="auto"/>
          <w:sz w:val="22"/>
          <w:szCs w:val="22"/>
        </w:rPr>
        <w:t xml:space="preserve">ould </w:t>
      </w:r>
      <w:r w:rsidR="00B20E2E">
        <w:rPr>
          <w:rFonts w:ascii="Arial" w:hAnsi="Arial" w:cs="Arial"/>
          <w:color w:val="auto"/>
          <w:sz w:val="22"/>
          <w:szCs w:val="22"/>
        </w:rPr>
        <w:t xml:space="preserve">avoid paying the extra tax by taking </w:t>
      </w:r>
      <w:r>
        <w:rPr>
          <w:rFonts w:ascii="Arial" w:hAnsi="Arial" w:cs="Arial"/>
          <w:color w:val="auto"/>
          <w:sz w:val="22"/>
          <w:szCs w:val="22"/>
        </w:rPr>
        <w:t>advantage of the investment allowances and renew</w:t>
      </w:r>
      <w:r w:rsidR="00B20E2E">
        <w:rPr>
          <w:rFonts w:ascii="Arial" w:hAnsi="Arial" w:cs="Arial"/>
          <w:color w:val="auto"/>
          <w:sz w:val="22"/>
          <w:szCs w:val="22"/>
        </w:rPr>
        <w:t>ing</w:t>
      </w:r>
      <w:r>
        <w:rPr>
          <w:rFonts w:ascii="Arial" w:hAnsi="Arial" w:cs="Arial"/>
          <w:color w:val="auto"/>
          <w:sz w:val="22"/>
          <w:szCs w:val="22"/>
        </w:rPr>
        <w:t xml:space="preserve"> its fleet. But small trucking businesses </w:t>
      </w:r>
      <w:r w:rsidRPr="0022088D">
        <w:rPr>
          <w:rFonts w:ascii="Arial" w:hAnsi="Arial" w:cs="Arial"/>
          <w:color w:val="auto"/>
          <w:sz w:val="22"/>
          <w:szCs w:val="22"/>
        </w:rPr>
        <w:t>have a limited capacity to invest in new equipment, ev</w:t>
      </w:r>
      <w:r>
        <w:rPr>
          <w:rFonts w:ascii="Arial" w:hAnsi="Arial" w:cs="Arial"/>
          <w:color w:val="auto"/>
          <w:sz w:val="22"/>
          <w:szCs w:val="22"/>
        </w:rPr>
        <w:t>en with an investment allowance</w:t>
      </w:r>
      <w:r w:rsidR="00B20E2E">
        <w:rPr>
          <w:rFonts w:ascii="Arial" w:hAnsi="Arial" w:cs="Arial"/>
          <w:color w:val="auto"/>
          <w:sz w:val="22"/>
          <w:szCs w:val="22"/>
        </w:rPr>
        <w:t>, and the cost of paying for new assets before they are needed is a tax of its own.</w:t>
      </w:r>
    </w:p>
    <w:p w:rsidR="002E7838" w:rsidRDefault="002E7838" w:rsidP="002E7838">
      <w:pPr>
        <w:pStyle w:val="NoSpacing"/>
        <w:ind w:left="720"/>
        <w:rPr>
          <w:rFonts w:ascii="Arial" w:hAnsi="Arial" w:cs="Arial"/>
          <w:color w:val="auto"/>
          <w:sz w:val="22"/>
          <w:szCs w:val="22"/>
        </w:rPr>
      </w:pPr>
    </w:p>
    <w:p w:rsidR="008A2C5D" w:rsidRDefault="008A2C5D" w:rsidP="008A2C5D">
      <w:pPr>
        <w:pStyle w:val="NoSpacing"/>
        <w:numPr>
          <w:ilvl w:val="0"/>
          <w:numId w:val="41"/>
        </w:numPr>
        <w:rPr>
          <w:rFonts w:ascii="Arial" w:hAnsi="Arial" w:cs="Arial"/>
          <w:color w:val="auto"/>
          <w:sz w:val="22"/>
          <w:szCs w:val="22"/>
        </w:rPr>
      </w:pPr>
      <w:r>
        <w:rPr>
          <w:rFonts w:ascii="Arial" w:hAnsi="Arial" w:cs="Arial"/>
          <w:color w:val="auto"/>
          <w:sz w:val="22"/>
          <w:szCs w:val="22"/>
        </w:rPr>
        <w:t>The proposal is inconsistent with broader government policy, which seeks to re</w:t>
      </w:r>
      <w:r w:rsidR="002B1784">
        <w:rPr>
          <w:rFonts w:ascii="Arial" w:hAnsi="Arial" w:cs="Arial"/>
          <w:color w:val="auto"/>
          <w:sz w:val="22"/>
          <w:szCs w:val="22"/>
        </w:rPr>
        <w:t>duce the payments-to-GDP ratio</w:t>
      </w:r>
      <w:r w:rsidR="002B1784">
        <w:rPr>
          <w:rStyle w:val="FootnoteReference"/>
          <w:rFonts w:ascii="Arial" w:hAnsi="Arial"/>
          <w:color w:val="auto"/>
          <w:sz w:val="22"/>
          <w:szCs w:val="22"/>
        </w:rPr>
        <w:footnoteReference w:id="17"/>
      </w:r>
      <w:r w:rsidR="002B1784">
        <w:rPr>
          <w:rFonts w:ascii="Arial" w:hAnsi="Arial" w:cs="Arial"/>
          <w:color w:val="auto"/>
          <w:sz w:val="22"/>
          <w:szCs w:val="22"/>
        </w:rPr>
        <w:t xml:space="preserve"> </w:t>
      </w:r>
      <w:r w:rsidR="00B20E2E">
        <w:rPr>
          <w:rFonts w:ascii="Arial" w:hAnsi="Arial" w:cs="Arial"/>
          <w:color w:val="auto"/>
          <w:sz w:val="22"/>
          <w:szCs w:val="22"/>
        </w:rPr>
        <w:t xml:space="preserve">and </w:t>
      </w:r>
      <w:r w:rsidR="008D74A1">
        <w:rPr>
          <w:rFonts w:ascii="Arial" w:hAnsi="Arial" w:cs="Arial"/>
          <w:color w:val="auto"/>
          <w:sz w:val="22"/>
          <w:szCs w:val="22"/>
        </w:rPr>
        <w:t>support small business to become more profitable and competitive</w:t>
      </w:r>
      <w:r w:rsidR="00B20E2E">
        <w:rPr>
          <w:rFonts w:ascii="Arial" w:hAnsi="Arial" w:cs="Arial"/>
          <w:color w:val="auto"/>
          <w:sz w:val="22"/>
          <w:szCs w:val="22"/>
        </w:rPr>
        <w:t>.</w:t>
      </w:r>
      <w:r w:rsidR="008D74A1">
        <w:rPr>
          <w:rStyle w:val="FootnoteReference"/>
          <w:rFonts w:ascii="Arial" w:hAnsi="Arial"/>
          <w:color w:val="auto"/>
          <w:sz w:val="22"/>
          <w:szCs w:val="22"/>
        </w:rPr>
        <w:footnoteReference w:id="18"/>
      </w:r>
    </w:p>
    <w:p w:rsidR="00192148" w:rsidRDefault="00192148" w:rsidP="0022088D">
      <w:pPr>
        <w:pStyle w:val="NoSpacing"/>
        <w:rPr>
          <w:rFonts w:ascii="Arial" w:hAnsi="Arial" w:cs="Arial"/>
          <w:color w:val="auto"/>
          <w:sz w:val="22"/>
          <w:szCs w:val="22"/>
        </w:rPr>
      </w:pPr>
    </w:p>
    <w:p w:rsidR="00B20E2E" w:rsidRDefault="00B20E2E" w:rsidP="0022088D">
      <w:pPr>
        <w:pStyle w:val="NoSpacing"/>
        <w:rPr>
          <w:rFonts w:ascii="Arial" w:hAnsi="Arial" w:cs="Arial"/>
          <w:color w:val="auto"/>
          <w:sz w:val="22"/>
          <w:szCs w:val="22"/>
        </w:rPr>
      </w:pPr>
    </w:p>
    <w:p w:rsidR="0009511E" w:rsidRDefault="007238DA" w:rsidP="0022088D">
      <w:pPr>
        <w:pStyle w:val="NoSpacing"/>
        <w:rPr>
          <w:rFonts w:ascii="Arial" w:hAnsi="Arial" w:cs="Arial"/>
          <w:b/>
          <w:color w:val="auto"/>
          <w:sz w:val="22"/>
          <w:szCs w:val="22"/>
        </w:rPr>
      </w:pPr>
      <w:r>
        <w:rPr>
          <w:rFonts w:ascii="Arial" w:hAnsi="Arial" w:cs="Arial"/>
          <w:b/>
          <w:color w:val="auto"/>
          <w:sz w:val="22"/>
          <w:szCs w:val="22"/>
        </w:rPr>
        <w:t>ATA recommendation 8</w:t>
      </w:r>
    </w:p>
    <w:p w:rsidR="007D4922" w:rsidRDefault="007D4922" w:rsidP="0022088D">
      <w:pPr>
        <w:pStyle w:val="NoSpacing"/>
        <w:rPr>
          <w:rFonts w:ascii="Arial" w:hAnsi="Arial" w:cs="Arial"/>
          <w:b/>
          <w:color w:val="auto"/>
          <w:sz w:val="22"/>
          <w:szCs w:val="22"/>
        </w:rPr>
      </w:pPr>
    </w:p>
    <w:p w:rsidR="007D4922" w:rsidRPr="007D4922" w:rsidRDefault="007D4922" w:rsidP="0022088D">
      <w:pPr>
        <w:pStyle w:val="NoSpacing"/>
        <w:rPr>
          <w:rFonts w:ascii="Arial" w:hAnsi="Arial" w:cs="Arial"/>
          <w:b/>
          <w:color w:val="auto"/>
          <w:sz w:val="22"/>
          <w:szCs w:val="22"/>
        </w:rPr>
      </w:pPr>
      <w:r>
        <w:rPr>
          <w:rFonts w:ascii="Arial" w:hAnsi="Arial" w:cs="Arial"/>
          <w:b/>
          <w:color w:val="auto"/>
          <w:sz w:val="22"/>
          <w:szCs w:val="22"/>
        </w:rPr>
        <w:t>The Government should not take any further action on proposals to vary fuel tax credit rates on the basis of the age of the vehicle.</w:t>
      </w:r>
    </w:p>
    <w:sectPr w:rsidR="007D4922" w:rsidRPr="007D4922" w:rsidSect="00431A02">
      <w:headerReference w:type="default" r:id="rId10"/>
      <w:pgSz w:w="11906" w:h="16838" w:code="9"/>
      <w:pgMar w:top="1134" w:right="1134" w:bottom="567" w:left="1134" w:header="703" w:footer="3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1B0" w:rsidRDefault="005F01B0" w:rsidP="000F3D9F">
      <w:r>
        <w:separator/>
      </w:r>
    </w:p>
  </w:endnote>
  <w:endnote w:type="continuationSeparator" w:id="0">
    <w:p w:rsidR="005F01B0" w:rsidRDefault="005F01B0" w:rsidP="000F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1B0" w:rsidRDefault="005F01B0" w:rsidP="000F3D9F">
      <w:r>
        <w:separator/>
      </w:r>
    </w:p>
  </w:footnote>
  <w:footnote w:type="continuationSeparator" w:id="0">
    <w:p w:rsidR="005F01B0" w:rsidRDefault="005F01B0" w:rsidP="000F3D9F">
      <w:r>
        <w:continuationSeparator/>
      </w:r>
    </w:p>
  </w:footnote>
  <w:footnote w:id="1">
    <w:p w:rsidR="00431A02" w:rsidRPr="00A07AE4" w:rsidRDefault="00431A02" w:rsidP="00431A02">
      <w:pPr>
        <w:pStyle w:val="FootnoteText"/>
        <w:rPr>
          <w:rFonts w:ascii="Arial" w:hAnsi="Arial" w:cs="Arial"/>
          <w:sz w:val="18"/>
          <w:szCs w:val="18"/>
        </w:rPr>
      </w:pPr>
      <w:r w:rsidRPr="00A07AE4">
        <w:rPr>
          <w:rStyle w:val="FootnoteReference"/>
          <w:rFonts w:ascii="Arial" w:hAnsi="Arial" w:cs="Arial"/>
          <w:sz w:val="18"/>
          <w:szCs w:val="18"/>
        </w:rPr>
        <w:footnoteRef/>
      </w:r>
      <w:r w:rsidRPr="00A07AE4">
        <w:rPr>
          <w:rFonts w:ascii="Arial" w:hAnsi="Arial" w:cs="Arial"/>
          <w:sz w:val="18"/>
          <w:szCs w:val="18"/>
        </w:rPr>
        <w:t xml:space="preserve"> European Commission, </w:t>
      </w:r>
      <w:hyperlink r:id="rId1" w:history="1">
        <w:r w:rsidRPr="00FE2D6D">
          <w:rPr>
            <w:rStyle w:val="Hyperlink"/>
            <w:rFonts w:ascii="Arial" w:hAnsi="Arial" w:cs="Arial"/>
            <w:sz w:val="18"/>
            <w:szCs w:val="18"/>
          </w:rPr>
          <w:t>Strategy for reducing heavy duty vehicles’ fuel consumption and CO</w:t>
        </w:r>
        <w:r w:rsidRPr="00FE2D6D">
          <w:rPr>
            <w:rStyle w:val="Hyperlink"/>
            <w:rFonts w:ascii="Arial" w:hAnsi="Arial" w:cs="Arial"/>
            <w:sz w:val="18"/>
            <w:szCs w:val="18"/>
            <w:vertAlign w:val="subscript"/>
          </w:rPr>
          <w:t>2</w:t>
        </w:r>
        <w:r w:rsidRPr="00FE2D6D">
          <w:rPr>
            <w:rStyle w:val="Hyperlink"/>
            <w:rFonts w:ascii="Arial" w:hAnsi="Arial" w:cs="Arial"/>
            <w:sz w:val="18"/>
            <w:szCs w:val="18"/>
          </w:rPr>
          <w:t xml:space="preserve"> emissions</w:t>
        </w:r>
      </w:hyperlink>
      <w:r w:rsidRPr="00A07AE4">
        <w:rPr>
          <w:rFonts w:ascii="Arial" w:hAnsi="Arial" w:cs="Arial"/>
          <w:sz w:val="18"/>
          <w:szCs w:val="18"/>
        </w:rPr>
        <w:t>. COM(2014) 285 final, p9.</w:t>
      </w:r>
    </w:p>
  </w:footnote>
  <w:footnote w:id="2">
    <w:p w:rsidR="00FE2D6D" w:rsidRPr="00FE2D6D" w:rsidRDefault="00FE2D6D" w:rsidP="00FE2D6D">
      <w:pPr>
        <w:pStyle w:val="FootnoteText"/>
        <w:rPr>
          <w:rStyle w:val="Hyperlink"/>
          <w:rFonts w:ascii="Arial" w:hAnsi="Arial" w:cs="Arial"/>
          <w:sz w:val="18"/>
          <w:szCs w:val="18"/>
        </w:rPr>
      </w:pPr>
      <w:r w:rsidRPr="00FE2D6D">
        <w:rPr>
          <w:rStyle w:val="FootnoteReference"/>
          <w:rFonts w:ascii="Arial" w:hAnsi="Arial" w:cs="Arial"/>
          <w:sz w:val="18"/>
          <w:szCs w:val="18"/>
        </w:rPr>
        <w:footnoteRef/>
      </w:r>
      <w:r w:rsidRPr="00FE2D6D">
        <w:rPr>
          <w:rFonts w:ascii="Arial" w:hAnsi="Arial" w:cs="Arial"/>
          <w:sz w:val="18"/>
          <w:szCs w:val="18"/>
        </w:rPr>
        <w:t xml:space="preserve"> European Commission, </w:t>
      </w:r>
      <w:r>
        <w:rPr>
          <w:rFonts w:ascii="Arial" w:hAnsi="Arial" w:cs="Arial"/>
          <w:sz w:val="18"/>
          <w:szCs w:val="18"/>
        </w:rPr>
        <w:fldChar w:fldCharType="begin"/>
      </w:r>
      <w:r>
        <w:rPr>
          <w:rFonts w:ascii="Arial" w:hAnsi="Arial" w:cs="Arial"/>
          <w:sz w:val="18"/>
          <w:szCs w:val="18"/>
        </w:rPr>
        <w:instrText xml:space="preserve"> HYPERLINK "http://ec.europa.eu/clima/policies/transport/vehicles/heavy/docs/swd_2014_160_en.pdf" </w:instrText>
      </w:r>
      <w:r>
        <w:rPr>
          <w:rFonts w:ascii="Arial" w:hAnsi="Arial" w:cs="Arial"/>
          <w:sz w:val="18"/>
          <w:szCs w:val="18"/>
        </w:rPr>
        <w:fldChar w:fldCharType="separate"/>
      </w:r>
      <w:r w:rsidRPr="00FE2D6D">
        <w:rPr>
          <w:rStyle w:val="Hyperlink"/>
          <w:rFonts w:ascii="Arial" w:hAnsi="Arial" w:cs="Arial"/>
          <w:sz w:val="18"/>
          <w:szCs w:val="18"/>
        </w:rPr>
        <w:t>Commission staff working document: impact assessment accompanying the document:</w:t>
      </w:r>
    </w:p>
    <w:p w:rsidR="00FE2D6D" w:rsidRPr="00FE2D6D" w:rsidRDefault="00FE2D6D" w:rsidP="00FE2D6D">
      <w:pPr>
        <w:pStyle w:val="FootnoteText"/>
        <w:rPr>
          <w:rFonts w:ascii="Arial" w:hAnsi="Arial" w:cs="Arial"/>
          <w:sz w:val="18"/>
          <w:szCs w:val="18"/>
        </w:rPr>
      </w:pPr>
      <w:r w:rsidRPr="00FE2D6D">
        <w:rPr>
          <w:rStyle w:val="Hyperlink"/>
          <w:rFonts w:ascii="Arial" w:hAnsi="Arial" w:cs="Arial"/>
          <w:sz w:val="18"/>
          <w:szCs w:val="18"/>
        </w:rPr>
        <w:t>Strategy for reducing heavy-duty vehicles’ fuel consumption and CO</w:t>
      </w:r>
      <w:r w:rsidRPr="00FE2D6D">
        <w:rPr>
          <w:rStyle w:val="Hyperlink"/>
          <w:rFonts w:ascii="Arial" w:hAnsi="Arial" w:cs="Arial"/>
          <w:sz w:val="18"/>
          <w:szCs w:val="18"/>
          <w:vertAlign w:val="subscript"/>
        </w:rPr>
        <w:t>2</w:t>
      </w:r>
      <w:r w:rsidRPr="00FE2D6D">
        <w:rPr>
          <w:rStyle w:val="Hyperlink"/>
          <w:rFonts w:ascii="Arial" w:hAnsi="Arial" w:cs="Arial"/>
          <w:sz w:val="18"/>
          <w:szCs w:val="18"/>
        </w:rPr>
        <w:t xml:space="preserve"> emissions</w:t>
      </w:r>
      <w:r>
        <w:rPr>
          <w:rFonts w:ascii="Arial" w:hAnsi="Arial" w:cs="Arial"/>
          <w:sz w:val="18"/>
          <w:szCs w:val="18"/>
        </w:rPr>
        <w:fldChar w:fldCharType="end"/>
      </w:r>
      <w:r w:rsidRPr="00FE2D6D">
        <w:rPr>
          <w:rFonts w:ascii="Arial" w:hAnsi="Arial" w:cs="Arial"/>
          <w:sz w:val="18"/>
          <w:szCs w:val="18"/>
        </w:rPr>
        <w:t>. SWD(2014) 160 final, p37.</w:t>
      </w:r>
    </w:p>
  </w:footnote>
  <w:footnote w:id="3">
    <w:p w:rsidR="0045249B" w:rsidRPr="0045249B" w:rsidRDefault="0045249B">
      <w:pPr>
        <w:pStyle w:val="FootnoteText"/>
        <w:rPr>
          <w:rFonts w:ascii="Arial" w:hAnsi="Arial" w:cs="Arial"/>
          <w:sz w:val="18"/>
          <w:szCs w:val="18"/>
        </w:rPr>
      </w:pPr>
      <w:r w:rsidRPr="0045249B">
        <w:rPr>
          <w:rStyle w:val="FootnoteReference"/>
          <w:rFonts w:ascii="Arial" w:hAnsi="Arial" w:cs="Arial"/>
          <w:sz w:val="18"/>
          <w:szCs w:val="18"/>
        </w:rPr>
        <w:footnoteRef/>
      </w:r>
      <w:r w:rsidRPr="0045249B">
        <w:rPr>
          <w:rFonts w:ascii="Arial" w:hAnsi="Arial" w:cs="Arial"/>
          <w:sz w:val="18"/>
          <w:szCs w:val="18"/>
        </w:rPr>
        <w:t xml:space="preserve"> Australian Government, </w:t>
      </w:r>
      <w:hyperlink r:id="rId2" w:history="1">
        <w:r w:rsidRPr="00D01675">
          <w:rPr>
            <w:rStyle w:val="Hyperlink"/>
            <w:rFonts w:ascii="Arial" w:hAnsi="Arial" w:cs="Arial"/>
            <w:sz w:val="18"/>
            <w:szCs w:val="18"/>
          </w:rPr>
          <w:t>Securing Australia’s energy future</w:t>
        </w:r>
      </w:hyperlink>
      <w:r w:rsidRPr="0045249B">
        <w:rPr>
          <w:rFonts w:ascii="Arial" w:hAnsi="Arial" w:cs="Arial"/>
          <w:sz w:val="18"/>
          <w:szCs w:val="18"/>
        </w:rPr>
        <w:t>, 2004, p103.</w:t>
      </w:r>
    </w:p>
  </w:footnote>
  <w:footnote w:id="4">
    <w:p w:rsidR="00D648D1" w:rsidRPr="00D648D1" w:rsidRDefault="00D648D1">
      <w:pPr>
        <w:pStyle w:val="FootnoteText"/>
        <w:rPr>
          <w:rFonts w:ascii="Arial" w:hAnsi="Arial" w:cs="Arial"/>
          <w:sz w:val="18"/>
          <w:szCs w:val="18"/>
        </w:rPr>
      </w:pPr>
      <w:r>
        <w:rPr>
          <w:rStyle w:val="FootnoteReference"/>
        </w:rPr>
        <w:footnoteRef/>
      </w:r>
      <w:r>
        <w:t xml:space="preserve"> </w:t>
      </w:r>
      <w:r>
        <w:rPr>
          <w:rFonts w:ascii="Arial" w:hAnsi="Arial" w:cs="Arial"/>
          <w:sz w:val="18"/>
          <w:szCs w:val="18"/>
        </w:rPr>
        <w:t xml:space="preserve">McGinn, S. </w:t>
      </w:r>
      <w:hyperlink r:id="rId3" w:history="1">
        <w:r w:rsidRPr="00D648D1">
          <w:rPr>
            <w:rStyle w:val="Hyperlink"/>
            <w:rFonts w:ascii="Arial" w:hAnsi="Arial" w:cs="Arial"/>
            <w:sz w:val="18"/>
            <w:szCs w:val="18"/>
          </w:rPr>
          <w:t>The relationship between diesel engine maintenance and exhaust emissions</w:t>
        </w:r>
      </w:hyperlink>
      <w:r>
        <w:rPr>
          <w:rFonts w:ascii="Arial" w:hAnsi="Arial" w:cs="Arial"/>
          <w:sz w:val="18"/>
          <w:szCs w:val="18"/>
        </w:rPr>
        <w:t>, Noranda Technology Centre for the Diesel Emissions Evaluation Program (DEEP), p8.</w:t>
      </w:r>
    </w:p>
  </w:footnote>
  <w:footnote w:id="5">
    <w:p w:rsidR="00EF58FC" w:rsidRPr="00291632" w:rsidRDefault="00EF58FC">
      <w:pPr>
        <w:pStyle w:val="FootnoteText"/>
        <w:rPr>
          <w:rFonts w:ascii="Arial" w:hAnsi="Arial" w:cs="Arial"/>
          <w:sz w:val="18"/>
          <w:szCs w:val="18"/>
        </w:rPr>
      </w:pPr>
      <w:r w:rsidRPr="00291632">
        <w:rPr>
          <w:rStyle w:val="FootnoteReference"/>
          <w:rFonts w:ascii="Arial" w:hAnsi="Arial" w:cs="Arial"/>
          <w:sz w:val="18"/>
          <w:szCs w:val="18"/>
        </w:rPr>
        <w:footnoteRef/>
      </w:r>
      <w:r w:rsidRPr="00291632">
        <w:rPr>
          <w:rFonts w:ascii="Arial" w:hAnsi="Arial" w:cs="Arial"/>
          <w:sz w:val="18"/>
          <w:szCs w:val="18"/>
        </w:rPr>
        <w:t xml:space="preserve"> Pillot, D et al. </w:t>
      </w:r>
      <w:hyperlink r:id="rId4" w:history="1">
        <w:r w:rsidRPr="00291632">
          <w:rPr>
            <w:rStyle w:val="Hyperlink"/>
            <w:rFonts w:ascii="Arial" w:hAnsi="Arial" w:cs="Arial"/>
            <w:sz w:val="18"/>
            <w:szCs w:val="18"/>
          </w:rPr>
          <w:t>Impacts of inadequate engine maintenance on diesel exhaust emissions</w:t>
        </w:r>
      </w:hyperlink>
      <w:r w:rsidR="00291632">
        <w:rPr>
          <w:rFonts w:ascii="Arial" w:hAnsi="Arial" w:cs="Arial"/>
          <w:sz w:val="18"/>
          <w:szCs w:val="18"/>
        </w:rPr>
        <w:t>, Transport Research Arena 2014, Paris.</w:t>
      </w:r>
    </w:p>
  </w:footnote>
  <w:footnote w:id="6">
    <w:p w:rsidR="007238DA" w:rsidRPr="000E130C" w:rsidRDefault="007238DA">
      <w:pPr>
        <w:pStyle w:val="FootnoteText"/>
        <w:rPr>
          <w:rFonts w:ascii="Arial" w:hAnsi="Arial" w:cs="Arial"/>
          <w:sz w:val="18"/>
          <w:szCs w:val="18"/>
        </w:rPr>
      </w:pPr>
      <w:r w:rsidRPr="000E130C">
        <w:rPr>
          <w:rStyle w:val="FootnoteReference"/>
          <w:rFonts w:ascii="Arial" w:hAnsi="Arial" w:cs="Arial"/>
          <w:sz w:val="18"/>
          <w:szCs w:val="18"/>
        </w:rPr>
        <w:footnoteRef/>
      </w:r>
      <w:r w:rsidRPr="000E130C">
        <w:rPr>
          <w:rFonts w:ascii="Arial" w:hAnsi="Arial" w:cs="Arial"/>
          <w:sz w:val="18"/>
          <w:szCs w:val="18"/>
        </w:rPr>
        <w:t xml:space="preserve"> The list of accredited maintenance programs is available </w:t>
      </w:r>
      <w:hyperlink r:id="rId5" w:history="1">
        <w:r w:rsidRPr="000E130C">
          <w:rPr>
            <w:rStyle w:val="Hyperlink"/>
            <w:rFonts w:ascii="Arial" w:hAnsi="Arial" w:cs="Arial"/>
            <w:sz w:val="18"/>
            <w:szCs w:val="18"/>
          </w:rPr>
          <w:t>here</w:t>
        </w:r>
      </w:hyperlink>
      <w:r w:rsidRPr="000E130C">
        <w:rPr>
          <w:rFonts w:ascii="Arial" w:hAnsi="Arial" w:cs="Arial"/>
          <w:sz w:val="18"/>
          <w:szCs w:val="18"/>
        </w:rPr>
        <w:t>.</w:t>
      </w:r>
    </w:p>
  </w:footnote>
  <w:footnote w:id="7">
    <w:p w:rsidR="0060648F" w:rsidRPr="0060648F" w:rsidRDefault="0060648F" w:rsidP="0060648F">
      <w:pPr>
        <w:pStyle w:val="FootnoteText"/>
        <w:rPr>
          <w:rFonts w:ascii="Arial" w:hAnsi="Arial" w:cs="Arial"/>
          <w:sz w:val="18"/>
          <w:szCs w:val="18"/>
        </w:rPr>
      </w:pPr>
      <w:r>
        <w:rPr>
          <w:rStyle w:val="FootnoteReference"/>
        </w:rPr>
        <w:footnoteRef/>
      </w:r>
      <w:r>
        <w:t xml:space="preserve"> </w:t>
      </w:r>
      <w:r w:rsidRPr="0060648F">
        <w:rPr>
          <w:rFonts w:ascii="Arial" w:hAnsi="Arial" w:cs="Arial"/>
          <w:sz w:val="18"/>
          <w:szCs w:val="18"/>
        </w:rPr>
        <w:t xml:space="preserve">Department of Transport and Regional Services, </w:t>
      </w:r>
      <w:hyperlink r:id="rId6" w:history="1">
        <w:r w:rsidRPr="00694CB3">
          <w:rPr>
            <w:rStyle w:val="Hyperlink"/>
            <w:rFonts w:ascii="Arial" w:hAnsi="Arial" w:cs="Arial"/>
            <w:sz w:val="18"/>
            <w:szCs w:val="18"/>
          </w:rPr>
          <w:t>Fuel tax credit for heavy diesel vehicles: guidelines for satisfying environmental criteria</w:t>
        </w:r>
      </w:hyperlink>
      <w:r w:rsidRPr="0060648F">
        <w:rPr>
          <w:rFonts w:ascii="Arial" w:hAnsi="Arial" w:cs="Arial"/>
          <w:sz w:val="18"/>
          <w:szCs w:val="18"/>
        </w:rPr>
        <w:t xml:space="preserve">, 2006, pp7-9. </w:t>
      </w:r>
    </w:p>
  </w:footnote>
  <w:footnote w:id="8">
    <w:p w:rsidR="00641C1F" w:rsidRPr="00641C1F" w:rsidRDefault="00641C1F">
      <w:pPr>
        <w:pStyle w:val="FootnoteText"/>
        <w:rPr>
          <w:rFonts w:ascii="Arial" w:hAnsi="Arial" w:cs="Arial"/>
          <w:sz w:val="18"/>
          <w:szCs w:val="18"/>
        </w:rPr>
      </w:pPr>
      <w:r w:rsidRPr="00641C1F">
        <w:rPr>
          <w:rStyle w:val="FootnoteReference"/>
          <w:rFonts w:ascii="Arial" w:hAnsi="Arial" w:cs="Arial"/>
          <w:sz w:val="18"/>
          <w:szCs w:val="18"/>
        </w:rPr>
        <w:footnoteRef/>
      </w:r>
      <w:r w:rsidRPr="00641C1F">
        <w:rPr>
          <w:rFonts w:ascii="Arial" w:hAnsi="Arial" w:cs="Arial"/>
          <w:sz w:val="18"/>
          <w:szCs w:val="18"/>
        </w:rPr>
        <w:t xml:space="preserve"> Based on Australian Bureau of Statistics, </w:t>
      </w:r>
      <w:hyperlink r:id="rId7" w:history="1">
        <w:r w:rsidRPr="00641C1F">
          <w:rPr>
            <w:rStyle w:val="Hyperlink"/>
            <w:rFonts w:ascii="Arial" w:hAnsi="Arial" w:cs="Arial"/>
            <w:sz w:val="18"/>
            <w:szCs w:val="18"/>
          </w:rPr>
          <w:t>Motor vehicle census</w:t>
        </w:r>
      </w:hyperlink>
      <w:r w:rsidRPr="00641C1F">
        <w:rPr>
          <w:rFonts w:ascii="Arial" w:hAnsi="Arial" w:cs="Arial"/>
          <w:sz w:val="18"/>
          <w:szCs w:val="18"/>
        </w:rPr>
        <w:t>, (ABS Cat 9309.0), 31 March 2006, table 10.</w:t>
      </w:r>
    </w:p>
  </w:footnote>
  <w:footnote w:id="9">
    <w:p w:rsidR="00927F0F" w:rsidRPr="00927F0F" w:rsidRDefault="00927F0F">
      <w:pPr>
        <w:pStyle w:val="FootnoteText"/>
        <w:rPr>
          <w:rFonts w:ascii="Arial" w:hAnsi="Arial" w:cs="Arial"/>
          <w:sz w:val="18"/>
          <w:szCs w:val="18"/>
        </w:rPr>
      </w:pPr>
      <w:r w:rsidRPr="00927F0F">
        <w:rPr>
          <w:rStyle w:val="FootnoteReference"/>
          <w:rFonts w:ascii="Arial" w:hAnsi="Arial" w:cs="Arial"/>
          <w:sz w:val="18"/>
          <w:szCs w:val="18"/>
        </w:rPr>
        <w:footnoteRef/>
      </w:r>
      <w:r w:rsidRPr="00927F0F">
        <w:rPr>
          <w:rFonts w:ascii="Arial" w:hAnsi="Arial" w:cs="Arial"/>
          <w:sz w:val="18"/>
          <w:szCs w:val="18"/>
        </w:rPr>
        <w:t xml:space="preserve"> </w:t>
      </w:r>
      <w:r>
        <w:rPr>
          <w:rFonts w:ascii="Arial" w:hAnsi="Arial" w:cs="Arial"/>
          <w:sz w:val="18"/>
          <w:szCs w:val="18"/>
        </w:rPr>
        <w:t>Pillot,</w:t>
      </w:r>
      <w:r w:rsidR="006B3C96">
        <w:rPr>
          <w:rFonts w:ascii="Arial" w:hAnsi="Arial" w:cs="Arial"/>
          <w:sz w:val="18"/>
          <w:szCs w:val="18"/>
        </w:rPr>
        <w:t xml:space="preserve"> 2014.</w:t>
      </w:r>
    </w:p>
  </w:footnote>
  <w:footnote w:id="10">
    <w:p w:rsidR="00821DBE" w:rsidRDefault="00821DBE">
      <w:pPr>
        <w:pStyle w:val="FootnoteText"/>
      </w:pPr>
      <w:r>
        <w:rPr>
          <w:rStyle w:val="FootnoteReference"/>
        </w:rPr>
        <w:footnoteRef/>
      </w:r>
      <w:r w:rsidRPr="00821DBE">
        <w:rPr>
          <w:rFonts w:ascii="Arial" w:hAnsi="Arial" w:cs="Arial"/>
          <w:sz w:val="18"/>
          <w:szCs w:val="18"/>
        </w:rPr>
        <w:t xml:space="preserve"> Australian Government, p6.</w:t>
      </w:r>
    </w:p>
  </w:footnote>
  <w:footnote w:id="11">
    <w:p w:rsidR="0053204B" w:rsidRPr="0053204B" w:rsidRDefault="00CF110C">
      <w:pPr>
        <w:pStyle w:val="FootnoteText"/>
        <w:rPr>
          <w:rFonts w:ascii="Arial" w:hAnsi="Arial" w:cs="Arial"/>
          <w:sz w:val="18"/>
          <w:szCs w:val="18"/>
        </w:rPr>
      </w:pPr>
      <w:r>
        <w:rPr>
          <w:rStyle w:val="FootnoteReference"/>
        </w:rPr>
        <w:footnoteRef/>
      </w:r>
      <w:r w:rsidR="0053204B">
        <w:t xml:space="preserve"> </w:t>
      </w:r>
      <w:r>
        <w:t xml:space="preserve">For example, </w:t>
      </w:r>
      <w:r>
        <w:rPr>
          <w:rFonts w:ascii="Arial" w:hAnsi="Arial" w:cs="Arial"/>
          <w:sz w:val="18"/>
          <w:szCs w:val="18"/>
        </w:rPr>
        <w:t>s</w:t>
      </w:r>
      <w:r w:rsidR="0053204B">
        <w:rPr>
          <w:rFonts w:ascii="Arial" w:hAnsi="Arial" w:cs="Arial"/>
          <w:sz w:val="18"/>
          <w:szCs w:val="18"/>
        </w:rPr>
        <w:t xml:space="preserve">ee ATA, </w:t>
      </w:r>
      <w:hyperlink r:id="rId8" w:history="1">
        <w:r w:rsidRPr="00CF110C">
          <w:rPr>
            <w:rStyle w:val="Hyperlink"/>
            <w:rFonts w:ascii="Arial" w:hAnsi="Arial" w:cs="Arial"/>
            <w:sz w:val="18"/>
            <w:szCs w:val="18"/>
          </w:rPr>
          <w:t>Emissions Reduction Fund submission</w:t>
        </w:r>
      </w:hyperlink>
      <w:r>
        <w:rPr>
          <w:rFonts w:ascii="Arial" w:hAnsi="Arial" w:cs="Arial"/>
          <w:sz w:val="18"/>
          <w:szCs w:val="18"/>
        </w:rPr>
        <w:t xml:space="preserve">, 2013, and </w:t>
      </w:r>
      <w:hyperlink r:id="rId9" w:history="1">
        <w:r w:rsidR="0053204B" w:rsidRPr="00CF110C">
          <w:rPr>
            <w:rStyle w:val="Hyperlink"/>
            <w:rFonts w:ascii="Arial" w:hAnsi="Arial" w:cs="Arial"/>
            <w:sz w:val="18"/>
            <w:szCs w:val="18"/>
          </w:rPr>
          <w:t>Energy Green Paper</w:t>
        </w:r>
        <w:r w:rsidRPr="00CF110C">
          <w:rPr>
            <w:rStyle w:val="Hyperlink"/>
            <w:rFonts w:ascii="Arial" w:hAnsi="Arial" w:cs="Arial"/>
            <w:sz w:val="18"/>
            <w:szCs w:val="18"/>
          </w:rPr>
          <w:t xml:space="preserve"> submission</w:t>
        </w:r>
      </w:hyperlink>
      <w:r w:rsidR="0053204B">
        <w:rPr>
          <w:rFonts w:ascii="Arial" w:hAnsi="Arial" w:cs="Arial"/>
          <w:sz w:val="18"/>
          <w:szCs w:val="18"/>
        </w:rPr>
        <w:t>, 2014</w:t>
      </w:r>
      <w:r>
        <w:rPr>
          <w:rFonts w:ascii="Arial" w:hAnsi="Arial" w:cs="Arial"/>
          <w:sz w:val="18"/>
          <w:szCs w:val="18"/>
        </w:rPr>
        <w:t>.</w:t>
      </w:r>
      <w:r w:rsidR="0053204B">
        <w:rPr>
          <w:rFonts w:ascii="Arial" w:hAnsi="Arial" w:cs="Arial"/>
          <w:sz w:val="18"/>
          <w:szCs w:val="18"/>
        </w:rPr>
        <w:t xml:space="preserve"> </w:t>
      </w:r>
    </w:p>
  </w:footnote>
  <w:footnote w:id="12">
    <w:p w:rsidR="003B7F05" w:rsidRPr="002A7D7F" w:rsidRDefault="003B7F05" w:rsidP="003B7F05">
      <w:pPr>
        <w:pStyle w:val="FootnoteText"/>
        <w:rPr>
          <w:rFonts w:ascii="Arial" w:hAnsi="Arial" w:cs="Arial"/>
          <w:sz w:val="18"/>
          <w:szCs w:val="18"/>
        </w:rPr>
      </w:pPr>
      <w:r>
        <w:rPr>
          <w:rStyle w:val="FootnoteReference"/>
        </w:rPr>
        <w:footnoteRef/>
      </w:r>
      <w:r>
        <w:t xml:space="preserve"> </w:t>
      </w:r>
      <w:r>
        <w:rPr>
          <w:rFonts w:ascii="Arial" w:hAnsi="Arial" w:cs="Arial"/>
          <w:sz w:val="18"/>
          <w:szCs w:val="18"/>
        </w:rPr>
        <w:t xml:space="preserve">Fletcher, P. (Minister for Major Projects, Territories and Local Government), </w:t>
      </w:r>
      <w:r w:rsidRPr="002A7D7F">
        <w:rPr>
          <w:rFonts w:ascii="Arial" w:hAnsi="Arial" w:cs="Arial"/>
          <w:i/>
          <w:sz w:val="18"/>
          <w:szCs w:val="18"/>
        </w:rPr>
        <w:t>The Australian Government’s response to the Harper Review’s recommendations on road pricing</w:t>
      </w:r>
      <w:r>
        <w:rPr>
          <w:rFonts w:ascii="Arial" w:hAnsi="Arial" w:cs="Arial"/>
          <w:sz w:val="18"/>
          <w:szCs w:val="18"/>
        </w:rPr>
        <w:t>, 2 December 2015.</w:t>
      </w:r>
    </w:p>
  </w:footnote>
  <w:footnote w:id="13">
    <w:p w:rsidR="00507DA0" w:rsidRPr="002B31AF" w:rsidRDefault="00507DA0" w:rsidP="00507DA0">
      <w:pPr>
        <w:pStyle w:val="FootnoteText"/>
        <w:rPr>
          <w:rFonts w:ascii="Arial" w:hAnsi="Arial" w:cs="Arial"/>
          <w:sz w:val="18"/>
          <w:szCs w:val="18"/>
        </w:rPr>
      </w:pPr>
      <w:r w:rsidRPr="002B31AF">
        <w:rPr>
          <w:rStyle w:val="FootnoteReference"/>
          <w:rFonts w:ascii="Arial" w:hAnsi="Arial" w:cs="Arial"/>
          <w:sz w:val="18"/>
          <w:szCs w:val="18"/>
        </w:rPr>
        <w:footnoteRef/>
      </w:r>
      <w:r w:rsidRPr="002B31AF">
        <w:rPr>
          <w:rFonts w:ascii="Arial" w:hAnsi="Arial" w:cs="Arial"/>
          <w:sz w:val="18"/>
          <w:szCs w:val="18"/>
        </w:rPr>
        <w:t xml:space="preserve"> See</w:t>
      </w:r>
      <w:r>
        <w:rPr>
          <w:rFonts w:ascii="Arial" w:hAnsi="Arial" w:cs="Arial"/>
          <w:sz w:val="18"/>
          <w:szCs w:val="18"/>
        </w:rPr>
        <w:t xml:space="preserve"> Harvey, M. “Commercial road supply with incentive regulation,” in </w:t>
      </w:r>
      <w:r w:rsidRPr="002B31AF">
        <w:rPr>
          <w:rFonts w:ascii="Arial" w:hAnsi="Arial" w:cs="Arial"/>
          <w:i/>
          <w:sz w:val="18"/>
          <w:szCs w:val="18"/>
        </w:rPr>
        <w:t>International Journal of Sustainable Transportation</w:t>
      </w:r>
      <w:r>
        <w:rPr>
          <w:rFonts w:ascii="Arial" w:hAnsi="Arial" w:cs="Arial"/>
          <w:sz w:val="18"/>
          <w:szCs w:val="18"/>
        </w:rPr>
        <w:t>, 9:4, pp241-253.</w:t>
      </w:r>
    </w:p>
  </w:footnote>
  <w:footnote w:id="14">
    <w:p w:rsidR="00507DA0" w:rsidRPr="00D36B98" w:rsidRDefault="00507DA0" w:rsidP="00507DA0">
      <w:pPr>
        <w:pStyle w:val="FootnoteText"/>
        <w:rPr>
          <w:rFonts w:ascii="Arial" w:hAnsi="Arial" w:cs="Arial"/>
          <w:sz w:val="18"/>
          <w:szCs w:val="18"/>
        </w:rPr>
      </w:pPr>
      <w:r>
        <w:rPr>
          <w:rStyle w:val="FootnoteReference"/>
        </w:rPr>
        <w:footnoteRef/>
      </w:r>
      <w:r>
        <w:t xml:space="preserve"> </w:t>
      </w:r>
      <w:r>
        <w:rPr>
          <w:rFonts w:ascii="Arial" w:hAnsi="Arial" w:cs="Arial"/>
          <w:sz w:val="18"/>
          <w:szCs w:val="18"/>
        </w:rPr>
        <w:t xml:space="preserve">PricewaterhouseCoopers, </w:t>
      </w:r>
      <w:hyperlink r:id="rId10" w:history="1">
        <w:r w:rsidRPr="00487AF1">
          <w:rPr>
            <w:rStyle w:val="Hyperlink"/>
            <w:rFonts w:ascii="Arial" w:hAnsi="Arial" w:cs="Arial"/>
            <w:sz w:val="18"/>
            <w:szCs w:val="18"/>
          </w:rPr>
          <w:t>A future strategy for road supply and charging in Australia</w:t>
        </w:r>
      </w:hyperlink>
      <w:r>
        <w:rPr>
          <w:rFonts w:ascii="Arial" w:hAnsi="Arial" w:cs="Arial"/>
          <w:sz w:val="18"/>
          <w:szCs w:val="18"/>
        </w:rPr>
        <w:t>. Report to the ATA, March 2013, pp31-32.</w:t>
      </w:r>
    </w:p>
  </w:footnote>
  <w:footnote w:id="15">
    <w:p w:rsidR="0022088D" w:rsidRDefault="0022088D" w:rsidP="0022088D">
      <w:pPr>
        <w:pStyle w:val="FootnoteText"/>
      </w:pPr>
      <w:r w:rsidRPr="00D54272">
        <w:rPr>
          <w:rStyle w:val="FootnoteReference"/>
          <w:rFonts w:ascii="Arial" w:hAnsi="Arial" w:cs="Arial"/>
          <w:sz w:val="18"/>
          <w:szCs w:val="18"/>
        </w:rPr>
        <w:footnoteRef/>
      </w:r>
      <w:r w:rsidRPr="00D54272">
        <w:rPr>
          <w:rFonts w:ascii="Arial" w:hAnsi="Arial" w:cs="Arial"/>
          <w:sz w:val="18"/>
          <w:szCs w:val="18"/>
        </w:rPr>
        <w:t xml:space="preserve"> BTRE (2005) </w:t>
      </w:r>
      <w:hyperlink r:id="rId11" w:history="1">
        <w:r w:rsidRPr="00F86F5A">
          <w:rPr>
            <w:rStyle w:val="Hyperlink"/>
            <w:rFonts w:ascii="Arial" w:hAnsi="Arial" w:cs="Arial"/>
            <w:sz w:val="18"/>
            <w:szCs w:val="18"/>
          </w:rPr>
          <w:t>Health impacts of transport emissions in Australia: economic costs</w:t>
        </w:r>
      </w:hyperlink>
      <w:r w:rsidRPr="00D54272">
        <w:rPr>
          <w:rFonts w:ascii="Arial" w:hAnsi="Arial" w:cs="Arial"/>
          <w:sz w:val="18"/>
          <w:szCs w:val="18"/>
        </w:rPr>
        <w:t>. Workin</w:t>
      </w:r>
      <w:r w:rsidR="00F86F5A">
        <w:rPr>
          <w:rFonts w:ascii="Arial" w:hAnsi="Arial" w:cs="Arial"/>
          <w:sz w:val="18"/>
          <w:szCs w:val="18"/>
        </w:rPr>
        <w:t>g paper 63, p100.</w:t>
      </w:r>
    </w:p>
  </w:footnote>
  <w:footnote w:id="16">
    <w:p w:rsidR="0022088D" w:rsidRPr="00D54272" w:rsidRDefault="0022088D" w:rsidP="0022088D">
      <w:pPr>
        <w:pStyle w:val="FootnoteText"/>
        <w:rPr>
          <w:rFonts w:ascii="Arial" w:hAnsi="Arial" w:cs="Arial"/>
          <w:sz w:val="18"/>
          <w:szCs w:val="18"/>
        </w:rPr>
      </w:pPr>
      <w:r w:rsidRPr="00D54272">
        <w:rPr>
          <w:rStyle w:val="FootnoteReference"/>
          <w:rFonts w:ascii="Arial" w:hAnsi="Arial" w:cs="Arial"/>
          <w:sz w:val="18"/>
          <w:szCs w:val="18"/>
        </w:rPr>
        <w:footnoteRef/>
      </w:r>
      <w:r w:rsidRPr="00D54272">
        <w:rPr>
          <w:rFonts w:ascii="Arial" w:hAnsi="Arial" w:cs="Arial"/>
          <w:sz w:val="18"/>
          <w:szCs w:val="18"/>
        </w:rPr>
        <w:t xml:space="preserve"> BITRE, p39.</w:t>
      </w:r>
    </w:p>
  </w:footnote>
  <w:footnote w:id="17">
    <w:p w:rsidR="002B1784" w:rsidRPr="002B1784" w:rsidRDefault="002B1784">
      <w:pPr>
        <w:pStyle w:val="FootnoteText"/>
        <w:rPr>
          <w:rFonts w:ascii="Arial" w:hAnsi="Arial" w:cs="Arial"/>
          <w:sz w:val="18"/>
          <w:szCs w:val="18"/>
        </w:rPr>
      </w:pPr>
      <w:r w:rsidRPr="002B1784">
        <w:rPr>
          <w:rStyle w:val="FootnoteReference"/>
          <w:rFonts w:ascii="Arial" w:hAnsi="Arial" w:cs="Arial"/>
          <w:sz w:val="18"/>
          <w:szCs w:val="18"/>
        </w:rPr>
        <w:footnoteRef/>
      </w:r>
      <w:r w:rsidRPr="002B1784">
        <w:rPr>
          <w:rFonts w:ascii="Arial" w:hAnsi="Arial" w:cs="Arial"/>
          <w:sz w:val="18"/>
          <w:szCs w:val="18"/>
        </w:rPr>
        <w:t xml:space="preserve"> Australian Government, </w:t>
      </w:r>
      <w:hyperlink r:id="rId12" w:history="1">
        <w:r w:rsidRPr="002B1784">
          <w:rPr>
            <w:rStyle w:val="Hyperlink"/>
            <w:rFonts w:ascii="Arial" w:hAnsi="Arial" w:cs="Arial"/>
            <w:sz w:val="18"/>
            <w:szCs w:val="18"/>
          </w:rPr>
          <w:t>Budget strategy and outlook: budget paper no. 1 2015-16</w:t>
        </w:r>
      </w:hyperlink>
      <w:r w:rsidRPr="002B1784">
        <w:rPr>
          <w:rFonts w:ascii="Arial" w:hAnsi="Arial" w:cs="Arial"/>
          <w:sz w:val="18"/>
          <w:szCs w:val="18"/>
        </w:rPr>
        <w:t>, 12 May 2015, p3-4.</w:t>
      </w:r>
    </w:p>
  </w:footnote>
  <w:footnote w:id="18">
    <w:p w:rsidR="008D74A1" w:rsidRPr="008D74A1" w:rsidRDefault="008D74A1">
      <w:pPr>
        <w:pStyle w:val="FootnoteText"/>
        <w:rPr>
          <w:rFonts w:ascii="Arial" w:hAnsi="Arial" w:cs="Arial"/>
          <w:sz w:val="18"/>
          <w:szCs w:val="18"/>
        </w:rPr>
      </w:pPr>
      <w:r w:rsidRPr="008D74A1">
        <w:rPr>
          <w:rStyle w:val="FootnoteReference"/>
          <w:rFonts w:ascii="Arial" w:hAnsi="Arial" w:cs="Arial"/>
          <w:sz w:val="18"/>
          <w:szCs w:val="18"/>
        </w:rPr>
        <w:footnoteRef/>
      </w:r>
      <w:r w:rsidRPr="008D74A1">
        <w:rPr>
          <w:rFonts w:ascii="Arial" w:hAnsi="Arial" w:cs="Arial"/>
          <w:sz w:val="18"/>
          <w:szCs w:val="18"/>
        </w:rPr>
        <w:t xml:space="preserve"> Australian Government, </w:t>
      </w:r>
      <w:hyperlink r:id="rId13" w:history="1">
        <w:r w:rsidRPr="008D74A1">
          <w:rPr>
            <w:rStyle w:val="Hyperlink"/>
            <w:rFonts w:ascii="Arial" w:hAnsi="Arial" w:cs="Arial"/>
            <w:sz w:val="18"/>
            <w:szCs w:val="18"/>
          </w:rPr>
          <w:t>Growing jobs and small business, 2015-16 budget supplement</w:t>
        </w:r>
      </w:hyperlink>
      <w:r w:rsidRPr="008D74A1">
        <w:rPr>
          <w:rFonts w:ascii="Arial" w:hAnsi="Arial" w:cs="Arial"/>
          <w:sz w:val="18"/>
          <w:szCs w:val="18"/>
        </w:rPr>
        <w:t>, 12 May 2015, p2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A02" w:rsidRPr="00431A02" w:rsidRDefault="003B7F05" w:rsidP="00431A02">
    <w:pPr>
      <w:pStyle w:val="Header"/>
      <w:jc w:val="right"/>
      <w:rPr>
        <w:rFonts w:ascii="Arial" w:hAnsi="Arial" w:cs="Arial"/>
      </w:rPr>
    </w:pPr>
    <w:r>
      <w:rPr>
        <w:rFonts w:ascii="Arial" w:hAnsi="Arial" w:cs="Arial"/>
      </w:rPr>
      <w:t>ATA/v</w:t>
    </w:r>
    <w:r w:rsidR="00431A02">
      <w:rPr>
        <w:rFonts w:ascii="Arial" w:hAnsi="Arial" w:cs="Arial"/>
      </w:rPr>
      <w:t>ehicle emissions/</w:t>
    </w:r>
    <w:r w:rsidR="00431A02" w:rsidRPr="00431A02">
      <w:rPr>
        <w:rFonts w:ascii="Arial" w:hAnsi="Arial" w:cs="Arial"/>
      </w:rPr>
      <w:fldChar w:fldCharType="begin"/>
    </w:r>
    <w:r w:rsidR="00431A02" w:rsidRPr="00431A02">
      <w:rPr>
        <w:rFonts w:ascii="Arial" w:hAnsi="Arial" w:cs="Arial"/>
      </w:rPr>
      <w:instrText xml:space="preserve"> PAGE   \* MERGEFORMAT </w:instrText>
    </w:r>
    <w:r w:rsidR="00431A02" w:rsidRPr="00431A02">
      <w:rPr>
        <w:rFonts w:ascii="Arial" w:hAnsi="Arial" w:cs="Arial"/>
      </w:rPr>
      <w:fldChar w:fldCharType="separate"/>
    </w:r>
    <w:r w:rsidR="005C520B">
      <w:rPr>
        <w:rFonts w:ascii="Arial" w:hAnsi="Arial" w:cs="Arial"/>
        <w:noProof/>
      </w:rPr>
      <w:t>7</w:t>
    </w:r>
    <w:r w:rsidR="00431A02" w:rsidRPr="00431A02">
      <w:rPr>
        <w:rFonts w:ascii="Arial" w:hAnsi="Arial" w:cs="Arial"/>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1036"/>
    <w:multiLevelType w:val="hybridMultilevel"/>
    <w:tmpl w:val="2D30E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D2483F"/>
    <w:multiLevelType w:val="hybridMultilevel"/>
    <w:tmpl w:val="D6806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130707"/>
    <w:multiLevelType w:val="hybridMultilevel"/>
    <w:tmpl w:val="90046C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CD31CCA"/>
    <w:multiLevelType w:val="hybridMultilevel"/>
    <w:tmpl w:val="511CF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9A0EF2"/>
    <w:multiLevelType w:val="hybridMultilevel"/>
    <w:tmpl w:val="1BA84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B726A4"/>
    <w:multiLevelType w:val="hybridMultilevel"/>
    <w:tmpl w:val="D9947B86"/>
    <w:lvl w:ilvl="0" w:tplc="E520A13A">
      <w:start w:val="1"/>
      <w:numFmt w:val="lowerLetter"/>
      <w:lvlText w:val="(%1)"/>
      <w:lvlJc w:val="left"/>
      <w:pPr>
        <w:ind w:left="357" w:firstLine="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6" w15:restartNumberingAfterBreak="0">
    <w:nsid w:val="14CF0806"/>
    <w:multiLevelType w:val="hybridMultilevel"/>
    <w:tmpl w:val="E63AE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5A48E1"/>
    <w:multiLevelType w:val="hybridMultilevel"/>
    <w:tmpl w:val="85463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960874"/>
    <w:multiLevelType w:val="hybridMultilevel"/>
    <w:tmpl w:val="EB7EF76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9731044"/>
    <w:multiLevelType w:val="hybridMultilevel"/>
    <w:tmpl w:val="513AA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DF0147"/>
    <w:multiLevelType w:val="hybridMultilevel"/>
    <w:tmpl w:val="72745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0E5118"/>
    <w:multiLevelType w:val="hybridMultilevel"/>
    <w:tmpl w:val="78026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F3265C"/>
    <w:multiLevelType w:val="hybridMultilevel"/>
    <w:tmpl w:val="B9A2E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8760A1"/>
    <w:multiLevelType w:val="hybridMultilevel"/>
    <w:tmpl w:val="7BB66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FD0450"/>
    <w:multiLevelType w:val="hybridMultilevel"/>
    <w:tmpl w:val="1D861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576FA4"/>
    <w:multiLevelType w:val="hybridMultilevel"/>
    <w:tmpl w:val="58B691D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6" w15:restartNumberingAfterBreak="0">
    <w:nsid w:val="339D5916"/>
    <w:multiLevelType w:val="hybridMultilevel"/>
    <w:tmpl w:val="6F1AA4AC"/>
    <w:lvl w:ilvl="0" w:tplc="E640AC1E">
      <w:start w:val="1"/>
      <w:numFmt w:val="lowerLetter"/>
      <w:lvlText w:val="(%1)"/>
      <w:lvlJc w:val="left"/>
      <w:pPr>
        <w:ind w:left="360" w:hanging="360"/>
      </w:pPr>
      <w:rPr>
        <w:rFonts w:hint="default"/>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56C3126"/>
    <w:multiLevelType w:val="multilevel"/>
    <w:tmpl w:val="8724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883B2E"/>
    <w:multiLevelType w:val="hybridMultilevel"/>
    <w:tmpl w:val="3FB6A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1E2853"/>
    <w:multiLevelType w:val="hybridMultilevel"/>
    <w:tmpl w:val="6EBC8284"/>
    <w:lvl w:ilvl="0" w:tplc="BC7A4408">
      <w:start w:val="4"/>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C83FE8"/>
    <w:multiLevelType w:val="hybridMultilevel"/>
    <w:tmpl w:val="EF88E13E"/>
    <w:lvl w:ilvl="0" w:tplc="0C090001">
      <w:start w:val="1"/>
      <w:numFmt w:val="bullet"/>
      <w:lvlText w:val=""/>
      <w:lvlJc w:val="left"/>
      <w:pPr>
        <w:ind w:left="751" w:hanging="360"/>
      </w:pPr>
      <w:rPr>
        <w:rFonts w:ascii="Symbol" w:hAnsi="Symbol" w:hint="default"/>
      </w:rPr>
    </w:lvl>
    <w:lvl w:ilvl="1" w:tplc="0C090003" w:tentative="1">
      <w:start w:val="1"/>
      <w:numFmt w:val="bullet"/>
      <w:lvlText w:val="o"/>
      <w:lvlJc w:val="left"/>
      <w:pPr>
        <w:ind w:left="1471" w:hanging="360"/>
      </w:pPr>
      <w:rPr>
        <w:rFonts w:ascii="Courier New" w:hAnsi="Courier New" w:cs="Courier New" w:hint="default"/>
      </w:rPr>
    </w:lvl>
    <w:lvl w:ilvl="2" w:tplc="0C090005" w:tentative="1">
      <w:start w:val="1"/>
      <w:numFmt w:val="bullet"/>
      <w:lvlText w:val=""/>
      <w:lvlJc w:val="left"/>
      <w:pPr>
        <w:ind w:left="2191" w:hanging="360"/>
      </w:pPr>
      <w:rPr>
        <w:rFonts w:ascii="Wingdings" w:hAnsi="Wingdings" w:hint="default"/>
      </w:rPr>
    </w:lvl>
    <w:lvl w:ilvl="3" w:tplc="0C090001" w:tentative="1">
      <w:start w:val="1"/>
      <w:numFmt w:val="bullet"/>
      <w:lvlText w:val=""/>
      <w:lvlJc w:val="left"/>
      <w:pPr>
        <w:ind w:left="2911" w:hanging="360"/>
      </w:pPr>
      <w:rPr>
        <w:rFonts w:ascii="Symbol" w:hAnsi="Symbol" w:hint="default"/>
      </w:rPr>
    </w:lvl>
    <w:lvl w:ilvl="4" w:tplc="0C090003" w:tentative="1">
      <w:start w:val="1"/>
      <w:numFmt w:val="bullet"/>
      <w:lvlText w:val="o"/>
      <w:lvlJc w:val="left"/>
      <w:pPr>
        <w:ind w:left="3631" w:hanging="360"/>
      </w:pPr>
      <w:rPr>
        <w:rFonts w:ascii="Courier New" w:hAnsi="Courier New" w:cs="Courier New" w:hint="default"/>
      </w:rPr>
    </w:lvl>
    <w:lvl w:ilvl="5" w:tplc="0C090005" w:tentative="1">
      <w:start w:val="1"/>
      <w:numFmt w:val="bullet"/>
      <w:lvlText w:val=""/>
      <w:lvlJc w:val="left"/>
      <w:pPr>
        <w:ind w:left="4351" w:hanging="360"/>
      </w:pPr>
      <w:rPr>
        <w:rFonts w:ascii="Wingdings" w:hAnsi="Wingdings" w:hint="default"/>
      </w:rPr>
    </w:lvl>
    <w:lvl w:ilvl="6" w:tplc="0C090001" w:tentative="1">
      <w:start w:val="1"/>
      <w:numFmt w:val="bullet"/>
      <w:lvlText w:val=""/>
      <w:lvlJc w:val="left"/>
      <w:pPr>
        <w:ind w:left="5071" w:hanging="360"/>
      </w:pPr>
      <w:rPr>
        <w:rFonts w:ascii="Symbol" w:hAnsi="Symbol" w:hint="default"/>
      </w:rPr>
    </w:lvl>
    <w:lvl w:ilvl="7" w:tplc="0C090003" w:tentative="1">
      <w:start w:val="1"/>
      <w:numFmt w:val="bullet"/>
      <w:lvlText w:val="o"/>
      <w:lvlJc w:val="left"/>
      <w:pPr>
        <w:ind w:left="5791" w:hanging="360"/>
      </w:pPr>
      <w:rPr>
        <w:rFonts w:ascii="Courier New" w:hAnsi="Courier New" w:cs="Courier New" w:hint="default"/>
      </w:rPr>
    </w:lvl>
    <w:lvl w:ilvl="8" w:tplc="0C090005" w:tentative="1">
      <w:start w:val="1"/>
      <w:numFmt w:val="bullet"/>
      <w:lvlText w:val=""/>
      <w:lvlJc w:val="left"/>
      <w:pPr>
        <w:ind w:left="6511" w:hanging="360"/>
      </w:pPr>
      <w:rPr>
        <w:rFonts w:ascii="Wingdings" w:hAnsi="Wingdings" w:hint="default"/>
      </w:rPr>
    </w:lvl>
  </w:abstractNum>
  <w:abstractNum w:abstractNumId="21" w15:restartNumberingAfterBreak="0">
    <w:nsid w:val="3ABD3245"/>
    <w:multiLevelType w:val="hybridMultilevel"/>
    <w:tmpl w:val="521A3496"/>
    <w:lvl w:ilvl="0" w:tplc="0C090011">
      <w:start w:val="1"/>
      <w:numFmt w:val="decimal"/>
      <w:lvlText w:val="%1)"/>
      <w:lvlJc w:val="left"/>
      <w:pPr>
        <w:ind w:left="644"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3C36184C"/>
    <w:multiLevelType w:val="hybridMultilevel"/>
    <w:tmpl w:val="4DC84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A35423"/>
    <w:multiLevelType w:val="hybridMultilevel"/>
    <w:tmpl w:val="8968C0E4"/>
    <w:lvl w:ilvl="0" w:tplc="815878FA">
      <w:start w:val="1"/>
      <w:numFmt w:val="decimal"/>
      <w:pStyle w:val="RecommendationStyle"/>
      <w:lvlText w:val="Recommendation %1"/>
      <w:lvlJc w:val="left"/>
      <w:pPr>
        <w:tabs>
          <w:tab w:val="num" w:pos="1192"/>
        </w:tabs>
      </w:pPr>
      <w:rPr>
        <w:rFonts w:ascii="Arial" w:hAnsi="Arial" w:cs="Times New Roman" w:hint="default"/>
        <w:b/>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32E7D7E"/>
    <w:multiLevelType w:val="hybridMultilevel"/>
    <w:tmpl w:val="34364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100DC5"/>
    <w:multiLevelType w:val="hybridMultilevel"/>
    <w:tmpl w:val="FC4484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7636987"/>
    <w:multiLevelType w:val="hybridMultilevel"/>
    <w:tmpl w:val="5BCC2D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8802C92"/>
    <w:multiLevelType w:val="hybridMultilevel"/>
    <w:tmpl w:val="1C0EB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0E41C3"/>
    <w:multiLevelType w:val="hybridMultilevel"/>
    <w:tmpl w:val="AE5A3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EE4452B"/>
    <w:multiLevelType w:val="hybridMultilevel"/>
    <w:tmpl w:val="88B8A23A"/>
    <w:lvl w:ilvl="0" w:tplc="0B3097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4BB4C3A"/>
    <w:multiLevelType w:val="multilevel"/>
    <w:tmpl w:val="0FEA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BC1BC6"/>
    <w:multiLevelType w:val="hybridMultilevel"/>
    <w:tmpl w:val="1E642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1B60ED"/>
    <w:multiLevelType w:val="hybridMultilevel"/>
    <w:tmpl w:val="5B9E25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5D554ED9"/>
    <w:multiLevelType w:val="multilevel"/>
    <w:tmpl w:val="652E1C90"/>
    <w:lvl w:ilvl="0">
      <w:start w:val="1"/>
      <w:numFmt w:val="decimal"/>
      <w:pStyle w:val="Heading1"/>
      <w:lvlText w:val="%1."/>
      <w:lvlJc w:val="left"/>
      <w:pPr>
        <w:ind w:left="360" w:hanging="360"/>
      </w:pPr>
      <w:rPr>
        <w:rFonts w:cs="Times New Roman" w:hint="default"/>
      </w:rPr>
    </w:lvl>
    <w:lvl w:ilvl="1">
      <w:start w:val="1"/>
      <w:numFmt w:val="decimal"/>
      <w:pStyle w:val="ATAHeading2"/>
      <w:lvlText w:val="%1.%2."/>
      <w:lvlJc w:val="left"/>
      <w:pPr>
        <w:ind w:left="716" w:hanging="432"/>
      </w:pPr>
      <w:rPr>
        <w:rFonts w:cs="Times New Roman" w:hint="default"/>
      </w:rPr>
    </w:lvl>
    <w:lvl w:ilvl="2">
      <w:start w:val="1"/>
      <w:numFmt w:val="decimal"/>
      <w:pStyle w:val="ATAHeading3"/>
      <w:lvlText w:val="%1.%2.%3."/>
      <w:lvlJc w:val="left"/>
      <w:pPr>
        <w:ind w:left="1224" w:hanging="504"/>
      </w:pPr>
      <w:rPr>
        <w:rFonts w:cs="Times New Roman" w:hint="default"/>
        <w:b/>
        <w:color w:val="00006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625E0BF7"/>
    <w:multiLevelType w:val="hybridMultilevel"/>
    <w:tmpl w:val="77FC8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C84D13"/>
    <w:multiLevelType w:val="hybridMultilevel"/>
    <w:tmpl w:val="12D49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4F3BF5"/>
    <w:multiLevelType w:val="hybridMultilevel"/>
    <w:tmpl w:val="CC1CC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D9460B"/>
    <w:multiLevelType w:val="hybridMultilevel"/>
    <w:tmpl w:val="D250D70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0AA753C"/>
    <w:multiLevelType w:val="hybridMultilevel"/>
    <w:tmpl w:val="C60060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71FB02BD"/>
    <w:multiLevelType w:val="hybridMultilevel"/>
    <w:tmpl w:val="96FCF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56D3591"/>
    <w:multiLevelType w:val="hybridMultilevel"/>
    <w:tmpl w:val="6A00F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23"/>
  </w:num>
  <w:num w:numId="3">
    <w:abstractNumId w:val="35"/>
  </w:num>
  <w:num w:numId="4">
    <w:abstractNumId w:val="0"/>
  </w:num>
  <w:num w:numId="5">
    <w:abstractNumId w:val="20"/>
  </w:num>
  <w:num w:numId="6">
    <w:abstractNumId w:val="32"/>
  </w:num>
  <w:num w:numId="7">
    <w:abstractNumId w:val="25"/>
  </w:num>
  <w:num w:numId="8">
    <w:abstractNumId w:val="26"/>
  </w:num>
  <w:num w:numId="9">
    <w:abstractNumId w:val="12"/>
  </w:num>
  <w:num w:numId="10">
    <w:abstractNumId w:val="10"/>
  </w:num>
  <w:num w:numId="11">
    <w:abstractNumId w:val="33"/>
  </w:num>
  <w:num w:numId="12">
    <w:abstractNumId w:val="30"/>
  </w:num>
  <w:num w:numId="13">
    <w:abstractNumId w:val="17"/>
  </w:num>
  <w:num w:numId="14">
    <w:abstractNumId w:val="33"/>
  </w:num>
  <w:num w:numId="15">
    <w:abstractNumId w:val="8"/>
  </w:num>
  <w:num w:numId="16">
    <w:abstractNumId w:val="2"/>
  </w:num>
  <w:num w:numId="17">
    <w:abstractNumId w:val="7"/>
  </w:num>
  <w:num w:numId="18">
    <w:abstractNumId w:val="9"/>
  </w:num>
  <w:num w:numId="19">
    <w:abstractNumId w:val="36"/>
  </w:num>
  <w:num w:numId="20">
    <w:abstractNumId w:val="18"/>
  </w:num>
  <w:num w:numId="21">
    <w:abstractNumId w:val="39"/>
  </w:num>
  <w:num w:numId="22">
    <w:abstractNumId w:val="27"/>
  </w:num>
  <w:num w:numId="23">
    <w:abstractNumId w:val="6"/>
  </w:num>
  <w:num w:numId="24">
    <w:abstractNumId w:val="38"/>
  </w:num>
  <w:num w:numId="25">
    <w:abstractNumId w:val="37"/>
  </w:num>
  <w:num w:numId="26">
    <w:abstractNumId w:val="19"/>
  </w:num>
  <w:num w:numId="27">
    <w:abstractNumId w:val="40"/>
  </w:num>
  <w:num w:numId="28">
    <w:abstractNumId w:val="29"/>
  </w:num>
  <w:num w:numId="29">
    <w:abstractNumId w:val="5"/>
  </w:num>
  <w:num w:numId="30">
    <w:abstractNumId w:val="1"/>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34"/>
  </w:num>
  <w:num w:numId="34">
    <w:abstractNumId w:val="13"/>
  </w:num>
  <w:num w:numId="35">
    <w:abstractNumId w:val="14"/>
  </w:num>
  <w:num w:numId="36">
    <w:abstractNumId w:val="21"/>
  </w:num>
  <w:num w:numId="37">
    <w:abstractNumId w:val="11"/>
  </w:num>
  <w:num w:numId="38">
    <w:abstractNumId w:val="24"/>
  </w:num>
  <w:num w:numId="39">
    <w:abstractNumId w:val="31"/>
  </w:num>
  <w:num w:numId="40">
    <w:abstractNumId w:val="4"/>
  </w:num>
  <w:num w:numId="41">
    <w:abstractNumId w:val="22"/>
  </w:num>
  <w:num w:numId="42">
    <w:abstractNumId w:val="28"/>
  </w:num>
  <w:num w:numId="43">
    <w:abstractNumId w:val="3"/>
  </w:num>
  <w:num w:numId="44">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8E9"/>
    <w:rsid w:val="0000052A"/>
    <w:rsid w:val="00000CE3"/>
    <w:rsid w:val="00001E4D"/>
    <w:rsid w:val="0000435D"/>
    <w:rsid w:val="00005A35"/>
    <w:rsid w:val="00005E0D"/>
    <w:rsid w:val="00006297"/>
    <w:rsid w:val="000063A3"/>
    <w:rsid w:val="00006C53"/>
    <w:rsid w:val="00006E65"/>
    <w:rsid w:val="00007723"/>
    <w:rsid w:val="00007CA7"/>
    <w:rsid w:val="00011661"/>
    <w:rsid w:val="00012205"/>
    <w:rsid w:val="000156D1"/>
    <w:rsid w:val="000169A5"/>
    <w:rsid w:val="000207C1"/>
    <w:rsid w:val="00020B9C"/>
    <w:rsid w:val="00021886"/>
    <w:rsid w:val="00021D7D"/>
    <w:rsid w:val="0002564A"/>
    <w:rsid w:val="00027E86"/>
    <w:rsid w:val="0003251D"/>
    <w:rsid w:val="000326E1"/>
    <w:rsid w:val="00035304"/>
    <w:rsid w:val="00035CFC"/>
    <w:rsid w:val="0004081E"/>
    <w:rsid w:val="00040876"/>
    <w:rsid w:val="00040B35"/>
    <w:rsid w:val="000447B1"/>
    <w:rsid w:val="00046251"/>
    <w:rsid w:val="00047723"/>
    <w:rsid w:val="00047B01"/>
    <w:rsid w:val="00050538"/>
    <w:rsid w:val="00050AC8"/>
    <w:rsid w:val="00050CE6"/>
    <w:rsid w:val="000522D3"/>
    <w:rsid w:val="00052E54"/>
    <w:rsid w:val="00052E9C"/>
    <w:rsid w:val="00053DCB"/>
    <w:rsid w:val="00054F0E"/>
    <w:rsid w:val="00056113"/>
    <w:rsid w:val="00056A74"/>
    <w:rsid w:val="00060365"/>
    <w:rsid w:val="00060651"/>
    <w:rsid w:val="00061924"/>
    <w:rsid w:val="0006283B"/>
    <w:rsid w:val="00063D15"/>
    <w:rsid w:val="00067698"/>
    <w:rsid w:val="00070737"/>
    <w:rsid w:val="00071A71"/>
    <w:rsid w:val="00072CCE"/>
    <w:rsid w:val="00074AB7"/>
    <w:rsid w:val="0007542B"/>
    <w:rsid w:val="00075811"/>
    <w:rsid w:val="00075E7B"/>
    <w:rsid w:val="00077364"/>
    <w:rsid w:val="00083C15"/>
    <w:rsid w:val="000848A1"/>
    <w:rsid w:val="00086A56"/>
    <w:rsid w:val="00087208"/>
    <w:rsid w:val="00091EB9"/>
    <w:rsid w:val="00093679"/>
    <w:rsid w:val="00094FE3"/>
    <w:rsid w:val="0009511E"/>
    <w:rsid w:val="00095C3B"/>
    <w:rsid w:val="00096B02"/>
    <w:rsid w:val="0009718D"/>
    <w:rsid w:val="00097329"/>
    <w:rsid w:val="000976B9"/>
    <w:rsid w:val="0009785A"/>
    <w:rsid w:val="000A01D0"/>
    <w:rsid w:val="000A2163"/>
    <w:rsid w:val="000A2996"/>
    <w:rsid w:val="000A2BCF"/>
    <w:rsid w:val="000A2C1A"/>
    <w:rsid w:val="000A4EB0"/>
    <w:rsid w:val="000A6499"/>
    <w:rsid w:val="000A7426"/>
    <w:rsid w:val="000B0410"/>
    <w:rsid w:val="000B069A"/>
    <w:rsid w:val="000B1819"/>
    <w:rsid w:val="000B496C"/>
    <w:rsid w:val="000C049C"/>
    <w:rsid w:val="000C0C35"/>
    <w:rsid w:val="000C0F58"/>
    <w:rsid w:val="000C4A62"/>
    <w:rsid w:val="000C7BBC"/>
    <w:rsid w:val="000D033C"/>
    <w:rsid w:val="000D5E4E"/>
    <w:rsid w:val="000D6EF5"/>
    <w:rsid w:val="000D7CD4"/>
    <w:rsid w:val="000E00E4"/>
    <w:rsid w:val="000E130C"/>
    <w:rsid w:val="000E240A"/>
    <w:rsid w:val="000E7B14"/>
    <w:rsid w:val="000F0964"/>
    <w:rsid w:val="000F0F7B"/>
    <w:rsid w:val="000F314E"/>
    <w:rsid w:val="000F34E0"/>
    <w:rsid w:val="000F3ACC"/>
    <w:rsid w:val="000F3ADB"/>
    <w:rsid w:val="000F3D9F"/>
    <w:rsid w:val="000F53C2"/>
    <w:rsid w:val="000F566E"/>
    <w:rsid w:val="000F5BB5"/>
    <w:rsid w:val="000F7F6F"/>
    <w:rsid w:val="00100A35"/>
    <w:rsid w:val="00103E24"/>
    <w:rsid w:val="001051CB"/>
    <w:rsid w:val="00106FC6"/>
    <w:rsid w:val="00110610"/>
    <w:rsid w:val="00110711"/>
    <w:rsid w:val="00110A53"/>
    <w:rsid w:val="0011181B"/>
    <w:rsid w:val="001121A8"/>
    <w:rsid w:val="0011347C"/>
    <w:rsid w:val="00114FC5"/>
    <w:rsid w:val="001176CB"/>
    <w:rsid w:val="00121A4F"/>
    <w:rsid w:val="00121A53"/>
    <w:rsid w:val="00122285"/>
    <w:rsid w:val="00125009"/>
    <w:rsid w:val="00125023"/>
    <w:rsid w:val="0013041A"/>
    <w:rsid w:val="001320D2"/>
    <w:rsid w:val="00132E36"/>
    <w:rsid w:val="00133207"/>
    <w:rsid w:val="00134E0D"/>
    <w:rsid w:val="001368EB"/>
    <w:rsid w:val="00141274"/>
    <w:rsid w:val="00141395"/>
    <w:rsid w:val="0014179F"/>
    <w:rsid w:val="0014300C"/>
    <w:rsid w:val="001431E4"/>
    <w:rsid w:val="00145B71"/>
    <w:rsid w:val="0014683D"/>
    <w:rsid w:val="00150065"/>
    <w:rsid w:val="0015008C"/>
    <w:rsid w:val="00150435"/>
    <w:rsid w:val="0015062F"/>
    <w:rsid w:val="0015211C"/>
    <w:rsid w:val="00152A71"/>
    <w:rsid w:val="001533F1"/>
    <w:rsid w:val="0015359E"/>
    <w:rsid w:val="0015386B"/>
    <w:rsid w:val="001552BC"/>
    <w:rsid w:val="00156558"/>
    <w:rsid w:val="00160FE3"/>
    <w:rsid w:val="001611AB"/>
    <w:rsid w:val="00163879"/>
    <w:rsid w:val="00166CBD"/>
    <w:rsid w:val="00167142"/>
    <w:rsid w:val="00167289"/>
    <w:rsid w:val="00172FC4"/>
    <w:rsid w:val="00174273"/>
    <w:rsid w:val="00176C09"/>
    <w:rsid w:val="00177BE9"/>
    <w:rsid w:val="001807A8"/>
    <w:rsid w:val="001811B8"/>
    <w:rsid w:val="001822CF"/>
    <w:rsid w:val="001855CD"/>
    <w:rsid w:val="00185B28"/>
    <w:rsid w:val="00192148"/>
    <w:rsid w:val="00193150"/>
    <w:rsid w:val="0019542E"/>
    <w:rsid w:val="00195C1B"/>
    <w:rsid w:val="00197B9E"/>
    <w:rsid w:val="001A0DC3"/>
    <w:rsid w:val="001A0DEF"/>
    <w:rsid w:val="001A3A47"/>
    <w:rsid w:val="001A6510"/>
    <w:rsid w:val="001A6D98"/>
    <w:rsid w:val="001A7687"/>
    <w:rsid w:val="001B0529"/>
    <w:rsid w:val="001B0E57"/>
    <w:rsid w:val="001B2CD7"/>
    <w:rsid w:val="001B3675"/>
    <w:rsid w:val="001B36AC"/>
    <w:rsid w:val="001B3E52"/>
    <w:rsid w:val="001B5390"/>
    <w:rsid w:val="001C05C2"/>
    <w:rsid w:val="001C0C68"/>
    <w:rsid w:val="001C125D"/>
    <w:rsid w:val="001C3659"/>
    <w:rsid w:val="001C5B41"/>
    <w:rsid w:val="001D2D61"/>
    <w:rsid w:val="001D50C7"/>
    <w:rsid w:val="001D64FE"/>
    <w:rsid w:val="001D77A8"/>
    <w:rsid w:val="001D7817"/>
    <w:rsid w:val="001E0A75"/>
    <w:rsid w:val="001E1BA9"/>
    <w:rsid w:val="001E3AC7"/>
    <w:rsid w:val="001E474C"/>
    <w:rsid w:val="001E5BE0"/>
    <w:rsid w:val="001E5C29"/>
    <w:rsid w:val="001E70A3"/>
    <w:rsid w:val="001F0C6E"/>
    <w:rsid w:val="001F1455"/>
    <w:rsid w:val="001F187C"/>
    <w:rsid w:val="001F1EFF"/>
    <w:rsid w:val="001F7268"/>
    <w:rsid w:val="00200A50"/>
    <w:rsid w:val="0020303C"/>
    <w:rsid w:val="002041FF"/>
    <w:rsid w:val="002067C0"/>
    <w:rsid w:val="00207DE8"/>
    <w:rsid w:val="00210088"/>
    <w:rsid w:val="0021270C"/>
    <w:rsid w:val="0021283E"/>
    <w:rsid w:val="002137D3"/>
    <w:rsid w:val="00214282"/>
    <w:rsid w:val="00215F0D"/>
    <w:rsid w:val="00216CE6"/>
    <w:rsid w:val="0022088D"/>
    <w:rsid w:val="00222A5F"/>
    <w:rsid w:val="00225B24"/>
    <w:rsid w:val="002278E9"/>
    <w:rsid w:val="0023094F"/>
    <w:rsid w:val="00230C4F"/>
    <w:rsid w:val="00230DFC"/>
    <w:rsid w:val="002333DB"/>
    <w:rsid w:val="00237081"/>
    <w:rsid w:val="00241C15"/>
    <w:rsid w:val="0024248F"/>
    <w:rsid w:val="00242D21"/>
    <w:rsid w:val="0024360C"/>
    <w:rsid w:val="00243731"/>
    <w:rsid w:val="00250025"/>
    <w:rsid w:val="0025225E"/>
    <w:rsid w:val="002527BE"/>
    <w:rsid w:val="00252AA9"/>
    <w:rsid w:val="0025360A"/>
    <w:rsid w:val="002542D1"/>
    <w:rsid w:val="00254301"/>
    <w:rsid w:val="002543DF"/>
    <w:rsid w:val="0025474F"/>
    <w:rsid w:val="00255617"/>
    <w:rsid w:val="00257D05"/>
    <w:rsid w:val="00260827"/>
    <w:rsid w:val="00262C0A"/>
    <w:rsid w:val="00263A7C"/>
    <w:rsid w:val="002647C3"/>
    <w:rsid w:val="00265EB9"/>
    <w:rsid w:val="00266881"/>
    <w:rsid w:val="00266915"/>
    <w:rsid w:val="00267CAF"/>
    <w:rsid w:val="00267EA4"/>
    <w:rsid w:val="00270995"/>
    <w:rsid w:val="00271561"/>
    <w:rsid w:val="00277981"/>
    <w:rsid w:val="00277D24"/>
    <w:rsid w:val="00282EF9"/>
    <w:rsid w:val="0028399D"/>
    <w:rsid w:val="00291632"/>
    <w:rsid w:val="00291C6F"/>
    <w:rsid w:val="0029355B"/>
    <w:rsid w:val="002938B5"/>
    <w:rsid w:val="00295501"/>
    <w:rsid w:val="00296633"/>
    <w:rsid w:val="00296A47"/>
    <w:rsid w:val="002A061F"/>
    <w:rsid w:val="002A243F"/>
    <w:rsid w:val="002A3F63"/>
    <w:rsid w:val="002A4859"/>
    <w:rsid w:val="002A4F45"/>
    <w:rsid w:val="002A5C2E"/>
    <w:rsid w:val="002A7CB7"/>
    <w:rsid w:val="002A7D7F"/>
    <w:rsid w:val="002B0559"/>
    <w:rsid w:val="002B0F48"/>
    <w:rsid w:val="002B172B"/>
    <w:rsid w:val="002B1784"/>
    <w:rsid w:val="002B31AF"/>
    <w:rsid w:val="002B3668"/>
    <w:rsid w:val="002B381D"/>
    <w:rsid w:val="002B3C02"/>
    <w:rsid w:val="002B44CF"/>
    <w:rsid w:val="002B54EF"/>
    <w:rsid w:val="002B6267"/>
    <w:rsid w:val="002B7A60"/>
    <w:rsid w:val="002B7C87"/>
    <w:rsid w:val="002C015C"/>
    <w:rsid w:val="002C0499"/>
    <w:rsid w:val="002C1799"/>
    <w:rsid w:val="002C2485"/>
    <w:rsid w:val="002C5598"/>
    <w:rsid w:val="002D1187"/>
    <w:rsid w:val="002D592D"/>
    <w:rsid w:val="002D6A5A"/>
    <w:rsid w:val="002E06F2"/>
    <w:rsid w:val="002E226D"/>
    <w:rsid w:val="002E453E"/>
    <w:rsid w:val="002E4551"/>
    <w:rsid w:val="002E5D82"/>
    <w:rsid w:val="002E5F39"/>
    <w:rsid w:val="002E6075"/>
    <w:rsid w:val="002E7838"/>
    <w:rsid w:val="002E7897"/>
    <w:rsid w:val="002E7F28"/>
    <w:rsid w:val="002F2F65"/>
    <w:rsid w:val="002F3241"/>
    <w:rsid w:val="002F438C"/>
    <w:rsid w:val="002F50FD"/>
    <w:rsid w:val="002F5A71"/>
    <w:rsid w:val="002F632C"/>
    <w:rsid w:val="00302E87"/>
    <w:rsid w:val="00304B46"/>
    <w:rsid w:val="00304E75"/>
    <w:rsid w:val="00304FB2"/>
    <w:rsid w:val="003054ED"/>
    <w:rsid w:val="00306FBF"/>
    <w:rsid w:val="00307FF7"/>
    <w:rsid w:val="003125DC"/>
    <w:rsid w:val="00315333"/>
    <w:rsid w:val="0032008B"/>
    <w:rsid w:val="00320150"/>
    <w:rsid w:val="00320AFE"/>
    <w:rsid w:val="00321A43"/>
    <w:rsid w:val="0032308F"/>
    <w:rsid w:val="00325A6C"/>
    <w:rsid w:val="003265BF"/>
    <w:rsid w:val="00330F29"/>
    <w:rsid w:val="00336512"/>
    <w:rsid w:val="00336760"/>
    <w:rsid w:val="00336EBD"/>
    <w:rsid w:val="00340D10"/>
    <w:rsid w:val="00342826"/>
    <w:rsid w:val="00350300"/>
    <w:rsid w:val="00351556"/>
    <w:rsid w:val="00351657"/>
    <w:rsid w:val="00351D4B"/>
    <w:rsid w:val="003533CA"/>
    <w:rsid w:val="00354394"/>
    <w:rsid w:val="0035493A"/>
    <w:rsid w:val="00354DA6"/>
    <w:rsid w:val="00356D3A"/>
    <w:rsid w:val="00360759"/>
    <w:rsid w:val="00360AD1"/>
    <w:rsid w:val="00363105"/>
    <w:rsid w:val="00364BA5"/>
    <w:rsid w:val="0036535E"/>
    <w:rsid w:val="00370E3C"/>
    <w:rsid w:val="00372137"/>
    <w:rsid w:val="00374990"/>
    <w:rsid w:val="00376E2F"/>
    <w:rsid w:val="00380998"/>
    <w:rsid w:val="003828AD"/>
    <w:rsid w:val="00384772"/>
    <w:rsid w:val="00385F00"/>
    <w:rsid w:val="00385F9E"/>
    <w:rsid w:val="0039063B"/>
    <w:rsid w:val="00390696"/>
    <w:rsid w:val="003911E4"/>
    <w:rsid w:val="0039442F"/>
    <w:rsid w:val="003A0AAF"/>
    <w:rsid w:val="003A17DE"/>
    <w:rsid w:val="003A223A"/>
    <w:rsid w:val="003A4520"/>
    <w:rsid w:val="003B1937"/>
    <w:rsid w:val="003B2024"/>
    <w:rsid w:val="003B23CF"/>
    <w:rsid w:val="003B56E7"/>
    <w:rsid w:val="003B58C2"/>
    <w:rsid w:val="003B6265"/>
    <w:rsid w:val="003B74E4"/>
    <w:rsid w:val="003B76E9"/>
    <w:rsid w:val="003B7C68"/>
    <w:rsid w:val="003B7F05"/>
    <w:rsid w:val="003C2311"/>
    <w:rsid w:val="003C2DEE"/>
    <w:rsid w:val="003C42D2"/>
    <w:rsid w:val="003C4664"/>
    <w:rsid w:val="003C6E58"/>
    <w:rsid w:val="003C7BBD"/>
    <w:rsid w:val="003D0990"/>
    <w:rsid w:val="003D0AC3"/>
    <w:rsid w:val="003D1163"/>
    <w:rsid w:val="003D27E1"/>
    <w:rsid w:val="003D3DC0"/>
    <w:rsid w:val="003D4281"/>
    <w:rsid w:val="003D5C05"/>
    <w:rsid w:val="003D6F49"/>
    <w:rsid w:val="003D75FC"/>
    <w:rsid w:val="003D7690"/>
    <w:rsid w:val="003E06E7"/>
    <w:rsid w:val="003E2B20"/>
    <w:rsid w:val="003E3B58"/>
    <w:rsid w:val="003E3D6A"/>
    <w:rsid w:val="003E4EFE"/>
    <w:rsid w:val="003E7053"/>
    <w:rsid w:val="003F0B5C"/>
    <w:rsid w:val="003F0F16"/>
    <w:rsid w:val="003F14C7"/>
    <w:rsid w:val="003F6CA9"/>
    <w:rsid w:val="00400142"/>
    <w:rsid w:val="004008C7"/>
    <w:rsid w:val="004008D8"/>
    <w:rsid w:val="00402138"/>
    <w:rsid w:val="00403823"/>
    <w:rsid w:val="00404392"/>
    <w:rsid w:val="00404731"/>
    <w:rsid w:val="00404820"/>
    <w:rsid w:val="004053D4"/>
    <w:rsid w:val="00406222"/>
    <w:rsid w:val="00407881"/>
    <w:rsid w:val="00407EF2"/>
    <w:rsid w:val="00410341"/>
    <w:rsid w:val="0041041B"/>
    <w:rsid w:val="004115B6"/>
    <w:rsid w:val="00411625"/>
    <w:rsid w:val="004116EA"/>
    <w:rsid w:val="00411877"/>
    <w:rsid w:val="0041272C"/>
    <w:rsid w:val="004130C2"/>
    <w:rsid w:val="00413868"/>
    <w:rsid w:val="00414BFC"/>
    <w:rsid w:val="00415126"/>
    <w:rsid w:val="00420431"/>
    <w:rsid w:val="0042052C"/>
    <w:rsid w:val="004209B1"/>
    <w:rsid w:val="00420F75"/>
    <w:rsid w:val="00421306"/>
    <w:rsid w:val="00422BB7"/>
    <w:rsid w:val="00423CC7"/>
    <w:rsid w:val="00423CCC"/>
    <w:rsid w:val="00424D3E"/>
    <w:rsid w:val="0042557B"/>
    <w:rsid w:val="004263BE"/>
    <w:rsid w:val="00430557"/>
    <w:rsid w:val="00431A02"/>
    <w:rsid w:val="00432273"/>
    <w:rsid w:val="004353C2"/>
    <w:rsid w:val="00440231"/>
    <w:rsid w:val="004402EA"/>
    <w:rsid w:val="00443123"/>
    <w:rsid w:val="004436EB"/>
    <w:rsid w:val="00445CDC"/>
    <w:rsid w:val="00450FF8"/>
    <w:rsid w:val="0045153A"/>
    <w:rsid w:val="00451BB7"/>
    <w:rsid w:val="00451BD9"/>
    <w:rsid w:val="0045249B"/>
    <w:rsid w:val="00454D08"/>
    <w:rsid w:val="00455514"/>
    <w:rsid w:val="00460EC9"/>
    <w:rsid w:val="00462423"/>
    <w:rsid w:val="00463025"/>
    <w:rsid w:val="004640D1"/>
    <w:rsid w:val="00466E7F"/>
    <w:rsid w:val="00473A75"/>
    <w:rsid w:val="00474AAC"/>
    <w:rsid w:val="00475C39"/>
    <w:rsid w:val="004762BA"/>
    <w:rsid w:val="00483BAA"/>
    <w:rsid w:val="00483F2E"/>
    <w:rsid w:val="00484068"/>
    <w:rsid w:val="004847D2"/>
    <w:rsid w:val="00484C78"/>
    <w:rsid w:val="004854A3"/>
    <w:rsid w:val="00487AF1"/>
    <w:rsid w:val="00487F0F"/>
    <w:rsid w:val="004952A7"/>
    <w:rsid w:val="0049636E"/>
    <w:rsid w:val="00496A24"/>
    <w:rsid w:val="004977DE"/>
    <w:rsid w:val="00497CD2"/>
    <w:rsid w:val="004A2F6F"/>
    <w:rsid w:val="004A325F"/>
    <w:rsid w:val="004A7B44"/>
    <w:rsid w:val="004B08E7"/>
    <w:rsid w:val="004B0BF5"/>
    <w:rsid w:val="004B26EB"/>
    <w:rsid w:val="004B2B19"/>
    <w:rsid w:val="004B3EF6"/>
    <w:rsid w:val="004B4B20"/>
    <w:rsid w:val="004B509F"/>
    <w:rsid w:val="004B5A7D"/>
    <w:rsid w:val="004B5FA9"/>
    <w:rsid w:val="004B6187"/>
    <w:rsid w:val="004B64C9"/>
    <w:rsid w:val="004B6C90"/>
    <w:rsid w:val="004C0CCC"/>
    <w:rsid w:val="004C1C6A"/>
    <w:rsid w:val="004C21BB"/>
    <w:rsid w:val="004C3CC3"/>
    <w:rsid w:val="004C78A5"/>
    <w:rsid w:val="004C7AD5"/>
    <w:rsid w:val="004C7EE3"/>
    <w:rsid w:val="004D0C5A"/>
    <w:rsid w:val="004D3774"/>
    <w:rsid w:val="004D42D0"/>
    <w:rsid w:val="004D6BAD"/>
    <w:rsid w:val="004E1EBB"/>
    <w:rsid w:val="004E5885"/>
    <w:rsid w:val="004E5EA3"/>
    <w:rsid w:val="004F0A9B"/>
    <w:rsid w:val="004F112A"/>
    <w:rsid w:val="004F38D2"/>
    <w:rsid w:val="004F3B07"/>
    <w:rsid w:val="004F500B"/>
    <w:rsid w:val="004F6D2F"/>
    <w:rsid w:val="004F79DA"/>
    <w:rsid w:val="00500BCF"/>
    <w:rsid w:val="00501270"/>
    <w:rsid w:val="00502292"/>
    <w:rsid w:val="005022E4"/>
    <w:rsid w:val="0050368F"/>
    <w:rsid w:val="00503808"/>
    <w:rsid w:val="00504707"/>
    <w:rsid w:val="00504A7C"/>
    <w:rsid w:val="00507DA0"/>
    <w:rsid w:val="00510952"/>
    <w:rsid w:val="00510A99"/>
    <w:rsid w:val="00512B6D"/>
    <w:rsid w:val="0052056E"/>
    <w:rsid w:val="005208A7"/>
    <w:rsid w:val="005223FD"/>
    <w:rsid w:val="00525303"/>
    <w:rsid w:val="0053137B"/>
    <w:rsid w:val="0053194E"/>
    <w:rsid w:val="0053204B"/>
    <w:rsid w:val="0053236A"/>
    <w:rsid w:val="005326EB"/>
    <w:rsid w:val="00532BFB"/>
    <w:rsid w:val="00532EDD"/>
    <w:rsid w:val="00532F0A"/>
    <w:rsid w:val="00533381"/>
    <w:rsid w:val="00533467"/>
    <w:rsid w:val="00533DD1"/>
    <w:rsid w:val="0053492E"/>
    <w:rsid w:val="005350B5"/>
    <w:rsid w:val="00535155"/>
    <w:rsid w:val="00535863"/>
    <w:rsid w:val="005359BF"/>
    <w:rsid w:val="005365E0"/>
    <w:rsid w:val="00537C3F"/>
    <w:rsid w:val="00537F7C"/>
    <w:rsid w:val="00540454"/>
    <w:rsid w:val="00540ABF"/>
    <w:rsid w:val="00542877"/>
    <w:rsid w:val="00543163"/>
    <w:rsid w:val="005434F6"/>
    <w:rsid w:val="0054477E"/>
    <w:rsid w:val="00545151"/>
    <w:rsid w:val="00545CB8"/>
    <w:rsid w:val="00545E6C"/>
    <w:rsid w:val="00546664"/>
    <w:rsid w:val="00547643"/>
    <w:rsid w:val="00550256"/>
    <w:rsid w:val="005507D4"/>
    <w:rsid w:val="005520B3"/>
    <w:rsid w:val="00552289"/>
    <w:rsid w:val="0055299B"/>
    <w:rsid w:val="005539F5"/>
    <w:rsid w:val="005551EA"/>
    <w:rsid w:val="005571CA"/>
    <w:rsid w:val="0056179B"/>
    <w:rsid w:val="0056479F"/>
    <w:rsid w:val="005648B3"/>
    <w:rsid w:val="00564DAA"/>
    <w:rsid w:val="00565F92"/>
    <w:rsid w:val="00566D20"/>
    <w:rsid w:val="00570127"/>
    <w:rsid w:val="0057019E"/>
    <w:rsid w:val="00571F8F"/>
    <w:rsid w:val="005756AF"/>
    <w:rsid w:val="0057591D"/>
    <w:rsid w:val="00576710"/>
    <w:rsid w:val="00576ED0"/>
    <w:rsid w:val="00576F0D"/>
    <w:rsid w:val="005773CF"/>
    <w:rsid w:val="0057783F"/>
    <w:rsid w:val="00580BDF"/>
    <w:rsid w:val="0058247C"/>
    <w:rsid w:val="00583369"/>
    <w:rsid w:val="00586A8B"/>
    <w:rsid w:val="00587C8F"/>
    <w:rsid w:val="00591681"/>
    <w:rsid w:val="00593217"/>
    <w:rsid w:val="0059482D"/>
    <w:rsid w:val="00596872"/>
    <w:rsid w:val="00596DBF"/>
    <w:rsid w:val="005A2A86"/>
    <w:rsid w:val="005A38CD"/>
    <w:rsid w:val="005A49DD"/>
    <w:rsid w:val="005B0230"/>
    <w:rsid w:val="005B0CD7"/>
    <w:rsid w:val="005B1179"/>
    <w:rsid w:val="005B168F"/>
    <w:rsid w:val="005B34B7"/>
    <w:rsid w:val="005B3729"/>
    <w:rsid w:val="005B4CA8"/>
    <w:rsid w:val="005B4F21"/>
    <w:rsid w:val="005B68E9"/>
    <w:rsid w:val="005C1B52"/>
    <w:rsid w:val="005C1E3C"/>
    <w:rsid w:val="005C31A0"/>
    <w:rsid w:val="005C36D1"/>
    <w:rsid w:val="005C4492"/>
    <w:rsid w:val="005C473F"/>
    <w:rsid w:val="005C4952"/>
    <w:rsid w:val="005C520B"/>
    <w:rsid w:val="005C61CC"/>
    <w:rsid w:val="005C63F7"/>
    <w:rsid w:val="005C7729"/>
    <w:rsid w:val="005C77F4"/>
    <w:rsid w:val="005D00E8"/>
    <w:rsid w:val="005D2355"/>
    <w:rsid w:val="005D2445"/>
    <w:rsid w:val="005D6CD2"/>
    <w:rsid w:val="005E117A"/>
    <w:rsid w:val="005E11FC"/>
    <w:rsid w:val="005E20ED"/>
    <w:rsid w:val="005E23F5"/>
    <w:rsid w:val="005E28FB"/>
    <w:rsid w:val="005E4356"/>
    <w:rsid w:val="005E57AC"/>
    <w:rsid w:val="005E6294"/>
    <w:rsid w:val="005E661C"/>
    <w:rsid w:val="005E6D8B"/>
    <w:rsid w:val="005F01B0"/>
    <w:rsid w:val="005F1009"/>
    <w:rsid w:val="005F21D1"/>
    <w:rsid w:val="005F31DF"/>
    <w:rsid w:val="005F4FBC"/>
    <w:rsid w:val="005F528E"/>
    <w:rsid w:val="005F5ACC"/>
    <w:rsid w:val="005F69CC"/>
    <w:rsid w:val="00600132"/>
    <w:rsid w:val="006007D6"/>
    <w:rsid w:val="00600AC6"/>
    <w:rsid w:val="006014C4"/>
    <w:rsid w:val="00601B01"/>
    <w:rsid w:val="00602F81"/>
    <w:rsid w:val="00603655"/>
    <w:rsid w:val="00604795"/>
    <w:rsid w:val="00605F3F"/>
    <w:rsid w:val="00605FB9"/>
    <w:rsid w:val="0060648F"/>
    <w:rsid w:val="00606FFD"/>
    <w:rsid w:val="006109E9"/>
    <w:rsid w:val="00610CFE"/>
    <w:rsid w:val="006110D1"/>
    <w:rsid w:val="006123DD"/>
    <w:rsid w:val="00614369"/>
    <w:rsid w:val="00617C9D"/>
    <w:rsid w:val="006233B3"/>
    <w:rsid w:val="006244DA"/>
    <w:rsid w:val="00625BAD"/>
    <w:rsid w:val="00625E9E"/>
    <w:rsid w:val="00626728"/>
    <w:rsid w:val="006278F6"/>
    <w:rsid w:val="00627F56"/>
    <w:rsid w:val="006308E9"/>
    <w:rsid w:val="0063291A"/>
    <w:rsid w:val="00632AA0"/>
    <w:rsid w:val="00632D04"/>
    <w:rsid w:val="00632EB0"/>
    <w:rsid w:val="006331D5"/>
    <w:rsid w:val="00634824"/>
    <w:rsid w:val="0063609C"/>
    <w:rsid w:val="0063713C"/>
    <w:rsid w:val="00640DAD"/>
    <w:rsid w:val="006410BD"/>
    <w:rsid w:val="00641C1F"/>
    <w:rsid w:val="006458F3"/>
    <w:rsid w:val="00646B21"/>
    <w:rsid w:val="00647FBE"/>
    <w:rsid w:val="00650566"/>
    <w:rsid w:val="006509D3"/>
    <w:rsid w:val="00651339"/>
    <w:rsid w:val="006518D9"/>
    <w:rsid w:val="0065569F"/>
    <w:rsid w:val="0066270D"/>
    <w:rsid w:val="00662A4B"/>
    <w:rsid w:val="00663AE8"/>
    <w:rsid w:val="00664D33"/>
    <w:rsid w:val="00665680"/>
    <w:rsid w:val="00666A1A"/>
    <w:rsid w:val="00667036"/>
    <w:rsid w:val="0066769B"/>
    <w:rsid w:val="006677C7"/>
    <w:rsid w:val="00670EE8"/>
    <w:rsid w:val="00682B89"/>
    <w:rsid w:val="00683804"/>
    <w:rsid w:val="00683D7C"/>
    <w:rsid w:val="00685443"/>
    <w:rsid w:val="00685459"/>
    <w:rsid w:val="006858FF"/>
    <w:rsid w:val="006859F7"/>
    <w:rsid w:val="00686470"/>
    <w:rsid w:val="0069019B"/>
    <w:rsid w:val="006913E9"/>
    <w:rsid w:val="00692625"/>
    <w:rsid w:val="006932F3"/>
    <w:rsid w:val="00693363"/>
    <w:rsid w:val="006939CC"/>
    <w:rsid w:val="0069483A"/>
    <w:rsid w:val="00694C83"/>
    <w:rsid w:val="00694CB3"/>
    <w:rsid w:val="00694F97"/>
    <w:rsid w:val="0069582B"/>
    <w:rsid w:val="006A0105"/>
    <w:rsid w:val="006A15E3"/>
    <w:rsid w:val="006A1612"/>
    <w:rsid w:val="006A208A"/>
    <w:rsid w:val="006A522F"/>
    <w:rsid w:val="006A52C4"/>
    <w:rsid w:val="006A63B2"/>
    <w:rsid w:val="006A7735"/>
    <w:rsid w:val="006A797E"/>
    <w:rsid w:val="006B36C8"/>
    <w:rsid w:val="006B3C96"/>
    <w:rsid w:val="006B4B45"/>
    <w:rsid w:val="006B558F"/>
    <w:rsid w:val="006B7D6C"/>
    <w:rsid w:val="006C38AD"/>
    <w:rsid w:val="006C428F"/>
    <w:rsid w:val="006C7735"/>
    <w:rsid w:val="006D4D41"/>
    <w:rsid w:val="006D7818"/>
    <w:rsid w:val="006E026F"/>
    <w:rsid w:val="006E05F0"/>
    <w:rsid w:val="006E0E88"/>
    <w:rsid w:val="006E26D5"/>
    <w:rsid w:val="006F050F"/>
    <w:rsid w:val="006F0BC5"/>
    <w:rsid w:val="006F0C79"/>
    <w:rsid w:val="006F0EA4"/>
    <w:rsid w:val="006F2893"/>
    <w:rsid w:val="006F6C3C"/>
    <w:rsid w:val="00700742"/>
    <w:rsid w:val="00701566"/>
    <w:rsid w:val="00704823"/>
    <w:rsid w:val="00704E66"/>
    <w:rsid w:val="007062D8"/>
    <w:rsid w:val="00706722"/>
    <w:rsid w:val="00710395"/>
    <w:rsid w:val="0071276D"/>
    <w:rsid w:val="00714204"/>
    <w:rsid w:val="007162A5"/>
    <w:rsid w:val="0071719F"/>
    <w:rsid w:val="0071762D"/>
    <w:rsid w:val="00717BAD"/>
    <w:rsid w:val="007224BA"/>
    <w:rsid w:val="007238DA"/>
    <w:rsid w:val="00725BC0"/>
    <w:rsid w:val="00726797"/>
    <w:rsid w:val="007270C9"/>
    <w:rsid w:val="00731DC4"/>
    <w:rsid w:val="00737149"/>
    <w:rsid w:val="00740005"/>
    <w:rsid w:val="00740DF8"/>
    <w:rsid w:val="00741304"/>
    <w:rsid w:val="007421F8"/>
    <w:rsid w:val="007468FB"/>
    <w:rsid w:val="00746BF5"/>
    <w:rsid w:val="007470CF"/>
    <w:rsid w:val="00751BF0"/>
    <w:rsid w:val="00753F95"/>
    <w:rsid w:val="0075427A"/>
    <w:rsid w:val="00754EBD"/>
    <w:rsid w:val="007551E1"/>
    <w:rsid w:val="00756F64"/>
    <w:rsid w:val="00757C3B"/>
    <w:rsid w:val="0076023A"/>
    <w:rsid w:val="007614E2"/>
    <w:rsid w:val="0076304F"/>
    <w:rsid w:val="00763C32"/>
    <w:rsid w:val="00773733"/>
    <w:rsid w:val="0077384F"/>
    <w:rsid w:val="00773943"/>
    <w:rsid w:val="00774FE0"/>
    <w:rsid w:val="0077582D"/>
    <w:rsid w:val="00776E81"/>
    <w:rsid w:val="007802E1"/>
    <w:rsid w:val="00780FAD"/>
    <w:rsid w:val="00782256"/>
    <w:rsid w:val="0078743D"/>
    <w:rsid w:val="00791216"/>
    <w:rsid w:val="00791617"/>
    <w:rsid w:val="00792CEB"/>
    <w:rsid w:val="00793AD6"/>
    <w:rsid w:val="00793EA7"/>
    <w:rsid w:val="007940E8"/>
    <w:rsid w:val="00795047"/>
    <w:rsid w:val="00797CEC"/>
    <w:rsid w:val="007A673A"/>
    <w:rsid w:val="007A69C1"/>
    <w:rsid w:val="007B03E4"/>
    <w:rsid w:val="007B3B54"/>
    <w:rsid w:val="007B3BE2"/>
    <w:rsid w:val="007B4B84"/>
    <w:rsid w:val="007B665E"/>
    <w:rsid w:val="007B711A"/>
    <w:rsid w:val="007C19F7"/>
    <w:rsid w:val="007C385B"/>
    <w:rsid w:val="007C3F49"/>
    <w:rsid w:val="007C5879"/>
    <w:rsid w:val="007C5AD5"/>
    <w:rsid w:val="007C746E"/>
    <w:rsid w:val="007C7FD7"/>
    <w:rsid w:val="007D1E08"/>
    <w:rsid w:val="007D4922"/>
    <w:rsid w:val="007D4DD3"/>
    <w:rsid w:val="007D57CA"/>
    <w:rsid w:val="007D608A"/>
    <w:rsid w:val="007D7F92"/>
    <w:rsid w:val="007E0773"/>
    <w:rsid w:val="007E0ABA"/>
    <w:rsid w:val="007E3FCC"/>
    <w:rsid w:val="007E6163"/>
    <w:rsid w:val="007E7BC6"/>
    <w:rsid w:val="007E7F34"/>
    <w:rsid w:val="007F0554"/>
    <w:rsid w:val="007F15BB"/>
    <w:rsid w:val="007F2D2A"/>
    <w:rsid w:val="007F3589"/>
    <w:rsid w:val="007F4404"/>
    <w:rsid w:val="007F44BE"/>
    <w:rsid w:val="007F4B03"/>
    <w:rsid w:val="007F4C48"/>
    <w:rsid w:val="007F4E1E"/>
    <w:rsid w:val="0080211A"/>
    <w:rsid w:val="008045A8"/>
    <w:rsid w:val="00804638"/>
    <w:rsid w:val="00804B17"/>
    <w:rsid w:val="008062BF"/>
    <w:rsid w:val="0080683E"/>
    <w:rsid w:val="0081411F"/>
    <w:rsid w:val="00814C62"/>
    <w:rsid w:val="00821537"/>
    <w:rsid w:val="00821DBE"/>
    <w:rsid w:val="0082345F"/>
    <w:rsid w:val="00823880"/>
    <w:rsid w:val="008241D3"/>
    <w:rsid w:val="0082468F"/>
    <w:rsid w:val="00824D91"/>
    <w:rsid w:val="00825673"/>
    <w:rsid w:val="008257C1"/>
    <w:rsid w:val="00825C08"/>
    <w:rsid w:val="0083058C"/>
    <w:rsid w:val="00830A8A"/>
    <w:rsid w:val="00831AA7"/>
    <w:rsid w:val="00832C0D"/>
    <w:rsid w:val="008361ED"/>
    <w:rsid w:val="00836304"/>
    <w:rsid w:val="00836330"/>
    <w:rsid w:val="00844F4E"/>
    <w:rsid w:val="00846848"/>
    <w:rsid w:val="00846C4C"/>
    <w:rsid w:val="008472E2"/>
    <w:rsid w:val="008479ED"/>
    <w:rsid w:val="00847D7A"/>
    <w:rsid w:val="00850D33"/>
    <w:rsid w:val="00851B7F"/>
    <w:rsid w:val="00852672"/>
    <w:rsid w:val="00852A83"/>
    <w:rsid w:val="00853473"/>
    <w:rsid w:val="00854D3E"/>
    <w:rsid w:val="008561E9"/>
    <w:rsid w:val="00857301"/>
    <w:rsid w:val="0086043A"/>
    <w:rsid w:val="00860723"/>
    <w:rsid w:val="00861D20"/>
    <w:rsid w:val="00863B20"/>
    <w:rsid w:val="008648BB"/>
    <w:rsid w:val="008653DE"/>
    <w:rsid w:val="008679F8"/>
    <w:rsid w:val="0087010A"/>
    <w:rsid w:val="00870397"/>
    <w:rsid w:val="00870CA1"/>
    <w:rsid w:val="00871395"/>
    <w:rsid w:val="0087242A"/>
    <w:rsid w:val="00872BD6"/>
    <w:rsid w:val="00872E19"/>
    <w:rsid w:val="00874AAE"/>
    <w:rsid w:val="00875BF1"/>
    <w:rsid w:val="00877FD8"/>
    <w:rsid w:val="008808E3"/>
    <w:rsid w:val="00880C51"/>
    <w:rsid w:val="00881A97"/>
    <w:rsid w:val="00881FE3"/>
    <w:rsid w:val="00882C09"/>
    <w:rsid w:val="00883178"/>
    <w:rsid w:val="00883881"/>
    <w:rsid w:val="00885151"/>
    <w:rsid w:val="00890346"/>
    <w:rsid w:val="008929C1"/>
    <w:rsid w:val="00893728"/>
    <w:rsid w:val="00894FDA"/>
    <w:rsid w:val="008979D4"/>
    <w:rsid w:val="008A1D8B"/>
    <w:rsid w:val="008A2C5D"/>
    <w:rsid w:val="008A3948"/>
    <w:rsid w:val="008A5088"/>
    <w:rsid w:val="008A5348"/>
    <w:rsid w:val="008A5FC4"/>
    <w:rsid w:val="008A74F8"/>
    <w:rsid w:val="008B0EEF"/>
    <w:rsid w:val="008B123F"/>
    <w:rsid w:val="008B2A89"/>
    <w:rsid w:val="008B3178"/>
    <w:rsid w:val="008B38FE"/>
    <w:rsid w:val="008B4082"/>
    <w:rsid w:val="008B7312"/>
    <w:rsid w:val="008C09D2"/>
    <w:rsid w:val="008C10AA"/>
    <w:rsid w:val="008C1818"/>
    <w:rsid w:val="008C21E6"/>
    <w:rsid w:val="008C3592"/>
    <w:rsid w:val="008C38B7"/>
    <w:rsid w:val="008C6E07"/>
    <w:rsid w:val="008D0899"/>
    <w:rsid w:val="008D0B92"/>
    <w:rsid w:val="008D3C61"/>
    <w:rsid w:val="008D3E3D"/>
    <w:rsid w:val="008D42D4"/>
    <w:rsid w:val="008D451E"/>
    <w:rsid w:val="008D49C3"/>
    <w:rsid w:val="008D57F8"/>
    <w:rsid w:val="008D6B14"/>
    <w:rsid w:val="008D74A1"/>
    <w:rsid w:val="008D7A86"/>
    <w:rsid w:val="008E09F4"/>
    <w:rsid w:val="008E0C8C"/>
    <w:rsid w:val="008E0E01"/>
    <w:rsid w:val="008E1721"/>
    <w:rsid w:val="008E2AB0"/>
    <w:rsid w:val="008E3865"/>
    <w:rsid w:val="008E417C"/>
    <w:rsid w:val="008E4B38"/>
    <w:rsid w:val="008E585F"/>
    <w:rsid w:val="008E5878"/>
    <w:rsid w:val="008F09AB"/>
    <w:rsid w:val="008F11A3"/>
    <w:rsid w:val="008F196B"/>
    <w:rsid w:val="008F68FE"/>
    <w:rsid w:val="008F7601"/>
    <w:rsid w:val="008F79E1"/>
    <w:rsid w:val="00902F10"/>
    <w:rsid w:val="0090378D"/>
    <w:rsid w:val="00904039"/>
    <w:rsid w:val="00906EB5"/>
    <w:rsid w:val="00907971"/>
    <w:rsid w:val="00907A05"/>
    <w:rsid w:val="009100A8"/>
    <w:rsid w:val="00912187"/>
    <w:rsid w:val="009132E3"/>
    <w:rsid w:val="00913890"/>
    <w:rsid w:val="009148AC"/>
    <w:rsid w:val="00914C1D"/>
    <w:rsid w:val="00915F3F"/>
    <w:rsid w:val="00916228"/>
    <w:rsid w:val="0091747C"/>
    <w:rsid w:val="00922A9B"/>
    <w:rsid w:val="009231B2"/>
    <w:rsid w:val="00923ADD"/>
    <w:rsid w:val="00925758"/>
    <w:rsid w:val="009279F2"/>
    <w:rsid w:val="00927F0F"/>
    <w:rsid w:val="00931B2F"/>
    <w:rsid w:val="00932BAB"/>
    <w:rsid w:val="0093306C"/>
    <w:rsid w:val="009339FC"/>
    <w:rsid w:val="009350CE"/>
    <w:rsid w:val="00936935"/>
    <w:rsid w:val="00940B60"/>
    <w:rsid w:val="00940D05"/>
    <w:rsid w:val="00942722"/>
    <w:rsid w:val="009433C1"/>
    <w:rsid w:val="00943829"/>
    <w:rsid w:val="0094402B"/>
    <w:rsid w:val="00946124"/>
    <w:rsid w:val="00946DC5"/>
    <w:rsid w:val="00946E17"/>
    <w:rsid w:val="00947278"/>
    <w:rsid w:val="009539FA"/>
    <w:rsid w:val="009544B3"/>
    <w:rsid w:val="009608B5"/>
    <w:rsid w:val="00960FE0"/>
    <w:rsid w:val="0096247E"/>
    <w:rsid w:val="00963D1D"/>
    <w:rsid w:val="00964284"/>
    <w:rsid w:val="00965069"/>
    <w:rsid w:val="00965FDF"/>
    <w:rsid w:val="009802CB"/>
    <w:rsid w:val="0098465E"/>
    <w:rsid w:val="00985A2C"/>
    <w:rsid w:val="00985AD3"/>
    <w:rsid w:val="00985D31"/>
    <w:rsid w:val="00985E81"/>
    <w:rsid w:val="00986804"/>
    <w:rsid w:val="0099070F"/>
    <w:rsid w:val="00993BAE"/>
    <w:rsid w:val="00993E39"/>
    <w:rsid w:val="0099546D"/>
    <w:rsid w:val="00996370"/>
    <w:rsid w:val="00997EED"/>
    <w:rsid w:val="009A1CE2"/>
    <w:rsid w:val="009A2455"/>
    <w:rsid w:val="009A375C"/>
    <w:rsid w:val="009A3780"/>
    <w:rsid w:val="009A3853"/>
    <w:rsid w:val="009B0520"/>
    <w:rsid w:val="009B2803"/>
    <w:rsid w:val="009B4220"/>
    <w:rsid w:val="009B5742"/>
    <w:rsid w:val="009B709C"/>
    <w:rsid w:val="009B73F5"/>
    <w:rsid w:val="009C3182"/>
    <w:rsid w:val="009C34F3"/>
    <w:rsid w:val="009C5367"/>
    <w:rsid w:val="009C5B87"/>
    <w:rsid w:val="009D1601"/>
    <w:rsid w:val="009D2F28"/>
    <w:rsid w:val="009D3731"/>
    <w:rsid w:val="009D38A1"/>
    <w:rsid w:val="009D6401"/>
    <w:rsid w:val="009E3C08"/>
    <w:rsid w:val="009E58A0"/>
    <w:rsid w:val="009E66F7"/>
    <w:rsid w:val="009E6C6B"/>
    <w:rsid w:val="009E77F2"/>
    <w:rsid w:val="009F23BD"/>
    <w:rsid w:val="009F593D"/>
    <w:rsid w:val="00A00503"/>
    <w:rsid w:val="00A0156A"/>
    <w:rsid w:val="00A01C6F"/>
    <w:rsid w:val="00A023EA"/>
    <w:rsid w:val="00A047CA"/>
    <w:rsid w:val="00A07AE4"/>
    <w:rsid w:val="00A109D4"/>
    <w:rsid w:val="00A12D70"/>
    <w:rsid w:val="00A1430A"/>
    <w:rsid w:val="00A16057"/>
    <w:rsid w:val="00A20F91"/>
    <w:rsid w:val="00A21842"/>
    <w:rsid w:val="00A21925"/>
    <w:rsid w:val="00A2215A"/>
    <w:rsid w:val="00A23059"/>
    <w:rsid w:val="00A2623B"/>
    <w:rsid w:val="00A26B28"/>
    <w:rsid w:val="00A300E2"/>
    <w:rsid w:val="00A323BD"/>
    <w:rsid w:val="00A34465"/>
    <w:rsid w:val="00A35D7E"/>
    <w:rsid w:val="00A37A93"/>
    <w:rsid w:val="00A40847"/>
    <w:rsid w:val="00A40FCF"/>
    <w:rsid w:val="00A444A6"/>
    <w:rsid w:val="00A44995"/>
    <w:rsid w:val="00A45C33"/>
    <w:rsid w:val="00A466B6"/>
    <w:rsid w:val="00A46EE9"/>
    <w:rsid w:val="00A5128C"/>
    <w:rsid w:val="00A5234E"/>
    <w:rsid w:val="00A57D2F"/>
    <w:rsid w:val="00A57DBC"/>
    <w:rsid w:val="00A57EC2"/>
    <w:rsid w:val="00A60114"/>
    <w:rsid w:val="00A64F9C"/>
    <w:rsid w:val="00A674D0"/>
    <w:rsid w:val="00A71BAA"/>
    <w:rsid w:val="00A74122"/>
    <w:rsid w:val="00A76443"/>
    <w:rsid w:val="00A8447E"/>
    <w:rsid w:val="00A87317"/>
    <w:rsid w:val="00A903D9"/>
    <w:rsid w:val="00A90C07"/>
    <w:rsid w:val="00A91411"/>
    <w:rsid w:val="00A931E9"/>
    <w:rsid w:val="00A93511"/>
    <w:rsid w:val="00A94647"/>
    <w:rsid w:val="00A9687E"/>
    <w:rsid w:val="00A97A9E"/>
    <w:rsid w:val="00A97D79"/>
    <w:rsid w:val="00AA0C5A"/>
    <w:rsid w:val="00AA2D57"/>
    <w:rsid w:val="00AA3E70"/>
    <w:rsid w:val="00AA4EF1"/>
    <w:rsid w:val="00AA6BA4"/>
    <w:rsid w:val="00AA7670"/>
    <w:rsid w:val="00AA7C25"/>
    <w:rsid w:val="00AB3269"/>
    <w:rsid w:val="00AB3C78"/>
    <w:rsid w:val="00AB6B54"/>
    <w:rsid w:val="00AB6D11"/>
    <w:rsid w:val="00AC0045"/>
    <w:rsid w:val="00AC0C16"/>
    <w:rsid w:val="00AC2EB5"/>
    <w:rsid w:val="00AC45CF"/>
    <w:rsid w:val="00AC4A34"/>
    <w:rsid w:val="00AC5B44"/>
    <w:rsid w:val="00AC6679"/>
    <w:rsid w:val="00AD0FD4"/>
    <w:rsid w:val="00AD281B"/>
    <w:rsid w:val="00AD29E4"/>
    <w:rsid w:val="00AD51CE"/>
    <w:rsid w:val="00AD6FA9"/>
    <w:rsid w:val="00AD7650"/>
    <w:rsid w:val="00AE132C"/>
    <w:rsid w:val="00AE1BC2"/>
    <w:rsid w:val="00AE2DD6"/>
    <w:rsid w:val="00AE3B7B"/>
    <w:rsid w:val="00AE4A80"/>
    <w:rsid w:val="00AE6A91"/>
    <w:rsid w:val="00AE71A5"/>
    <w:rsid w:val="00AE7959"/>
    <w:rsid w:val="00AF1D10"/>
    <w:rsid w:val="00AF2921"/>
    <w:rsid w:val="00AF3FFC"/>
    <w:rsid w:val="00AF404A"/>
    <w:rsid w:val="00AF440E"/>
    <w:rsid w:val="00B00132"/>
    <w:rsid w:val="00B01A6B"/>
    <w:rsid w:val="00B01C81"/>
    <w:rsid w:val="00B02F75"/>
    <w:rsid w:val="00B02FF3"/>
    <w:rsid w:val="00B030B3"/>
    <w:rsid w:val="00B05F83"/>
    <w:rsid w:val="00B064C6"/>
    <w:rsid w:val="00B115A2"/>
    <w:rsid w:val="00B1303F"/>
    <w:rsid w:val="00B13AC3"/>
    <w:rsid w:val="00B13B6B"/>
    <w:rsid w:val="00B15CA5"/>
    <w:rsid w:val="00B206A2"/>
    <w:rsid w:val="00B20E2E"/>
    <w:rsid w:val="00B210F4"/>
    <w:rsid w:val="00B21270"/>
    <w:rsid w:val="00B233FA"/>
    <w:rsid w:val="00B31461"/>
    <w:rsid w:val="00B31649"/>
    <w:rsid w:val="00B344FD"/>
    <w:rsid w:val="00B34673"/>
    <w:rsid w:val="00B3586B"/>
    <w:rsid w:val="00B3706D"/>
    <w:rsid w:val="00B40005"/>
    <w:rsid w:val="00B414CB"/>
    <w:rsid w:val="00B4177C"/>
    <w:rsid w:val="00B41E03"/>
    <w:rsid w:val="00B42C45"/>
    <w:rsid w:val="00B43A28"/>
    <w:rsid w:val="00B43E2A"/>
    <w:rsid w:val="00B440EB"/>
    <w:rsid w:val="00B46272"/>
    <w:rsid w:val="00B47A01"/>
    <w:rsid w:val="00B53589"/>
    <w:rsid w:val="00B56443"/>
    <w:rsid w:val="00B568A2"/>
    <w:rsid w:val="00B57F53"/>
    <w:rsid w:val="00B612B6"/>
    <w:rsid w:val="00B636DC"/>
    <w:rsid w:val="00B639E5"/>
    <w:rsid w:val="00B67019"/>
    <w:rsid w:val="00B745E4"/>
    <w:rsid w:val="00B74C0E"/>
    <w:rsid w:val="00B81003"/>
    <w:rsid w:val="00B818D7"/>
    <w:rsid w:val="00B82008"/>
    <w:rsid w:val="00B85678"/>
    <w:rsid w:val="00B867DD"/>
    <w:rsid w:val="00B90EA0"/>
    <w:rsid w:val="00B91BAA"/>
    <w:rsid w:val="00B91BC8"/>
    <w:rsid w:val="00B92538"/>
    <w:rsid w:val="00B92C39"/>
    <w:rsid w:val="00B9320E"/>
    <w:rsid w:val="00B93F58"/>
    <w:rsid w:val="00B94C66"/>
    <w:rsid w:val="00B952B5"/>
    <w:rsid w:val="00B9742B"/>
    <w:rsid w:val="00BA01D2"/>
    <w:rsid w:val="00BA0CE8"/>
    <w:rsid w:val="00BA19BE"/>
    <w:rsid w:val="00BA1DFD"/>
    <w:rsid w:val="00BA1F1D"/>
    <w:rsid w:val="00BA2A76"/>
    <w:rsid w:val="00BA374F"/>
    <w:rsid w:val="00BA4A46"/>
    <w:rsid w:val="00BB3266"/>
    <w:rsid w:val="00BB48FA"/>
    <w:rsid w:val="00BB5312"/>
    <w:rsid w:val="00BB6540"/>
    <w:rsid w:val="00BC1A81"/>
    <w:rsid w:val="00BC1B68"/>
    <w:rsid w:val="00BC3700"/>
    <w:rsid w:val="00BC5ACA"/>
    <w:rsid w:val="00BC5E7C"/>
    <w:rsid w:val="00BC5ECE"/>
    <w:rsid w:val="00BC6314"/>
    <w:rsid w:val="00BC67A2"/>
    <w:rsid w:val="00BD0BA3"/>
    <w:rsid w:val="00BD26FC"/>
    <w:rsid w:val="00BD44B9"/>
    <w:rsid w:val="00BD49FC"/>
    <w:rsid w:val="00BD4A08"/>
    <w:rsid w:val="00BD75B3"/>
    <w:rsid w:val="00BD7ACB"/>
    <w:rsid w:val="00BE0BD4"/>
    <w:rsid w:val="00BE391B"/>
    <w:rsid w:val="00BE4572"/>
    <w:rsid w:val="00BE46AC"/>
    <w:rsid w:val="00BE639D"/>
    <w:rsid w:val="00BE69AC"/>
    <w:rsid w:val="00BF33B0"/>
    <w:rsid w:val="00BF5839"/>
    <w:rsid w:val="00BF59B2"/>
    <w:rsid w:val="00C00DC1"/>
    <w:rsid w:val="00C01514"/>
    <w:rsid w:val="00C061E3"/>
    <w:rsid w:val="00C06240"/>
    <w:rsid w:val="00C07345"/>
    <w:rsid w:val="00C07770"/>
    <w:rsid w:val="00C119C2"/>
    <w:rsid w:val="00C141DF"/>
    <w:rsid w:val="00C14967"/>
    <w:rsid w:val="00C14B25"/>
    <w:rsid w:val="00C15FEE"/>
    <w:rsid w:val="00C1627A"/>
    <w:rsid w:val="00C17198"/>
    <w:rsid w:val="00C1777A"/>
    <w:rsid w:val="00C20E15"/>
    <w:rsid w:val="00C222AC"/>
    <w:rsid w:val="00C24C12"/>
    <w:rsid w:val="00C252E8"/>
    <w:rsid w:val="00C26E47"/>
    <w:rsid w:val="00C3083F"/>
    <w:rsid w:val="00C30B76"/>
    <w:rsid w:val="00C31B7A"/>
    <w:rsid w:val="00C322A1"/>
    <w:rsid w:val="00C32E9F"/>
    <w:rsid w:val="00C33404"/>
    <w:rsid w:val="00C338CE"/>
    <w:rsid w:val="00C33BEE"/>
    <w:rsid w:val="00C34E14"/>
    <w:rsid w:val="00C364D6"/>
    <w:rsid w:val="00C40350"/>
    <w:rsid w:val="00C414E8"/>
    <w:rsid w:val="00C42AAC"/>
    <w:rsid w:val="00C42CE4"/>
    <w:rsid w:val="00C43619"/>
    <w:rsid w:val="00C43DAE"/>
    <w:rsid w:val="00C479F7"/>
    <w:rsid w:val="00C51A84"/>
    <w:rsid w:val="00C531DC"/>
    <w:rsid w:val="00C532F8"/>
    <w:rsid w:val="00C533FE"/>
    <w:rsid w:val="00C5376C"/>
    <w:rsid w:val="00C54162"/>
    <w:rsid w:val="00C549B7"/>
    <w:rsid w:val="00C54C55"/>
    <w:rsid w:val="00C61020"/>
    <w:rsid w:val="00C62631"/>
    <w:rsid w:val="00C63972"/>
    <w:rsid w:val="00C65241"/>
    <w:rsid w:val="00C66CB0"/>
    <w:rsid w:val="00C676E5"/>
    <w:rsid w:val="00C70A0D"/>
    <w:rsid w:val="00C717C7"/>
    <w:rsid w:val="00C7661F"/>
    <w:rsid w:val="00C76787"/>
    <w:rsid w:val="00C770EB"/>
    <w:rsid w:val="00C772E3"/>
    <w:rsid w:val="00C803E7"/>
    <w:rsid w:val="00C835B6"/>
    <w:rsid w:val="00C83A4F"/>
    <w:rsid w:val="00C84379"/>
    <w:rsid w:val="00C84D05"/>
    <w:rsid w:val="00C8621A"/>
    <w:rsid w:val="00C87641"/>
    <w:rsid w:val="00C926AD"/>
    <w:rsid w:val="00C92826"/>
    <w:rsid w:val="00C93453"/>
    <w:rsid w:val="00C96889"/>
    <w:rsid w:val="00CA04DC"/>
    <w:rsid w:val="00CA0ADF"/>
    <w:rsid w:val="00CA5938"/>
    <w:rsid w:val="00CA5C45"/>
    <w:rsid w:val="00CA5DEE"/>
    <w:rsid w:val="00CB0E55"/>
    <w:rsid w:val="00CB38F2"/>
    <w:rsid w:val="00CB3CB5"/>
    <w:rsid w:val="00CB3DBD"/>
    <w:rsid w:val="00CB4D57"/>
    <w:rsid w:val="00CB57FE"/>
    <w:rsid w:val="00CB7123"/>
    <w:rsid w:val="00CB73A3"/>
    <w:rsid w:val="00CB7F0D"/>
    <w:rsid w:val="00CC1DF7"/>
    <w:rsid w:val="00CC20F1"/>
    <w:rsid w:val="00CC28C6"/>
    <w:rsid w:val="00CC3585"/>
    <w:rsid w:val="00CC4808"/>
    <w:rsid w:val="00CC4BC8"/>
    <w:rsid w:val="00CC7D66"/>
    <w:rsid w:val="00CD0055"/>
    <w:rsid w:val="00CD0400"/>
    <w:rsid w:val="00CD0677"/>
    <w:rsid w:val="00CD1550"/>
    <w:rsid w:val="00CD1DC0"/>
    <w:rsid w:val="00CD211F"/>
    <w:rsid w:val="00CD305B"/>
    <w:rsid w:val="00CD44A5"/>
    <w:rsid w:val="00CE0D2C"/>
    <w:rsid w:val="00CE1B8A"/>
    <w:rsid w:val="00CE1F0B"/>
    <w:rsid w:val="00CE3510"/>
    <w:rsid w:val="00CE4936"/>
    <w:rsid w:val="00CE4CC0"/>
    <w:rsid w:val="00CE6205"/>
    <w:rsid w:val="00CE6BF8"/>
    <w:rsid w:val="00CE7A1E"/>
    <w:rsid w:val="00CF110C"/>
    <w:rsid w:val="00CF27C4"/>
    <w:rsid w:val="00CF46D9"/>
    <w:rsid w:val="00D01675"/>
    <w:rsid w:val="00D06F27"/>
    <w:rsid w:val="00D073F4"/>
    <w:rsid w:val="00D075C0"/>
    <w:rsid w:val="00D07CB3"/>
    <w:rsid w:val="00D1102D"/>
    <w:rsid w:val="00D13DF0"/>
    <w:rsid w:val="00D143AC"/>
    <w:rsid w:val="00D14486"/>
    <w:rsid w:val="00D219F7"/>
    <w:rsid w:val="00D244C9"/>
    <w:rsid w:val="00D24520"/>
    <w:rsid w:val="00D25860"/>
    <w:rsid w:val="00D25BF8"/>
    <w:rsid w:val="00D262EA"/>
    <w:rsid w:val="00D30A63"/>
    <w:rsid w:val="00D31703"/>
    <w:rsid w:val="00D32D1E"/>
    <w:rsid w:val="00D36774"/>
    <w:rsid w:val="00D36B98"/>
    <w:rsid w:val="00D40AAD"/>
    <w:rsid w:val="00D47ACC"/>
    <w:rsid w:val="00D5064E"/>
    <w:rsid w:val="00D51FE7"/>
    <w:rsid w:val="00D54272"/>
    <w:rsid w:val="00D54B01"/>
    <w:rsid w:val="00D54C29"/>
    <w:rsid w:val="00D57274"/>
    <w:rsid w:val="00D600F0"/>
    <w:rsid w:val="00D6034D"/>
    <w:rsid w:val="00D61332"/>
    <w:rsid w:val="00D61F8A"/>
    <w:rsid w:val="00D6239E"/>
    <w:rsid w:val="00D640D7"/>
    <w:rsid w:val="00D648D1"/>
    <w:rsid w:val="00D64A4B"/>
    <w:rsid w:val="00D66A48"/>
    <w:rsid w:val="00D70374"/>
    <w:rsid w:val="00D71175"/>
    <w:rsid w:val="00D7260B"/>
    <w:rsid w:val="00D729B1"/>
    <w:rsid w:val="00D730B5"/>
    <w:rsid w:val="00D73129"/>
    <w:rsid w:val="00D735FF"/>
    <w:rsid w:val="00D73A3C"/>
    <w:rsid w:val="00D7483C"/>
    <w:rsid w:val="00D74FD2"/>
    <w:rsid w:val="00D77CD3"/>
    <w:rsid w:val="00D813C5"/>
    <w:rsid w:val="00D83999"/>
    <w:rsid w:val="00D839BC"/>
    <w:rsid w:val="00D84ABE"/>
    <w:rsid w:val="00D84F60"/>
    <w:rsid w:val="00D87B35"/>
    <w:rsid w:val="00D9098B"/>
    <w:rsid w:val="00D91B3F"/>
    <w:rsid w:val="00D91BC7"/>
    <w:rsid w:val="00D91FC5"/>
    <w:rsid w:val="00D92690"/>
    <w:rsid w:val="00D9288B"/>
    <w:rsid w:val="00D9376C"/>
    <w:rsid w:val="00D93EA3"/>
    <w:rsid w:val="00D97AD0"/>
    <w:rsid w:val="00DA068C"/>
    <w:rsid w:val="00DA2373"/>
    <w:rsid w:val="00DA6F20"/>
    <w:rsid w:val="00DB17ED"/>
    <w:rsid w:val="00DB35B2"/>
    <w:rsid w:val="00DB4087"/>
    <w:rsid w:val="00DB4755"/>
    <w:rsid w:val="00DC07A6"/>
    <w:rsid w:val="00DC22B8"/>
    <w:rsid w:val="00DC3E21"/>
    <w:rsid w:val="00DC428F"/>
    <w:rsid w:val="00DC48FC"/>
    <w:rsid w:val="00DD04B4"/>
    <w:rsid w:val="00DD2866"/>
    <w:rsid w:val="00DD2EAD"/>
    <w:rsid w:val="00DD332A"/>
    <w:rsid w:val="00DD3E03"/>
    <w:rsid w:val="00DD536D"/>
    <w:rsid w:val="00DD5672"/>
    <w:rsid w:val="00DD638B"/>
    <w:rsid w:val="00DD6622"/>
    <w:rsid w:val="00DE0CFB"/>
    <w:rsid w:val="00DE1245"/>
    <w:rsid w:val="00DE16B2"/>
    <w:rsid w:val="00DE17F9"/>
    <w:rsid w:val="00DE1EE8"/>
    <w:rsid w:val="00DE33F9"/>
    <w:rsid w:val="00DE3A75"/>
    <w:rsid w:val="00DE4C92"/>
    <w:rsid w:val="00DE6050"/>
    <w:rsid w:val="00DE65EC"/>
    <w:rsid w:val="00DE7094"/>
    <w:rsid w:val="00DF2EC9"/>
    <w:rsid w:val="00DF5393"/>
    <w:rsid w:val="00DF54C2"/>
    <w:rsid w:val="00DF5787"/>
    <w:rsid w:val="00DF57AB"/>
    <w:rsid w:val="00DF74E3"/>
    <w:rsid w:val="00DF794F"/>
    <w:rsid w:val="00E02336"/>
    <w:rsid w:val="00E023AA"/>
    <w:rsid w:val="00E02DF9"/>
    <w:rsid w:val="00E059CE"/>
    <w:rsid w:val="00E07B27"/>
    <w:rsid w:val="00E12228"/>
    <w:rsid w:val="00E15852"/>
    <w:rsid w:val="00E1630A"/>
    <w:rsid w:val="00E165CA"/>
    <w:rsid w:val="00E20A4D"/>
    <w:rsid w:val="00E23033"/>
    <w:rsid w:val="00E23208"/>
    <w:rsid w:val="00E23A7E"/>
    <w:rsid w:val="00E24A0D"/>
    <w:rsid w:val="00E24A15"/>
    <w:rsid w:val="00E24F4E"/>
    <w:rsid w:val="00E25699"/>
    <w:rsid w:val="00E275BB"/>
    <w:rsid w:val="00E275CC"/>
    <w:rsid w:val="00E3023E"/>
    <w:rsid w:val="00E320BF"/>
    <w:rsid w:val="00E325CC"/>
    <w:rsid w:val="00E32F40"/>
    <w:rsid w:val="00E34B78"/>
    <w:rsid w:val="00E34BD0"/>
    <w:rsid w:val="00E35AF7"/>
    <w:rsid w:val="00E35F2E"/>
    <w:rsid w:val="00E37029"/>
    <w:rsid w:val="00E42F1F"/>
    <w:rsid w:val="00E45A6B"/>
    <w:rsid w:val="00E464E0"/>
    <w:rsid w:val="00E51FE7"/>
    <w:rsid w:val="00E520C5"/>
    <w:rsid w:val="00E5274C"/>
    <w:rsid w:val="00E53E66"/>
    <w:rsid w:val="00E540E3"/>
    <w:rsid w:val="00E54235"/>
    <w:rsid w:val="00E548FC"/>
    <w:rsid w:val="00E5657E"/>
    <w:rsid w:val="00E60D4B"/>
    <w:rsid w:val="00E61488"/>
    <w:rsid w:val="00E6207F"/>
    <w:rsid w:val="00E62F37"/>
    <w:rsid w:val="00E63547"/>
    <w:rsid w:val="00E63814"/>
    <w:rsid w:val="00E651B3"/>
    <w:rsid w:val="00E71B47"/>
    <w:rsid w:val="00E73CC6"/>
    <w:rsid w:val="00E73E8E"/>
    <w:rsid w:val="00E7447A"/>
    <w:rsid w:val="00E77018"/>
    <w:rsid w:val="00E8056B"/>
    <w:rsid w:val="00E80729"/>
    <w:rsid w:val="00E80CF1"/>
    <w:rsid w:val="00E816A2"/>
    <w:rsid w:val="00E86E35"/>
    <w:rsid w:val="00E91E84"/>
    <w:rsid w:val="00E924CE"/>
    <w:rsid w:val="00E9669B"/>
    <w:rsid w:val="00E96BDF"/>
    <w:rsid w:val="00EA1831"/>
    <w:rsid w:val="00EA2204"/>
    <w:rsid w:val="00EA257F"/>
    <w:rsid w:val="00EA2A85"/>
    <w:rsid w:val="00EA3251"/>
    <w:rsid w:val="00EA3322"/>
    <w:rsid w:val="00EA3F83"/>
    <w:rsid w:val="00EA5062"/>
    <w:rsid w:val="00EA6150"/>
    <w:rsid w:val="00EA6D50"/>
    <w:rsid w:val="00EB05BC"/>
    <w:rsid w:val="00EB0C47"/>
    <w:rsid w:val="00EB3E6E"/>
    <w:rsid w:val="00EB73AB"/>
    <w:rsid w:val="00EC042B"/>
    <w:rsid w:val="00EC292F"/>
    <w:rsid w:val="00EC4A38"/>
    <w:rsid w:val="00EC7A14"/>
    <w:rsid w:val="00ED0C35"/>
    <w:rsid w:val="00ED0E44"/>
    <w:rsid w:val="00ED185A"/>
    <w:rsid w:val="00ED19EB"/>
    <w:rsid w:val="00ED1D0D"/>
    <w:rsid w:val="00ED2995"/>
    <w:rsid w:val="00ED2F24"/>
    <w:rsid w:val="00ED39AB"/>
    <w:rsid w:val="00EE02B2"/>
    <w:rsid w:val="00EE1FFF"/>
    <w:rsid w:val="00EE2127"/>
    <w:rsid w:val="00EE22F2"/>
    <w:rsid w:val="00EE4129"/>
    <w:rsid w:val="00EE49F2"/>
    <w:rsid w:val="00EE51AD"/>
    <w:rsid w:val="00EE65C7"/>
    <w:rsid w:val="00EE6A7D"/>
    <w:rsid w:val="00EE7143"/>
    <w:rsid w:val="00EF081A"/>
    <w:rsid w:val="00EF58FC"/>
    <w:rsid w:val="00EF5F37"/>
    <w:rsid w:val="00F020D5"/>
    <w:rsid w:val="00F03AB9"/>
    <w:rsid w:val="00F03D77"/>
    <w:rsid w:val="00F04185"/>
    <w:rsid w:val="00F04548"/>
    <w:rsid w:val="00F14B69"/>
    <w:rsid w:val="00F16C2D"/>
    <w:rsid w:val="00F17E6F"/>
    <w:rsid w:val="00F2072F"/>
    <w:rsid w:val="00F2165E"/>
    <w:rsid w:val="00F21CE8"/>
    <w:rsid w:val="00F24FD9"/>
    <w:rsid w:val="00F25484"/>
    <w:rsid w:val="00F254C0"/>
    <w:rsid w:val="00F25517"/>
    <w:rsid w:val="00F26132"/>
    <w:rsid w:val="00F2650A"/>
    <w:rsid w:val="00F3294F"/>
    <w:rsid w:val="00F32DC1"/>
    <w:rsid w:val="00F33008"/>
    <w:rsid w:val="00F33089"/>
    <w:rsid w:val="00F33FD1"/>
    <w:rsid w:val="00F34F7D"/>
    <w:rsid w:val="00F35870"/>
    <w:rsid w:val="00F377D3"/>
    <w:rsid w:val="00F4251D"/>
    <w:rsid w:val="00F4543E"/>
    <w:rsid w:val="00F50495"/>
    <w:rsid w:val="00F51B8C"/>
    <w:rsid w:val="00F52310"/>
    <w:rsid w:val="00F52883"/>
    <w:rsid w:val="00F5399F"/>
    <w:rsid w:val="00F5516D"/>
    <w:rsid w:val="00F56FD2"/>
    <w:rsid w:val="00F614A5"/>
    <w:rsid w:val="00F6195A"/>
    <w:rsid w:val="00F6200B"/>
    <w:rsid w:val="00F66724"/>
    <w:rsid w:val="00F70531"/>
    <w:rsid w:val="00F73ACC"/>
    <w:rsid w:val="00F811F7"/>
    <w:rsid w:val="00F81EED"/>
    <w:rsid w:val="00F8275D"/>
    <w:rsid w:val="00F8425A"/>
    <w:rsid w:val="00F84D4F"/>
    <w:rsid w:val="00F85E0E"/>
    <w:rsid w:val="00F86F5A"/>
    <w:rsid w:val="00F93B9A"/>
    <w:rsid w:val="00F946DC"/>
    <w:rsid w:val="00F96568"/>
    <w:rsid w:val="00F97116"/>
    <w:rsid w:val="00F971D6"/>
    <w:rsid w:val="00F97FDE"/>
    <w:rsid w:val="00FA1D75"/>
    <w:rsid w:val="00FA2450"/>
    <w:rsid w:val="00FA2486"/>
    <w:rsid w:val="00FA321F"/>
    <w:rsid w:val="00FA56D3"/>
    <w:rsid w:val="00FA593F"/>
    <w:rsid w:val="00FA6CB0"/>
    <w:rsid w:val="00FB1DEC"/>
    <w:rsid w:val="00FB5CCE"/>
    <w:rsid w:val="00FB7B56"/>
    <w:rsid w:val="00FC027F"/>
    <w:rsid w:val="00FC1291"/>
    <w:rsid w:val="00FC1708"/>
    <w:rsid w:val="00FC2E35"/>
    <w:rsid w:val="00FC3859"/>
    <w:rsid w:val="00FC54E7"/>
    <w:rsid w:val="00FC7369"/>
    <w:rsid w:val="00FC74D4"/>
    <w:rsid w:val="00FD016B"/>
    <w:rsid w:val="00FD299A"/>
    <w:rsid w:val="00FD3FFC"/>
    <w:rsid w:val="00FD4E53"/>
    <w:rsid w:val="00FD4FEB"/>
    <w:rsid w:val="00FD7129"/>
    <w:rsid w:val="00FD74A6"/>
    <w:rsid w:val="00FE2D6D"/>
    <w:rsid w:val="00FE3DE2"/>
    <w:rsid w:val="00FE5851"/>
    <w:rsid w:val="00FE6FC6"/>
    <w:rsid w:val="00FE75E5"/>
    <w:rsid w:val="00FF0E35"/>
    <w:rsid w:val="00FF4F15"/>
    <w:rsid w:val="00FF66DB"/>
    <w:rsid w:val="00FF78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5F0"/>
    <w:rPr>
      <w:sz w:val="22"/>
      <w:szCs w:val="22"/>
      <w:lang w:eastAsia="en-US"/>
    </w:rPr>
  </w:style>
  <w:style w:type="paragraph" w:styleId="Heading1">
    <w:name w:val="heading 1"/>
    <w:aliases w:val="ATA Submission Heading 1"/>
    <w:basedOn w:val="Normal"/>
    <w:next w:val="Normal"/>
    <w:link w:val="Heading1Char"/>
    <w:uiPriority w:val="99"/>
    <w:qFormat/>
    <w:rsid w:val="003B74E4"/>
    <w:pPr>
      <w:numPr>
        <w:numId w:val="1"/>
      </w:numPr>
      <w:outlineLvl w:val="0"/>
    </w:pPr>
    <w:rPr>
      <w:rFonts w:ascii="Arial" w:hAnsi="Arial" w:cs="Arial"/>
      <w:b/>
      <w:color w:val="000064"/>
      <w:sz w:val="28"/>
      <w:szCs w:val="28"/>
    </w:rPr>
  </w:style>
  <w:style w:type="paragraph" w:styleId="Heading2">
    <w:name w:val="heading 2"/>
    <w:basedOn w:val="Normal"/>
    <w:next w:val="Normal"/>
    <w:link w:val="Heading2Char"/>
    <w:unhideWhenUsed/>
    <w:qFormat/>
    <w:locked/>
    <w:rsid w:val="006859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0F53C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A Submission Heading 1 Char"/>
    <w:basedOn w:val="DefaultParagraphFont"/>
    <w:link w:val="Heading1"/>
    <w:uiPriority w:val="99"/>
    <w:locked/>
    <w:rsid w:val="003B74E4"/>
    <w:rPr>
      <w:rFonts w:ascii="Arial" w:hAnsi="Arial" w:cs="Arial"/>
      <w:b/>
      <w:color w:val="000064"/>
      <w:sz w:val="28"/>
      <w:szCs w:val="28"/>
      <w:lang w:eastAsia="en-US"/>
    </w:rPr>
  </w:style>
  <w:style w:type="character" w:customStyle="1" w:styleId="Heading2Char">
    <w:name w:val="Heading 2 Char"/>
    <w:basedOn w:val="DefaultParagraphFont"/>
    <w:link w:val="Heading2"/>
    <w:rsid w:val="006859F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9"/>
    <w:locked/>
    <w:rsid w:val="000F53C2"/>
    <w:rPr>
      <w:rFonts w:ascii="Cambria" w:hAnsi="Cambria" w:cs="Times New Roman"/>
      <w:b/>
      <w:bCs/>
      <w:sz w:val="26"/>
      <w:szCs w:val="26"/>
      <w:lang w:eastAsia="en-US"/>
    </w:rPr>
  </w:style>
  <w:style w:type="table" w:styleId="TableGrid">
    <w:name w:val="Table Grid"/>
    <w:basedOn w:val="TableNormal"/>
    <w:uiPriority w:val="39"/>
    <w:rsid w:val="00C162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semiHidden/>
    <w:rsid w:val="004B6187"/>
    <w:rPr>
      <w:rFonts w:ascii="Arial" w:eastAsia="Times New Roman" w:hAnsi="Arial" w:cs="Arial"/>
      <w:b/>
      <w:bCs/>
      <w:szCs w:val="20"/>
    </w:rPr>
  </w:style>
  <w:style w:type="character" w:customStyle="1" w:styleId="BodyText2Char">
    <w:name w:val="Body Text 2 Char"/>
    <w:basedOn w:val="DefaultParagraphFont"/>
    <w:link w:val="BodyText2"/>
    <w:uiPriority w:val="99"/>
    <w:semiHidden/>
    <w:locked/>
    <w:rsid w:val="004B6187"/>
    <w:rPr>
      <w:rFonts w:ascii="Arial" w:hAnsi="Arial" w:cs="Arial"/>
      <w:b/>
      <w:bCs/>
      <w:sz w:val="20"/>
      <w:szCs w:val="20"/>
    </w:rPr>
  </w:style>
  <w:style w:type="paragraph" w:styleId="Header">
    <w:name w:val="header"/>
    <w:basedOn w:val="Normal"/>
    <w:link w:val="HeaderChar"/>
    <w:uiPriority w:val="99"/>
    <w:rsid w:val="000F3D9F"/>
    <w:pPr>
      <w:tabs>
        <w:tab w:val="center" w:pos="4513"/>
        <w:tab w:val="right" w:pos="9026"/>
      </w:tabs>
    </w:pPr>
  </w:style>
  <w:style w:type="character" w:customStyle="1" w:styleId="HeaderChar">
    <w:name w:val="Header Char"/>
    <w:basedOn w:val="DefaultParagraphFont"/>
    <w:link w:val="Header"/>
    <w:uiPriority w:val="99"/>
    <w:locked/>
    <w:rsid w:val="000F3D9F"/>
    <w:rPr>
      <w:rFonts w:cs="Times New Roman"/>
      <w:sz w:val="22"/>
      <w:szCs w:val="22"/>
      <w:lang w:eastAsia="en-US"/>
    </w:rPr>
  </w:style>
  <w:style w:type="paragraph" w:styleId="Footer">
    <w:name w:val="footer"/>
    <w:basedOn w:val="Normal"/>
    <w:link w:val="FooterChar"/>
    <w:uiPriority w:val="99"/>
    <w:rsid w:val="000F3D9F"/>
    <w:pPr>
      <w:tabs>
        <w:tab w:val="center" w:pos="4513"/>
        <w:tab w:val="right" w:pos="9026"/>
      </w:tabs>
    </w:pPr>
  </w:style>
  <w:style w:type="character" w:customStyle="1" w:styleId="FooterChar">
    <w:name w:val="Footer Char"/>
    <w:basedOn w:val="DefaultParagraphFont"/>
    <w:link w:val="Footer"/>
    <w:uiPriority w:val="99"/>
    <w:locked/>
    <w:rsid w:val="000F3D9F"/>
    <w:rPr>
      <w:rFonts w:cs="Times New Roman"/>
      <w:sz w:val="22"/>
      <w:szCs w:val="22"/>
      <w:lang w:eastAsia="en-US"/>
    </w:rPr>
  </w:style>
  <w:style w:type="paragraph" w:styleId="ListParagraph">
    <w:name w:val="List Paragraph"/>
    <w:basedOn w:val="Normal"/>
    <w:uiPriority w:val="34"/>
    <w:qFormat/>
    <w:rsid w:val="000F53C2"/>
    <w:pPr>
      <w:spacing w:after="200" w:line="276" w:lineRule="auto"/>
      <w:ind w:left="720"/>
      <w:contextualSpacing/>
    </w:pPr>
  </w:style>
  <w:style w:type="paragraph" w:styleId="FootnoteText">
    <w:name w:val="footnote text"/>
    <w:basedOn w:val="Normal"/>
    <w:link w:val="FootnoteTextChar"/>
    <w:uiPriority w:val="99"/>
    <w:semiHidden/>
    <w:rsid w:val="000F53C2"/>
    <w:rPr>
      <w:sz w:val="20"/>
      <w:szCs w:val="20"/>
    </w:rPr>
  </w:style>
  <w:style w:type="character" w:customStyle="1" w:styleId="FootnoteTextChar">
    <w:name w:val="Footnote Text Char"/>
    <w:basedOn w:val="DefaultParagraphFont"/>
    <w:link w:val="FootnoteText"/>
    <w:uiPriority w:val="99"/>
    <w:semiHidden/>
    <w:locked/>
    <w:rsid w:val="000F53C2"/>
    <w:rPr>
      <w:rFonts w:cs="Times New Roman"/>
      <w:lang w:eastAsia="en-US"/>
    </w:rPr>
  </w:style>
  <w:style w:type="character" w:styleId="FootnoteReference">
    <w:name w:val="footnote reference"/>
    <w:basedOn w:val="DefaultParagraphFont"/>
    <w:uiPriority w:val="99"/>
    <w:semiHidden/>
    <w:rsid w:val="000F53C2"/>
    <w:rPr>
      <w:rFonts w:cs="Times New Roman"/>
      <w:vertAlign w:val="superscript"/>
    </w:rPr>
  </w:style>
  <w:style w:type="paragraph" w:customStyle="1" w:styleId="Default">
    <w:name w:val="Default"/>
    <w:link w:val="DefaultChar"/>
    <w:rsid w:val="000F53C2"/>
    <w:pPr>
      <w:autoSpaceDE w:val="0"/>
      <w:autoSpaceDN w:val="0"/>
      <w:adjustRightInd w:val="0"/>
    </w:pPr>
    <w:rPr>
      <w:rFonts w:ascii="Times New Roman" w:hAnsi="Times New Roman"/>
      <w:color w:val="000000"/>
      <w:sz w:val="24"/>
      <w:szCs w:val="24"/>
    </w:rPr>
  </w:style>
  <w:style w:type="character" w:customStyle="1" w:styleId="DefaultChar">
    <w:name w:val="Default Char"/>
    <w:basedOn w:val="DefaultParagraphFont"/>
    <w:link w:val="Default"/>
    <w:uiPriority w:val="99"/>
    <w:locked/>
    <w:rsid w:val="000F53C2"/>
    <w:rPr>
      <w:rFonts w:ascii="Times New Roman" w:hAnsi="Times New Roman"/>
      <w:color w:val="000000"/>
      <w:sz w:val="24"/>
      <w:szCs w:val="24"/>
      <w:lang w:val="en-AU" w:eastAsia="en-AU" w:bidi="ar-SA"/>
    </w:rPr>
  </w:style>
  <w:style w:type="paragraph" w:customStyle="1" w:styleId="ATAHeading2">
    <w:name w:val="ATA Heading 2"/>
    <w:basedOn w:val="Normal"/>
    <w:link w:val="ATAHeading2Char"/>
    <w:uiPriority w:val="99"/>
    <w:rsid w:val="00B13B6B"/>
    <w:pPr>
      <w:numPr>
        <w:ilvl w:val="1"/>
        <w:numId w:val="1"/>
      </w:numPr>
      <w:spacing w:before="120" w:after="120" w:line="276" w:lineRule="auto"/>
    </w:pPr>
    <w:rPr>
      <w:rFonts w:ascii="Arial" w:hAnsi="Arial" w:cs="Arial"/>
      <w:b/>
      <w:color w:val="000064"/>
      <w:sz w:val="26"/>
      <w:szCs w:val="26"/>
    </w:rPr>
  </w:style>
  <w:style w:type="character" w:customStyle="1" w:styleId="ATAHeading2Char">
    <w:name w:val="ATA Heading 2 Char"/>
    <w:basedOn w:val="DefaultParagraphFont"/>
    <w:link w:val="ATAHeading2"/>
    <w:uiPriority w:val="99"/>
    <w:locked/>
    <w:rsid w:val="00B13B6B"/>
    <w:rPr>
      <w:rFonts w:ascii="Arial" w:hAnsi="Arial" w:cs="Arial"/>
      <w:b/>
      <w:color w:val="000064"/>
      <w:sz w:val="26"/>
      <w:szCs w:val="26"/>
      <w:lang w:eastAsia="en-US"/>
    </w:rPr>
  </w:style>
  <w:style w:type="paragraph" w:customStyle="1" w:styleId="ATAHeading3">
    <w:name w:val="ATA Heading 3"/>
    <w:basedOn w:val="ATAHeading2"/>
    <w:link w:val="ATAHeading3Char"/>
    <w:uiPriority w:val="99"/>
    <w:rsid w:val="00D40AAD"/>
    <w:pPr>
      <w:numPr>
        <w:ilvl w:val="2"/>
      </w:numPr>
      <w:tabs>
        <w:tab w:val="left" w:pos="992"/>
      </w:tabs>
    </w:pPr>
    <w:rPr>
      <w:i/>
      <w:color w:val="0D0D0D" w:themeColor="text1" w:themeTint="F2"/>
      <w:sz w:val="22"/>
      <w:szCs w:val="22"/>
    </w:rPr>
  </w:style>
  <w:style w:type="character" w:customStyle="1" w:styleId="ATAHeading3Char">
    <w:name w:val="ATA Heading 3 Char"/>
    <w:basedOn w:val="DefaultParagraphFont"/>
    <w:link w:val="ATAHeading3"/>
    <w:uiPriority w:val="99"/>
    <w:locked/>
    <w:rsid w:val="00D40AAD"/>
    <w:rPr>
      <w:rFonts w:ascii="Arial" w:hAnsi="Arial" w:cs="Arial"/>
      <w:b/>
      <w:i/>
      <w:color w:val="0D0D0D" w:themeColor="text1" w:themeTint="F2"/>
      <w:sz w:val="22"/>
      <w:szCs w:val="22"/>
      <w:lang w:eastAsia="en-US"/>
    </w:rPr>
  </w:style>
  <w:style w:type="paragraph" w:customStyle="1" w:styleId="Quotes">
    <w:name w:val="Quotes"/>
    <w:basedOn w:val="Default"/>
    <w:link w:val="QuotesChar"/>
    <w:uiPriority w:val="99"/>
    <w:rsid w:val="000F53C2"/>
    <w:pPr>
      <w:ind w:left="851"/>
    </w:pPr>
    <w:rPr>
      <w:sz w:val="22"/>
      <w:szCs w:val="22"/>
    </w:rPr>
  </w:style>
  <w:style w:type="character" w:customStyle="1" w:styleId="QuotesChar">
    <w:name w:val="Quotes Char"/>
    <w:basedOn w:val="DefaultChar"/>
    <w:link w:val="Quotes"/>
    <w:uiPriority w:val="99"/>
    <w:locked/>
    <w:rsid w:val="000F53C2"/>
    <w:rPr>
      <w:rFonts w:ascii="Times New Roman" w:hAnsi="Times New Roman"/>
      <w:color w:val="000000"/>
      <w:sz w:val="22"/>
      <w:szCs w:val="22"/>
      <w:lang w:val="en-AU" w:eastAsia="en-AU" w:bidi="ar-SA"/>
    </w:rPr>
  </w:style>
  <w:style w:type="paragraph" w:customStyle="1" w:styleId="ATARecommendationHeading">
    <w:name w:val="ATA Recommendation Heading"/>
    <w:basedOn w:val="Normal"/>
    <w:link w:val="ATARecommendationHeadingChar"/>
    <w:uiPriority w:val="99"/>
    <w:rsid w:val="00740005"/>
    <w:rPr>
      <w:rFonts w:ascii="Arial" w:hAnsi="Arial" w:cs="Arial"/>
      <w:i/>
    </w:rPr>
  </w:style>
  <w:style w:type="character" w:customStyle="1" w:styleId="ATARecommendationHeadingChar">
    <w:name w:val="ATA Recommendation Heading Char"/>
    <w:basedOn w:val="DefaultParagraphFont"/>
    <w:link w:val="ATARecommendationHeading"/>
    <w:uiPriority w:val="99"/>
    <w:rsid w:val="006859F7"/>
    <w:rPr>
      <w:rFonts w:ascii="Arial" w:hAnsi="Arial" w:cs="Arial"/>
      <w:i/>
      <w:sz w:val="22"/>
      <w:szCs w:val="22"/>
      <w:lang w:eastAsia="en-US"/>
    </w:rPr>
  </w:style>
  <w:style w:type="paragraph" w:styleId="BalloonText">
    <w:name w:val="Balloon Text"/>
    <w:basedOn w:val="Normal"/>
    <w:link w:val="BalloonTextChar"/>
    <w:uiPriority w:val="99"/>
    <w:semiHidden/>
    <w:rsid w:val="007400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0005"/>
    <w:rPr>
      <w:rFonts w:ascii="Tahoma" w:hAnsi="Tahoma" w:cs="Tahoma"/>
      <w:sz w:val="16"/>
      <w:szCs w:val="16"/>
      <w:lang w:eastAsia="en-US"/>
    </w:rPr>
  </w:style>
  <w:style w:type="character" w:styleId="Strong">
    <w:name w:val="Strong"/>
    <w:basedOn w:val="DefaultParagraphFont"/>
    <w:uiPriority w:val="22"/>
    <w:qFormat/>
    <w:locked/>
    <w:rsid w:val="00960FE0"/>
    <w:rPr>
      <w:b/>
      <w:bCs/>
    </w:rPr>
  </w:style>
  <w:style w:type="paragraph" w:styleId="EndnoteText">
    <w:name w:val="endnote text"/>
    <w:basedOn w:val="Normal"/>
    <w:link w:val="EndnoteTextChar"/>
    <w:uiPriority w:val="99"/>
    <w:semiHidden/>
    <w:unhideWhenUsed/>
    <w:rsid w:val="00EE4129"/>
    <w:rPr>
      <w:sz w:val="20"/>
      <w:szCs w:val="20"/>
    </w:rPr>
  </w:style>
  <w:style w:type="character" w:customStyle="1" w:styleId="EndnoteTextChar">
    <w:name w:val="Endnote Text Char"/>
    <w:basedOn w:val="DefaultParagraphFont"/>
    <w:link w:val="EndnoteText"/>
    <w:uiPriority w:val="99"/>
    <w:semiHidden/>
    <w:rsid w:val="00EE4129"/>
    <w:rPr>
      <w:lang w:eastAsia="en-US"/>
    </w:rPr>
  </w:style>
  <w:style w:type="character" w:styleId="EndnoteReference">
    <w:name w:val="endnote reference"/>
    <w:basedOn w:val="DefaultParagraphFont"/>
    <w:uiPriority w:val="99"/>
    <w:semiHidden/>
    <w:unhideWhenUsed/>
    <w:rsid w:val="00EE4129"/>
    <w:rPr>
      <w:vertAlign w:val="superscript"/>
    </w:rPr>
  </w:style>
  <w:style w:type="paragraph" w:styleId="TOC1">
    <w:name w:val="toc 1"/>
    <w:basedOn w:val="Normal"/>
    <w:next w:val="Normal"/>
    <w:autoRedefine/>
    <w:uiPriority w:val="39"/>
    <w:locked/>
    <w:rsid w:val="00D13DF0"/>
    <w:pPr>
      <w:tabs>
        <w:tab w:val="right" w:leader="dot" w:pos="9628"/>
      </w:tabs>
      <w:spacing w:before="360" w:after="100"/>
    </w:pPr>
    <w:rPr>
      <w:rFonts w:ascii="Arial" w:hAnsi="Arial" w:cs="Arial"/>
      <w:b/>
      <w:noProof/>
      <w:sz w:val="20"/>
      <w:szCs w:val="20"/>
    </w:rPr>
  </w:style>
  <w:style w:type="paragraph" w:styleId="TOC2">
    <w:name w:val="toc 2"/>
    <w:basedOn w:val="Normal"/>
    <w:next w:val="Normal"/>
    <w:autoRedefine/>
    <w:uiPriority w:val="39"/>
    <w:locked/>
    <w:rsid w:val="00907971"/>
    <w:pPr>
      <w:tabs>
        <w:tab w:val="right" w:leader="dot" w:pos="9628"/>
      </w:tabs>
      <w:spacing w:after="120"/>
      <w:ind w:left="221"/>
    </w:pPr>
    <w:rPr>
      <w:rFonts w:ascii="Arial" w:hAnsi="Arial"/>
      <w:sz w:val="20"/>
    </w:rPr>
  </w:style>
  <w:style w:type="paragraph" w:customStyle="1" w:styleId="RecommendationStyle">
    <w:name w:val="Recommendation Style"/>
    <w:basedOn w:val="ATARecommendationHeading"/>
    <w:link w:val="RecommendationStyleChar"/>
    <w:qFormat/>
    <w:rsid w:val="00907971"/>
    <w:pPr>
      <w:numPr>
        <w:numId w:val="2"/>
      </w:numPr>
      <w:tabs>
        <w:tab w:val="left" w:pos="2098"/>
      </w:tabs>
      <w:spacing w:before="240" w:after="120"/>
    </w:pPr>
    <w:rPr>
      <w:b/>
      <w:sz w:val="20"/>
      <w:szCs w:val="20"/>
    </w:rPr>
  </w:style>
  <w:style w:type="character" w:customStyle="1" w:styleId="RecommendationStyleChar">
    <w:name w:val="Recommendation Style Char"/>
    <w:basedOn w:val="ATARecommendationHeadingChar"/>
    <w:link w:val="RecommendationStyle"/>
    <w:rsid w:val="00907971"/>
    <w:rPr>
      <w:rFonts w:ascii="Arial" w:hAnsi="Arial" w:cs="Arial"/>
      <w:b/>
      <w:i/>
      <w:sz w:val="22"/>
      <w:szCs w:val="22"/>
      <w:lang w:eastAsia="en-US"/>
    </w:rPr>
  </w:style>
  <w:style w:type="paragraph" w:customStyle="1" w:styleId="RecommendationStyle2">
    <w:name w:val="Recommendation Style 2"/>
    <w:basedOn w:val="Normal"/>
    <w:link w:val="RecommendationStyle2Char"/>
    <w:qFormat/>
    <w:rsid w:val="006859F7"/>
    <w:pPr>
      <w:jc w:val="both"/>
    </w:pPr>
    <w:rPr>
      <w:rFonts w:ascii="Arial" w:hAnsi="Arial" w:cs="Arial"/>
      <w:b/>
      <w:sz w:val="20"/>
      <w:szCs w:val="20"/>
    </w:rPr>
  </w:style>
  <w:style w:type="character" w:customStyle="1" w:styleId="RecommendationStyle2Char">
    <w:name w:val="Recommendation Style 2 Char"/>
    <w:basedOn w:val="DefaultParagraphFont"/>
    <w:link w:val="RecommendationStyle2"/>
    <w:rsid w:val="006859F7"/>
    <w:rPr>
      <w:rFonts w:ascii="Arial" w:hAnsi="Arial" w:cs="Arial"/>
      <w:b/>
      <w:lang w:eastAsia="en-US"/>
    </w:rPr>
  </w:style>
  <w:style w:type="character" w:styleId="Hyperlink">
    <w:name w:val="Hyperlink"/>
    <w:basedOn w:val="DefaultParagraphFont"/>
    <w:uiPriority w:val="99"/>
    <w:unhideWhenUsed/>
    <w:rsid w:val="009E77F2"/>
    <w:rPr>
      <w:color w:val="0000FF" w:themeColor="hyperlink"/>
      <w:u w:val="single"/>
    </w:rPr>
  </w:style>
  <w:style w:type="paragraph" w:customStyle="1" w:styleId="RecommendationStyle3">
    <w:name w:val="Recommendation Style 3"/>
    <w:basedOn w:val="RecommendationStyle2"/>
    <w:link w:val="RecommendationStyle3Char"/>
    <w:qFormat/>
    <w:rsid w:val="00907971"/>
    <w:rPr>
      <w:color w:val="FFFFFF" w:themeColor="background1"/>
    </w:rPr>
  </w:style>
  <w:style w:type="paragraph" w:styleId="TOC3">
    <w:name w:val="toc 3"/>
    <w:basedOn w:val="Normal"/>
    <w:next w:val="Normal"/>
    <w:autoRedefine/>
    <w:uiPriority w:val="39"/>
    <w:locked/>
    <w:rsid w:val="00907971"/>
    <w:pPr>
      <w:tabs>
        <w:tab w:val="right" w:leader="dot" w:pos="9628"/>
      </w:tabs>
      <w:ind w:left="442"/>
    </w:pPr>
    <w:rPr>
      <w:noProof/>
      <w:color w:val="FFFFFF" w:themeColor="background1"/>
    </w:rPr>
  </w:style>
  <w:style w:type="character" w:customStyle="1" w:styleId="RecommendationStyle3Char">
    <w:name w:val="Recommendation Style 3 Char"/>
    <w:basedOn w:val="RecommendationStyle2Char"/>
    <w:link w:val="RecommendationStyle3"/>
    <w:rsid w:val="00907971"/>
    <w:rPr>
      <w:rFonts w:ascii="Arial" w:hAnsi="Arial" w:cs="Arial"/>
      <w:b/>
      <w:color w:val="FFFFFF" w:themeColor="background1"/>
      <w:lang w:eastAsia="en-US"/>
    </w:rPr>
  </w:style>
  <w:style w:type="paragraph" w:customStyle="1" w:styleId="ATASubHead1">
    <w:name w:val="ATASubHead1"/>
    <w:basedOn w:val="Normal"/>
    <w:link w:val="ATASubHead1Char"/>
    <w:qFormat/>
    <w:rsid w:val="004008C7"/>
    <w:pPr>
      <w:tabs>
        <w:tab w:val="left" w:pos="851"/>
      </w:tabs>
      <w:spacing w:before="240" w:after="120"/>
    </w:pPr>
    <w:rPr>
      <w:rFonts w:ascii="Arial" w:hAnsi="Arial" w:cs="Arial"/>
      <w:b/>
      <w:color w:val="000064"/>
      <w:sz w:val="28"/>
      <w:szCs w:val="28"/>
    </w:rPr>
  </w:style>
  <w:style w:type="character" w:customStyle="1" w:styleId="ATASubHead1Char">
    <w:name w:val="ATASubHead1 Char"/>
    <w:link w:val="ATASubHead1"/>
    <w:rsid w:val="004008C7"/>
    <w:rPr>
      <w:rFonts w:ascii="Arial" w:hAnsi="Arial" w:cs="Arial"/>
      <w:b/>
      <w:color w:val="000064"/>
      <w:sz w:val="28"/>
      <w:szCs w:val="28"/>
      <w:lang w:eastAsia="en-US"/>
    </w:rPr>
  </w:style>
  <w:style w:type="table" w:customStyle="1" w:styleId="LightList-Accent11">
    <w:name w:val="Light List - Accent 11"/>
    <w:basedOn w:val="TableNormal"/>
    <w:uiPriority w:val="61"/>
    <w:rsid w:val="004008C7"/>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893728"/>
    <w:pPr>
      <w:spacing w:before="100" w:beforeAutospacing="1" w:after="100" w:afterAutospacing="1"/>
    </w:pPr>
    <w:rPr>
      <w:rFonts w:ascii="Times New Roman" w:eastAsia="Times New Roman" w:hAnsi="Times New Roman"/>
      <w:sz w:val="24"/>
      <w:szCs w:val="24"/>
      <w:lang w:eastAsia="en-AU"/>
    </w:rPr>
  </w:style>
  <w:style w:type="character" w:customStyle="1" w:styleId="author-name2">
    <w:name w:val="author-name2"/>
    <w:basedOn w:val="DefaultParagraphFont"/>
    <w:rsid w:val="00FC1291"/>
    <w:rPr>
      <w:b/>
      <w:bCs/>
    </w:rPr>
  </w:style>
  <w:style w:type="character" w:customStyle="1" w:styleId="source-name5">
    <w:name w:val="source-name5"/>
    <w:basedOn w:val="DefaultParagraphFont"/>
    <w:rsid w:val="00FC1291"/>
    <w:rPr>
      <w:i/>
      <w:iCs/>
    </w:rPr>
  </w:style>
  <w:style w:type="character" w:customStyle="1" w:styleId="publish-date5">
    <w:name w:val="publish-date5"/>
    <w:basedOn w:val="DefaultParagraphFont"/>
    <w:rsid w:val="00FC1291"/>
    <w:rPr>
      <w:i/>
      <w:iCs/>
      <w:sz w:val="14"/>
      <w:szCs w:val="14"/>
    </w:rPr>
  </w:style>
  <w:style w:type="character" w:styleId="FollowedHyperlink">
    <w:name w:val="FollowedHyperlink"/>
    <w:basedOn w:val="DefaultParagraphFont"/>
    <w:uiPriority w:val="99"/>
    <w:semiHidden/>
    <w:unhideWhenUsed/>
    <w:rsid w:val="007C746E"/>
    <w:rPr>
      <w:color w:val="800080" w:themeColor="followedHyperlink"/>
      <w:u w:val="single"/>
    </w:rPr>
  </w:style>
  <w:style w:type="paragraph" w:customStyle="1" w:styleId="ATAPreMnorm">
    <w:name w:val="ATAPreM norm"/>
    <w:basedOn w:val="Normal"/>
    <w:link w:val="ATAPreMnormChar"/>
    <w:qFormat/>
    <w:rsid w:val="00F2072F"/>
    <w:rPr>
      <w:rFonts w:ascii="Arial" w:eastAsia="Times New Roman" w:hAnsi="Arial" w:cs="Arial"/>
      <w:i/>
      <w:color w:val="000000"/>
      <w:sz w:val="20"/>
      <w:szCs w:val="20"/>
      <w:lang w:eastAsia="en-AU"/>
    </w:rPr>
  </w:style>
  <w:style w:type="paragraph" w:customStyle="1" w:styleId="ATAPervMHeading">
    <w:name w:val="ATAPervMHeading"/>
    <w:basedOn w:val="Normal"/>
    <w:link w:val="ATAPervMHeadingChar"/>
    <w:qFormat/>
    <w:rsid w:val="00F2072F"/>
    <w:pPr>
      <w:tabs>
        <w:tab w:val="left" w:pos="851"/>
      </w:tabs>
      <w:ind w:left="851" w:hanging="851"/>
    </w:pPr>
    <w:rPr>
      <w:rFonts w:ascii="Arial" w:hAnsi="Arial" w:cs="Arial"/>
      <w:b/>
      <w:i/>
      <w:sz w:val="20"/>
      <w:szCs w:val="20"/>
    </w:rPr>
  </w:style>
  <w:style w:type="character" w:customStyle="1" w:styleId="ATAPreMnormChar">
    <w:name w:val="ATAPreM norm Char"/>
    <w:basedOn w:val="DefaultParagraphFont"/>
    <w:link w:val="ATAPreMnorm"/>
    <w:rsid w:val="00F2072F"/>
    <w:rPr>
      <w:rFonts w:ascii="Arial" w:eastAsia="Times New Roman" w:hAnsi="Arial" w:cs="Arial"/>
      <w:i/>
      <w:color w:val="000000"/>
    </w:rPr>
  </w:style>
  <w:style w:type="character" w:customStyle="1" w:styleId="ATAPervMHeadingChar">
    <w:name w:val="ATAPervMHeading Char"/>
    <w:basedOn w:val="DefaultParagraphFont"/>
    <w:link w:val="ATAPervMHeading"/>
    <w:rsid w:val="00F2072F"/>
    <w:rPr>
      <w:rFonts w:ascii="Arial" w:hAnsi="Arial" w:cs="Arial"/>
      <w:b/>
      <w:i/>
      <w:lang w:eastAsia="en-US"/>
    </w:rPr>
  </w:style>
  <w:style w:type="character" w:styleId="CommentReference">
    <w:name w:val="annotation reference"/>
    <w:basedOn w:val="DefaultParagraphFont"/>
    <w:uiPriority w:val="99"/>
    <w:semiHidden/>
    <w:unhideWhenUsed/>
    <w:rsid w:val="00603655"/>
    <w:rPr>
      <w:sz w:val="16"/>
      <w:szCs w:val="16"/>
    </w:rPr>
  </w:style>
  <w:style w:type="paragraph" w:styleId="CommentText">
    <w:name w:val="annotation text"/>
    <w:basedOn w:val="Normal"/>
    <w:link w:val="CommentTextChar"/>
    <w:uiPriority w:val="99"/>
    <w:semiHidden/>
    <w:unhideWhenUsed/>
    <w:rsid w:val="00603655"/>
    <w:rPr>
      <w:sz w:val="20"/>
      <w:szCs w:val="20"/>
    </w:rPr>
  </w:style>
  <w:style w:type="character" w:customStyle="1" w:styleId="CommentTextChar">
    <w:name w:val="Comment Text Char"/>
    <w:basedOn w:val="DefaultParagraphFont"/>
    <w:link w:val="CommentText"/>
    <w:uiPriority w:val="99"/>
    <w:semiHidden/>
    <w:rsid w:val="00603655"/>
    <w:rPr>
      <w:lang w:eastAsia="en-US"/>
    </w:rPr>
  </w:style>
  <w:style w:type="paragraph" w:styleId="CommentSubject">
    <w:name w:val="annotation subject"/>
    <w:basedOn w:val="CommentText"/>
    <w:next w:val="CommentText"/>
    <w:link w:val="CommentSubjectChar"/>
    <w:uiPriority w:val="99"/>
    <w:semiHidden/>
    <w:unhideWhenUsed/>
    <w:rsid w:val="00603655"/>
    <w:rPr>
      <w:b/>
      <w:bCs/>
    </w:rPr>
  </w:style>
  <w:style w:type="character" w:customStyle="1" w:styleId="CommentSubjectChar">
    <w:name w:val="Comment Subject Char"/>
    <w:basedOn w:val="CommentTextChar"/>
    <w:link w:val="CommentSubject"/>
    <w:uiPriority w:val="99"/>
    <w:semiHidden/>
    <w:rsid w:val="00603655"/>
    <w:rPr>
      <w:b/>
      <w:bCs/>
      <w:lang w:eastAsia="en-US"/>
    </w:rPr>
  </w:style>
  <w:style w:type="paragraph" w:styleId="PlainText">
    <w:name w:val="Plain Text"/>
    <w:basedOn w:val="Normal"/>
    <w:link w:val="PlainTextChar"/>
    <w:uiPriority w:val="99"/>
    <w:unhideWhenUsed/>
    <w:rsid w:val="00040B35"/>
    <w:rPr>
      <w:rFonts w:ascii="Consolas" w:eastAsiaTheme="minorHAnsi" w:hAnsi="Consolas" w:cs="Consolas"/>
      <w:sz w:val="21"/>
      <w:szCs w:val="21"/>
      <w:lang w:eastAsia="en-AU"/>
    </w:rPr>
  </w:style>
  <w:style w:type="character" w:customStyle="1" w:styleId="PlainTextChar">
    <w:name w:val="Plain Text Char"/>
    <w:basedOn w:val="DefaultParagraphFont"/>
    <w:link w:val="PlainText"/>
    <w:uiPriority w:val="99"/>
    <w:rsid w:val="00040B35"/>
    <w:rPr>
      <w:rFonts w:ascii="Consolas" w:eastAsiaTheme="minorHAnsi" w:hAnsi="Consolas" w:cs="Consolas"/>
      <w:sz w:val="21"/>
      <w:szCs w:val="21"/>
    </w:rPr>
  </w:style>
  <w:style w:type="paragraph" w:styleId="NoSpacing">
    <w:name w:val="No Spacing"/>
    <w:basedOn w:val="Normal"/>
    <w:uiPriority w:val="1"/>
    <w:qFormat/>
    <w:rsid w:val="005C4492"/>
    <w:rPr>
      <w:rFonts w:eastAsiaTheme="minorHAnsi"/>
      <w:color w:val="404040"/>
      <w:sz w:val="19"/>
      <w:szCs w:val="19"/>
      <w:lang w:eastAsia="en-AU"/>
    </w:rPr>
  </w:style>
  <w:style w:type="character" w:customStyle="1" w:styleId="apple-converted-space">
    <w:name w:val="apple-converted-space"/>
    <w:basedOn w:val="DefaultParagraphFont"/>
    <w:rsid w:val="00DF2EC9"/>
  </w:style>
  <w:style w:type="character" w:customStyle="1" w:styleId="filesize">
    <w:name w:val="filesize"/>
    <w:basedOn w:val="DefaultParagraphFont"/>
    <w:rsid w:val="00DF2EC9"/>
  </w:style>
  <w:style w:type="table" w:customStyle="1" w:styleId="TableGrid1">
    <w:name w:val="Table Grid1"/>
    <w:basedOn w:val="TableNormal"/>
    <w:next w:val="TableGrid"/>
    <w:uiPriority w:val="39"/>
    <w:rsid w:val="0000772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707">
      <w:bodyDiv w:val="1"/>
      <w:marLeft w:val="0"/>
      <w:marRight w:val="0"/>
      <w:marTop w:val="0"/>
      <w:marBottom w:val="0"/>
      <w:divBdr>
        <w:top w:val="none" w:sz="0" w:space="0" w:color="auto"/>
        <w:left w:val="none" w:sz="0" w:space="0" w:color="auto"/>
        <w:bottom w:val="none" w:sz="0" w:space="0" w:color="auto"/>
        <w:right w:val="none" w:sz="0" w:space="0" w:color="auto"/>
      </w:divBdr>
    </w:div>
    <w:div w:id="94373257">
      <w:bodyDiv w:val="1"/>
      <w:marLeft w:val="0"/>
      <w:marRight w:val="0"/>
      <w:marTop w:val="0"/>
      <w:marBottom w:val="0"/>
      <w:divBdr>
        <w:top w:val="none" w:sz="0" w:space="0" w:color="auto"/>
        <w:left w:val="none" w:sz="0" w:space="0" w:color="auto"/>
        <w:bottom w:val="none" w:sz="0" w:space="0" w:color="auto"/>
        <w:right w:val="none" w:sz="0" w:space="0" w:color="auto"/>
      </w:divBdr>
    </w:div>
    <w:div w:id="160389069">
      <w:bodyDiv w:val="1"/>
      <w:marLeft w:val="0"/>
      <w:marRight w:val="0"/>
      <w:marTop w:val="0"/>
      <w:marBottom w:val="0"/>
      <w:divBdr>
        <w:top w:val="none" w:sz="0" w:space="0" w:color="auto"/>
        <w:left w:val="none" w:sz="0" w:space="0" w:color="auto"/>
        <w:bottom w:val="none" w:sz="0" w:space="0" w:color="auto"/>
        <w:right w:val="none" w:sz="0" w:space="0" w:color="auto"/>
      </w:divBdr>
    </w:div>
    <w:div w:id="195239725">
      <w:bodyDiv w:val="1"/>
      <w:marLeft w:val="0"/>
      <w:marRight w:val="0"/>
      <w:marTop w:val="0"/>
      <w:marBottom w:val="0"/>
      <w:divBdr>
        <w:top w:val="none" w:sz="0" w:space="0" w:color="auto"/>
        <w:left w:val="none" w:sz="0" w:space="0" w:color="auto"/>
        <w:bottom w:val="none" w:sz="0" w:space="0" w:color="auto"/>
        <w:right w:val="none" w:sz="0" w:space="0" w:color="auto"/>
      </w:divBdr>
    </w:div>
    <w:div w:id="243534529">
      <w:bodyDiv w:val="1"/>
      <w:marLeft w:val="0"/>
      <w:marRight w:val="0"/>
      <w:marTop w:val="0"/>
      <w:marBottom w:val="0"/>
      <w:divBdr>
        <w:top w:val="none" w:sz="0" w:space="0" w:color="auto"/>
        <w:left w:val="none" w:sz="0" w:space="0" w:color="auto"/>
        <w:bottom w:val="none" w:sz="0" w:space="0" w:color="auto"/>
        <w:right w:val="none" w:sz="0" w:space="0" w:color="auto"/>
      </w:divBdr>
    </w:div>
    <w:div w:id="281620142">
      <w:bodyDiv w:val="1"/>
      <w:marLeft w:val="0"/>
      <w:marRight w:val="0"/>
      <w:marTop w:val="0"/>
      <w:marBottom w:val="0"/>
      <w:divBdr>
        <w:top w:val="none" w:sz="0" w:space="0" w:color="auto"/>
        <w:left w:val="none" w:sz="0" w:space="0" w:color="auto"/>
        <w:bottom w:val="none" w:sz="0" w:space="0" w:color="auto"/>
        <w:right w:val="none" w:sz="0" w:space="0" w:color="auto"/>
      </w:divBdr>
    </w:div>
    <w:div w:id="300501640">
      <w:bodyDiv w:val="1"/>
      <w:marLeft w:val="0"/>
      <w:marRight w:val="0"/>
      <w:marTop w:val="0"/>
      <w:marBottom w:val="0"/>
      <w:divBdr>
        <w:top w:val="none" w:sz="0" w:space="0" w:color="auto"/>
        <w:left w:val="none" w:sz="0" w:space="0" w:color="auto"/>
        <w:bottom w:val="none" w:sz="0" w:space="0" w:color="auto"/>
        <w:right w:val="none" w:sz="0" w:space="0" w:color="auto"/>
      </w:divBdr>
      <w:divsChild>
        <w:div w:id="1953660714">
          <w:marLeft w:val="0"/>
          <w:marRight w:val="0"/>
          <w:marTop w:val="0"/>
          <w:marBottom w:val="0"/>
          <w:divBdr>
            <w:top w:val="none" w:sz="0" w:space="0" w:color="auto"/>
            <w:left w:val="none" w:sz="0" w:space="0" w:color="auto"/>
            <w:bottom w:val="none" w:sz="0" w:space="0" w:color="auto"/>
            <w:right w:val="none" w:sz="0" w:space="0" w:color="auto"/>
          </w:divBdr>
          <w:divsChild>
            <w:div w:id="749893250">
              <w:marLeft w:val="0"/>
              <w:marRight w:val="0"/>
              <w:marTop w:val="0"/>
              <w:marBottom w:val="0"/>
              <w:divBdr>
                <w:top w:val="none" w:sz="0" w:space="0" w:color="auto"/>
                <w:left w:val="none" w:sz="0" w:space="0" w:color="auto"/>
                <w:bottom w:val="none" w:sz="0" w:space="0" w:color="auto"/>
                <w:right w:val="none" w:sz="0" w:space="0" w:color="auto"/>
              </w:divBdr>
              <w:divsChild>
                <w:div w:id="1990743551">
                  <w:marLeft w:val="0"/>
                  <w:marRight w:val="0"/>
                  <w:marTop w:val="0"/>
                  <w:marBottom w:val="0"/>
                  <w:divBdr>
                    <w:top w:val="none" w:sz="0" w:space="0" w:color="auto"/>
                    <w:left w:val="none" w:sz="0" w:space="0" w:color="auto"/>
                    <w:bottom w:val="none" w:sz="0" w:space="0" w:color="auto"/>
                    <w:right w:val="none" w:sz="0" w:space="0" w:color="auto"/>
                  </w:divBdr>
                  <w:divsChild>
                    <w:div w:id="1398744426">
                      <w:marLeft w:val="0"/>
                      <w:marRight w:val="0"/>
                      <w:marTop w:val="0"/>
                      <w:marBottom w:val="173"/>
                      <w:divBdr>
                        <w:top w:val="none" w:sz="0" w:space="0" w:color="auto"/>
                        <w:left w:val="none" w:sz="0" w:space="0" w:color="auto"/>
                        <w:bottom w:val="single" w:sz="12" w:space="0" w:color="auto"/>
                        <w:right w:val="none" w:sz="0" w:space="0" w:color="auto"/>
                      </w:divBdr>
                      <w:divsChild>
                        <w:div w:id="151719399">
                          <w:marLeft w:val="0"/>
                          <w:marRight w:val="0"/>
                          <w:marTop w:val="0"/>
                          <w:marBottom w:val="0"/>
                          <w:divBdr>
                            <w:top w:val="none" w:sz="0" w:space="0" w:color="auto"/>
                            <w:left w:val="none" w:sz="0" w:space="0" w:color="auto"/>
                            <w:bottom w:val="none" w:sz="0" w:space="0" w:color="auto"/>
                            <w:right w:val="none" w:sz="0" w:space="0" w:color="auto"/>
                          </w:divBdr>
                          <w:divsChild>
                            <w:div w:id="846868594">
                              <w:marLeft w:val="0"/>
                              <w:marRight w:val="0"/>
                              <w:marTop w:val="0"/>
                              <w:marBottom w:val="0"/>
                              <w:divBdr>
                                <w:top w:val="none" w:sz="0" w:space="0" w:color="auto"/>
                                <w:left w:val="none" w:sz="0" w:space="0" w:color="auto"/>
                                <w:bottom w:val="none" w:sz="0" w:space="0" w:color="auto"/>
                                <w:right w:val="none" w:sz="0" w:space="0" w:color="auto"/>
                              </w:divBdr>
                              <w:divsChild>
                                <w:div w:id="64375558">
                                  <w:marLeft w:val="0"/>
                                  <w:marRight w:val="0"/>
                                  <w:marTop w:val="0"/>
                                  <w:marBottom w:val="0"/>
                                  <w:divBdr>
                                    <w:top w:val="none" w:sz="0" w:space="0" w:color="auto"/>
                                    <w:left w:val="none" w:sz="0" w:space="0" w:color="auto"/>
                                    <w:bottom w:val="none" w:sz="0" w:space="0" w:color="auto"/>
                                    <w:right w:val="none" w:sz="0" w:space="0" w:color="auto"/>
                                  </w:divBdr>
                                  <w:divsChild>
                                    <w:div w:id="1638073701">
                                      <w:marLeft w:val="0"/>
                                      <w:marRight w:val="0"/>
                                      <w:marTop w:val="0"/>
                                      <w:marBottom w:val="0"/>
                                      <w:divBdr>
                                        <w:top w:val="none" w:sz="0" w:space="0" w:color="auto"/>
                                        <w:left w:val="none" w:sz="0" w:space="0" w:color="auto"/>
                                        <w:bottom w:val="none" w:sz="0" w:space="0" w:color="auto"/>
                                        <w:right w:val="none" w:sz="0" w:space="0" w:color="auto"/>
                                      </w:divBdr>
                                      <w:divsChild>
                                        <w:div w:id="3881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852183">
      <w:bodyDiv w:val="1"/>
      <w:marLeft w:val="0"/>
      <w:marRight w:val="0"/>
      <w:marTop w:val="0"/>
      <w:marBottom w:val="0"/>
      <w:divBdr>
        <w:top w:val="none" w:sz="0" w:space="0" w:color="auto"/>
        <w:left w:val="none" w:sz="0" w:space="0" w:color="auto"/>
        <w:bottom w:val="none" w:sz="0" w:space="0" w:color="auto"/>
        <w:right w:val="none" w:sz="0" w:space="0" w:color="auto"/>
      </w:divBdr>
      <w:divsChild>
        <w:div w:id="1062757597">
          <w:marLeft w:val="0"/>
          <w:marRight w:val="0"/>
          <w:marTop w:val="0"/>
          <w:marBottom w:val="0"/>
          <w:divBdr>
            <w:top w:val="single" w:sz="2" w:space="0" w:color="999999"/>
            <w:left w:val="single" w:sz="4" w:space="0" w:color="999999"/>
            <w:bottom w:val="single" w:sz="2" w:space="0" w:color="999999"/>
            <w:right w:val="single" w:sz="4" w:space="0" w:color="999999"/>
          </w:divBdr>
          <w:divsChild>
            <w:div w:id="659891644">
              <w:marLeft w:val="0"/>
              <w:marRight w:val="0"/>
              <w:marTop w:val="0"/>
              <w:marBottom w:val="0"/>
              <w:divBdr>
                <w:top w:val="none" w:sz="0" w:space="0" w:color="auto"/>
                <w:left w:val="none" w:sz="0" w:space="0" w:color="auto"/>
                <w:bottom w:val="none" w:sz="0" w:space="0" w:color="auto"/>
                <w:right w:val="none" w:sz="0" w:space="0" w:color="auto"/>
              </w:divBdr>
              <w:divsChild>
                <w:div w:id="82847928">
                  <w:marLeft w:val="0"/>
                  <w:marRight w:val="230"/>
                  <w:marTop w:val="0"/>
                  <w:marBottom w:val="480"/>
                  <w:divBdr>
                    <w:top w:val="none" w:sz="0" w:space="0" w:color="auto"/>
                    <w:left w:val="none" w:sz="0" w:space="0" w:color="auto"/>
                    <w:bottom w:val="none" w:sz="0" w:space="0" w:color="auto"/>
                    <w:right w:val="none" w:sz="0" w:space="0" w:color="auto"/>
                  </w:divBdr>
                </w:div>
              </w:divsChild>
            </w:div>
          </w:divsChild>
        </w:div>
      </w:divsChild>
    </w:div>
    <w:div w:id="412705156">
      <w:bodyDiv w:val="1"/>
      <w:marLeft w:val="0"/>
      <w:marRight w:val="0"/>
      <w:marTop w:val="0"/>
      <w:marBottom w:val="0"/>
      <w:divBdr>
        <w:top w:val="none" w:sz="0" w:space="0" w:color="auto"/>
        <w:left w:val="none" w:sz="0" w:space="0" w:color="auto"/>
        <w:bottom w:val="none" w:sz="0" w:space="0" w:color="auto"/>
        <w:right w:val="none" w:sz="0" w:space="0" w:color="auto"/>
      </w:divBdr>
    </w:div>
    <w:div w:id="497158613">
      <w:bodyDiv w:val="1"/>
      <w:marLeft w:val="0"/>
      <w:marRight w:val="0"/>
      <w:marTop w:val="0"/>
      <w:marBottom w:val="0"/>
      <w:divBdr>
        <w:top w:val="none" w:sz="0" w:space="0" w:color="auto"/>
        <w:left w:val="none" w:sz="0" w:space="0" w:color="auto"/>
        <w:bottom w:val="none" w:sz="0" w:space="0" w:color="auto"/>
        <w:right w:val="none" w:sz="0" w:space="0" w:color="auto"/>
      </w:divBdr>
    </w:div>
    <w:div w:id="708993285">
      <w:bodyDiv w:val="1"/>
      <w:marLeft w:val="0"/>
      <w:marRight w:val="0"/>
      <w:marTop w:val="0"/>
      <w:marBottom w:val="0"/>
      <w:divBdr>
        <w:top w:val="none" w:sz="0" w:space="0" w:color="auto"/>
        <w:left w:val="none" w:sz="0" w:space="0" w:color="auto"/>
        <w:bottom w:val="none" w:sz="0" w:space="0" w:color="auto"/>
        <w:right w:val="none" w:sz="0" w:space="0" w:color="auto"/>
      </w:divBdr>
    </w:div>
    <w:div w:id="764347823">
      <w:bodyDiv w:val="1"/>
      <w:marLeft w:val="0"/>
      <w:marRight w:val="0"/>
      <w:marTop w:val="0"/>
      <w:marBottom w:val="0"/>
      <w:divBdr>
        <w:top w:val="none" w:sz="0" w:space="0" w:color="auto"/>
        <w:left w:val="none" w:sz="0" w:space="0" w:color="auto"/>
        <w:bottom w:val="none" w:sz="0" w:space="0" w:color="auto"/>
        <w:right w:val="none" w:sz="0" w:space="0" w:color="auto"/>
      </w:divBdr>
      <w:divsChild>
        <w:div w:id="1504861412">
          <w:marLeft w:val="0"/>
          <w:marRight w:val="0"/>
          <w:marTop w:val="0"/>
          <w:marBottom w:val="0"/>
          <w:divBdr>
            <w:top w:val="none" w:sz="0" w:space="0" w:color="auto"/>
            <w:left w:val="none" w:sz="0" w:space="0" w:color="auto"/>
            <w:bottom w:val="none" w:sz="0" w:space="0" w:color="auto"/>
            <w:right w:val="none" w:sz="0" w:space="0" w:color="auto"/>
          </w:divBdr>
          <w:divsChild>
            <w:div w:id="101927376">
              <w:marLeft w:val="0"/>
              <w:marRight w:val="0"/>
              <w:marTop w:val="0"/>
              <w:marBottom w:val="0"/>
              <w:divBdr>
                <w:top w:val="none" w:sz="0" w:space="0" w:color="auto"/>
                <w:left w:val="none" w:sz="0" w:space="0" w:color="auto"/>
                <w:bottom w:val="none" w:sz="0" w:space="0" w:color="auto"/>
                <w:right w:val="none" w:sz="0" w:space="0" w:color="auto"/>
              </w:divBdr>
              <w:divsChild>
                <w:div w:id="1142624037">
                  <w:marLeft w:val="0"/>
                  <w:marRight w:val="0"/>
                  <w:marTop w:val="100"/>
                  <w:marBottom w:val="100"/>
                  <w:divBdr>
                    <w:top w:val="none" w:sz="0" w:space="0" w:color="auto"/>
                    <w:left w:val="none" w:sz="0" w:space="0" w:color="auto"/>
                    <w:bottom w:val="none" w:sz="0" w:space="0" w:color="auto"/>
                    <w:right w:val="none" w:sz="0" w:space="0" w:color="auto"/>
                  </w:divBdr>
                  <w:divsChild>
                    <w:div w:id="1542476904">
                      <w:marLeft w:val="0"/>
                      <w:marRight w:val="0"/>
                      <w:marTop w:val="0"/>
                      <w:marBottom w:val="0"/>
                      <w:divBdr>
                        <w:top w:val="none" w:sz="0" w:space="0" w:color="auto"/>
                        <w:left w:val="none" w:sz="0" w:space="0" w:color="auto"/>
                        <w:bottom w:val="none" w:sz="0" w:space="0" w:color="auto"/>
                        <w:right w:val="none" w:sz="0" w:space="0" w:color="auto"/>
                      </w:divBdr>
                      <w:divsChild>
                        <w:div w:id="1721051084">
                          <w:marLeft w:val="0"/>
                          <w:marRight w:val="0"/>
                          <w:marTop w:val="0"/>
                          <w:marBottom w:val="0"/>
                          <w:divBdr>
                            <w:top w:val="none" w:sz="0" w:space="0" w:color="auto"/>
                            <w:left w:val="none" w:sz="0" w:space="0" w:color="auto"/>
                            <w:bottom w:val="none" w:sz="0" w:space="0" w:color="auto"/>
                            <w:right w:val="none" w:sz="0" w:space="0" w:color="auto"/>
                          </w:divBdr>
                          <w:divsChild>
                            <w:div w:id="658457871">
                              <w:marLeft w:val="0"/>
                              <w:marRight w:val="0"/>
                              <w:marTop w:val="0"/>
                              <w:marBottom w:val="0"/>
                              <w:divBdr>
                                <w:top w:val="none" w:sz="0" w:space="0" w:color="auto"/>
                                <w:left w:val="none" w:sz="0" w:space="0" w:color="auto"/>
                                <w:bottom w:val="none" w:sz="0" w:space="0" w:color="auto"/>
                                <w:right w:val="none" w:sz="0" w:space="0" w:color="auto"/>
                              </w:divBdr>
                              <w:divsChild>
                                <w:div w:id="137947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918695">
      <w:bodyDiv w:val="1"/>
      <w:marLeft w:val="0"/>
      <w:marRight w:val="0"/>
      <w:marTop w:val="0"/>
      <w:marBottom w:val="0"/>
      <w:divBdr>
        <w:top w:val="none" w:sz="0" w:space="0" w:color="auto"/>
        <w:left w:val="none" w:sz="0" w:space="0" w:color="auto"/>
        <w:bottom w:val="none" w:sz="0" w:space="0" w:color="auto"/>
        <w:right w:val="none" w:sz="0" w:space="0" w:color="auto"/>
      </w:divBdr>
    </w:div>
    <w:div w:id="815923983">
      <w:bodyDiv w:val="1"/>
      <w:marLeft w:val="0"/>
      <w:marRight w:val="0"/>
      <w:marTop w:val="0"/>
      <w:marBottom w:val="0"/>
      <w:divBdr>
        <w:top w:val="none" w:sz="0" w:space="0" w:color="auto"/>
        <w:left w:val="none" w:sz="0" w:space="0" w:color="auto"/>
        <w:bottom w:val="none" w:sz="0" w:space="0" w:color="auto"/>
        <w:right w:val="none" w:sz="0" w:space="0" w:color="auto"/>
      </w:divBdr>
    </w:div>
    <w:div w:id="828593103">
      <w:bodyDiv w:val="1"/>
      <w:marLeft w:val="0"/>
      <w:marRight w:val="0"/>
      <w:marTop w:val="0"/>
      <w:marBottom w:val="0"/>
      <w:divBdr>
        <w:top w:val="none" w:sz="0" w:space="0" w:color="auto"/>
        <w:left w:val="none" w:sz="0" w:space="0" w:color="auto"/>
        <w:bottom w:val="none" w:sz="0" w:space="0" w:color="auto"/>
        <w:right w:val="none" w:sz="0" w:space="0" w:color="auto"/>
      </w:divBdr>
    </w:div>
    <w:div w:id="900407637">
      <w:bodyDiv w:val="1"/>
      <w:marLeft w:val="0"/>
      <w:marRight w:val="0"/>
      <w:marTop w:val="0"/>
      <w:marBottom w:val="0"/>
      <w:divBdr>
        <w:top w:val="none" w:sz="0" w:space="0" w:color="auto"/>
        <w:left w:val="none" w:sz="0" w:space="0" w:color="auto"/>
        <w:bottom w:val="none" w:sz="0" w:space="0" w:color="auto"/>
        <w:right w:val="none" w:sz="0" w:space="0" w:color="auto"/>
      </w:divBdr>
    </w:div>
    <w:div w:id="1107240177">
      <w:bodyDiv w:val="1"/>
      <w:marLeft w:val="0"/>
      <w:marRight w:val="0"/>
      <w:marTop w:val="0"/>
      <w:marBottom w:val="0"/>
      <w:divBdr>
        <w:top w:val="none" w:sz="0" w:space="0" w:color="auto"/>
        <w:left w:val="none" w:sz="0" w:space="0" w:color="auto"/>
        <w:bottom w:val="none" w:sz="0" w:space="0" w:color="auto"/>
        <w:right w:val="none" w:sz="0" w:space="0" w:color="auto"/>
      </w:divBdr>
    </w:div>
    <w:div w:id="1121075664">
      <w:bodyDiv w:val="1"/>
      <w:marLeft w:val="0"/>
      <w:marRight w:val="0"/>
      <w:marTop w:val="0"/>
      <w:marBottom w:val="0"/>
      <w:divBdr>
        <w:top w:val="none" w:sz="0" w:space="0" w:color="auto"/>
        <w:left w:val="none" w:sz="0" w:space="0" w:color="auto"/>
        <w:bottom w:val="none" w:sz="0" w:space="0" w:color="auto"/>
        <w:right w:val="none" w:sz="0" w:space="0" w:color="auto"/>
      </w:divBdr>
    </w:div>
    <w:div w:id="1124082810">
      <w:marLeft w:val="0"/>
      <w:marRight w:val="0"/>
      <w:marTop w:val="0"/>
      <w:marBottom w:val="0"/>
      <w:divBdr>
        <w:top w:val="none" w:sz="0" w:space="0" w:color="auto"/>
        <w:left w:val="none" w:sz="0" w:space="0" w:color="auto"/>
        <w:bottom w:val="none" w:sz="0" w:space="0" w:color="auto"/>
        <w:right w:val="none" w:sz="0" w:space="0" w:color="auto"/>
      </w:divBdr>
    </w:div>
    <w:div w:id="1124082811">
      <w:marLeft w:val="0"/>
      <w:marRight w:val="0"/>
      <w:marTop w:val="0"/>
      <w:marBottom w:val="0"/>
      <w:divBdr>
        <w:top w:val="none" w:sz="0" w:space="0" w:color="auto"/>
        <w:left w:val="none" w:sz="0" w:space="0" w:color="auto"/>
        <w:bottom w:val="none" w:sz="0" w:space="0" w:color="auto"/>
        <w:right w:val="none" w:sz="0" w:space="0" w:color="auto"/>
      </w:divBdr>
    </w:div>
    <w:div w:id="1126312516">
      <w:bodyDiv w:val="1"/>
      <w:marLeft w:val="0"/>
      <w:marRight w:val="0"/>
      <w:marTop w:val="0"/>
      <w:marBottom w:val="0"/>
      <w:divBdr>
        <w:top w:val="none" w:sz="0" w:space="0" w:color="auto"/>
        <w:left w:val="none" w:sz="0" w:space="0" w:color="auto"/>
        <w:bottom w:val="none" w:sz="0" w:space="0" w:color="auto"/>
        <w:right w:val="none" w:sz="0" w:space="0" w:color="auto"/>
      </w:divBdr>
      <w:divsChild>
        <w:div w:id="1500120403">
          <w:marLeft w:val="0"/>
          <w:marRight w:val="0"/>
          <w:marTop w:val="0"/>
          <w:marBottom w:val="0"/>
          <w:divBdr>
            <w:top w:val="single" w:sz="2" w:space="0" w:color="999999"/>
            <w:left w:val="single" w:sz="4" w:space="0" w:color="999999"/>
            <w:bottom w:val="single" w:sz="2" w:space="0" w:color="999999"/>
            <w:right w:val="single" w:sz="4" w:space="0" w:color="999999"/>
          </w:divBdr>
          <w:divsChild>
            <w:div w:id="2011176851">
              <w:marLeft w:val="0"/>
              <w:marRight w:val="0"/>
              <w:marTop w:val="0"/>
              <w:marBottom w:val="0"/>
              <w:divBdr>
                <w:top w:val="none" w:sz="0" w:space="0" w:color="auto"/>
                <w:left w:val="none" w:sz="0" w:space="0" w:color="auto"/>
                <w:bottom w:val="none" w:sz="0" w:space="0" w:color="auto"/>
                <w:right w:val="none" w:sz="0" w:space="0" w:color="auto"/>
              </w:divBdr>
              <w:divsChild>
                <w:div w:id="1592084198">
                  <w:marLeft w:val="0"/>
                  <w:marRight w:val="230"/>
                  <w:marTop w:val="0"/>
                  <w:marBottom w:val="480"/>
                  <w:divBdr>
                    <w:top w:val="none" w:sz="0" w:space="0" w:color="auto"/>
                    <w:left w:val="none" w:sz="0" w:space="0" w:color="auto"/>
                    <w:bottom w:val="none" w:sz="0" w:space="0" w:color="auto"/>
                    <w:right w:val="none" w:sz="0" w:space="0" w:color="auto"/>
                  </w:divBdr>
                </w:div>
              </w:divsChild>
            </w:div>
          </w:divsChild>
        </w:div>
      </w:divsChild>
    </w:div>
    <w:div w:id="1168668862">
      <w:bodyDiv w:val="1"/>
      <w:marLeft w:val="0"/>
      <w:marRight w:val="0"/>
      <w:marTop w:val="0"/>
      <w:marBottom w:val="0"/>
      <w:divBdr>
        <w:top w:val="none" w:sz="0" w:space="0" w:color="auto"/>
        <w:left w:val="none" w:sz="0" w:space="0" w:color="auto"/>
        <w:bottom w:val="none" w:sz="0" w:space="0" w:color="auto"/>
        <w:right w:val="none" w:sz="0" w:space="0" w:color="auto"/>
      </w:divBdr>
    </w:div>
    <w:div w:id="1177578316">
      <w:bodyDiv w:val="1"/>
      <w:marLeft w:val="0"/>
      <w:marRight w:val="0"/>
      <w:marTop w:val="0"/>
      <w:marBottom w:val="0"/>
      <w:divBdr>
        <w:top w:val="none" w:sz="0" w:space="0" w:color="auto"/>
        <w:left w:val="none" w:sz="0" w:space="0" w:color="auto"/>
        <w:bottom w:val="none" w:sz="0" w:space="0" w:color="auto"/>
        <w:right w:val="none" w:sz="0" w:space="0" w:color="auto"/>
      </w:divBdr>
    </w:div>
    <w:div w:id="1264221754">
      <w:bodyDiv w:val="1"/>
      <w:marLeft w:val="0"/>
      <w:marRight w:val="0"/>
      <w:marTop w:val="0"/>
      <w:marBottom w:val="0"/>
      <w:divBdr>
        <w:top w:val="none" w:sz="0" w:space="0" w:color="auto"/>
        <w:left w:val="none" w:sz="0" w:space="0" w:color="auto"/>
        <w:bottom w:val="none" w:sz="0" w:space="0" w:color="auto"/>
        <w:right w:val="none" w:sz="0" w:space="0" w:color="auto"/>
      </w:divBdr>
    </w:div>
    <w:div w:id="1266157425">
      <w:bodyDiv w:val="1"/>
      <w:marLeft w:val="0"/>
      <w:marRight w:val="0"/>
      <w:marTop w:val="0"/>
      <w:marBottom w:val="0"/>
      <w:divBdr>
        <w:top w:val="none" w:sz="0" w:space="0" w:color="auto"/>
        <w:left w:val="none" w:sz="0" w:space="0" w:color="auto"/>
        <w:bottom w:val="none" w:sz="0" w:space="0" w:color="auto"/>
        <w:right w:val="none" w:sz="0" w:space="0" w:color="auto"/>
      </w:divBdr>
    </w:div>
    <w:div w:id="1295284791">
      <w:bodyDiv w:val="1"/>
      <w:marLeft w:val="0"/>
      <w:marRight w:val="0"/>
      <w:marTop w:val="0"/>
      <w:marBottom w:val="0"/>
      <w:divBdr>
        <w:top w:val="none" w:sz="0" w:space="0" w:color="auto"/>
        <w:left w:val="none" w:sz="0" w:space="0" w:color="auto"/>
        <w:bottom w:val="none" w:sz="0" w:space="0" w:color="auto"/>
        <w:right w:val="none" w:sz="0" w:space="0" w:color="auto"/>
      </w:divBdr>
    </w:div>
    <w:div w:id="1343555153">
      <w:bodyDiv w:val="1"/>
      <w:marLeft w:val="0"/>
      <w:marRight w:val="0"/>
      <w:marTop w:val="0"/>
      <w:marBottom w:val="0"/>
      <w:divBdr>
        <w:top w:val="none" w:sz="0" w:space="0" w:color="auto"/>
        <w:left w:val="none" w:sz="0" w:space="0" w:color="auto"/>
        <w:bottom w:val="none" w:sz="0" w:space="0" w:color="auto"/>
        <w:right w:val="none" w:sz="0" w:space="0" w:color="auto"/>
      </w:divBdr>
    </w:div>
    <w:div w:id="1393885428">
      <w:bodyDiv w:val="1"/>
      <w:marLeft w:val="0"/>
      <w:marRight w:val="0"/>
      <w:marTop w:val="0"/>
      <w:marBottom w:val="0"/>
      <w:divBdr>
        <w:top w:val="none" w:sz="0" w:space="0" w:color="auto"/>
        <w:left w:val="none" w:sz="0" w:space="0" w:color="auto"/>
        <w:bottom w:val="none" w:sz="0" w:space="0" w:color="auto"/>
        <w:right w:val="none" w:sz="0" w:space="0" w:color="auto"/>
      </w:divBdr>
    </w:div>
    <w:div w:id="1401636624">
      <w:bodyDiv w:val="1"/>
      <w:marLeft w:val="0"/>
      <w:marRight w:val="0"/>
      <w:marTop w:val="0"/>
      <w:marBottom w:val="0"/>
      <w:divBdr>
        <w:top w:val="none" w:sz="0" w:space="0" w:color="auto"/>
        <w:left w:val="none" w:sz="0" w:space="0" w:color="auto"/>
        <w:bottom w:val="none" w:sz="0" w:space="0" w:color="auto"/>
        <w:right w:val="none" w:sz="0" w:space="0" w:color="auto"/>
      </w:divBdr>
    </w:div>
    <w:div w:id="1443845593">
      <w:bodyDiv w:val="1"/>
      <w:marLeft w:val="0"/>
      <w:marRight w:val="0"/>
      <w:marTop w:val="0"/>
      <w:marBottom w:val="0"/>
      <w:divBdr>
        <w:top w:val="none" w:sz="0" w:space="0" w:color="auto"/>
        <w:left w:val="none" w:sz="0" w:space="0" w:color="auto"/>
        <w:bottom w:val="none" w:sz="0" w:space="0" w:color="auto"/>
        <w:right w:val="none" w:sz="0" w:space="0" w:color="auto"/>
      </w:divBdr>
    </w:div>
    <w:div w:id="1468546323">
      <w:bodyDiv w:val="1"/>
      <w:marLeft w:val="0"/>
      <w:marRight w:val="0"/>
      <w:marTop w:val="0"/>
      <w:marBottom w:val="0"/>
      <w:divBdr>
        <w:top w:val="none" w:sz="0" w:space="0" w:color="auto"/>
        <w:left w:val="none" w:sz="0" w:space="0" w:color="auto"/>
        <w:bottom w:val="none" w:sz="0" w:space="0" w:color="auto"/>
        <w:right w:val="none" w:sz="0" w:space="0" w:color="auto"/>
      </w:divBdr>
    </w:div>
    <w:div w:id="1537545818">
      <w:bodyDiv w:val="1"/>
      <w:marLeft w:val="0"/>
      <w:marRight w:val="0"/>
      <w:marTop w:val="0"/>
      <w:marBottom w:val="0"/>
      <w:divBdr>
        <w:top w:val="none" w:sz="0" w:space="0" w:color="auto"/>
        <w:left w:val="none" w:sz="0" w:space="0" w:color="auto"/>
        <w:bottom w:val="none" w:sz="0" w:space="0" w:color="auto"/>
        <w:right w:val="none" w:sz="0" w:space="0" w:color="auto"/>
      </w:divBdr>
    </w:div>
    <w:div w:id="1604262358">
      <w:bodyDiv w:val="1"/>
      <w:marLeft w:val="0"/>
      <w:marRight w:val="0"/>
      <w:marTop w:val="0"/>
      <w:marBottom w:val="0"/>
      <w:divBdr>
        <w:top w:val="none" w:sz="0" w:space="0" w:color="auto"/>
        <w:left w:val="none" w:sz="0" w:space="0" w:color="auto"/>
        <w:bottom w:val="none" w:sz="0" w:space="0" w:color="auto"/>
        <w:right w:val="none" w:sz="0" w:space="0" w:color="auto"/>
      </w:divBdr>
    </w:div>
    <w:div w:id="1634410312">
      <w:bodyDiv w:val="1"/>
      <w:marLeft w:val="0"/>
      <w:marRight w:val="0"/>
      <w:marTop w:val="0"/>
      <w:marBottom w:val="0"/>
      <w:divBdr>
        <w:top w:val="none" w:sz="0" w:space="0" w:color="auto"/>
        <w:left w:val="none" w:sz="0" w:space="0" w:color="auto"/>
        <w:bottom w:val="none" w:sz="0" w:space="0" w:color="auto"/>
        <w:right w:val="none" w:sz="0" w:space="0" w:color="auto"/>
      </w:divBdr>
      <w:divsChild>
        <w:div w:id="44764707">
          <w:marLeft w:val="0"/>
          <w:marRight w:val="0"/>
          <w:marTop w:val="0"/>
          <w:marBottom w:val="0"/>
          <w:divBdr>
            <w:top w:val="none" w:sz="0" w:space="0" w:color="auto"/>
            <w:left w:val="none" w:sz="0" w:space="0" w:color="auto"/>
            <w:bottom w:val="none" w:sz="0" w:space="0" w:color="auto"/>
            <w:right w:val="none" w:sz="0" w:space="0" w:color="auto"/>
          </w:divBdr>
        </w:div>
        <w:div w:id="1933010898">
          <w:marLeft w:val="0"/>
          <w:marRight w:val="0"/>
          <w:marTop w:val="0"/>
          <w:marBottom w:val="0"/>
          <w:divBdr>
            <w:top w:val="none" w:sz="0" w:space="0" w:color="auto"/>
            <w:left w:val="none" w:sz="0" w:space="0" w:color="auto"/>
            <w:bottom w:val="none" w:sz="0" w:space="0" w:color="auto"/>
            <w:right w:val="none" w:sz="0" w:space="0" w:color="auto"/>
          </w:divBdr>
        </w:div>
        <w:div w:id="161356897">
          <w:marLeft w:val="0"/>
          <w:marRight w:val="0"/>
          <w:marTop w:val="0"/>
          <w:marBottom w:val="0"/>
          <w:divBdr>
            <w:top w:val="none" w:sz="0" w:space="0" w:color="auto"/>
            <w:left w:val="none" w:sz="0" w:space="0" w:color="auto"/>
            <w:bottom w:val="none" w:sz="0" w:space="0" w:color="auto"/>
            <w:right w:val="none" w:sz="0" w:space="0" w:color="auto"/>
          </w:divBdr>
        </w:div>
        <w:div w:id="1020546311">
          <w:marLeft w:val="0"/>
          <w:marRight w:val="0"/>
          <w:marTop w:val="0"/>
          <w:marBottom w:val="0"/>
          <w:divBdr>
            <w:top w:val="none" w:sz="0" w:space="0" w:color="auto"/>
            <w:left w:val="none" w:sz="0" w:space="0" w:color="auto"/>
            <w:bottom w:val="none" w:sz="0" w:space="0" w:color="auto"/>
            <w:right w:val="none" w:sz="0" w:space="0" w:color="auto"/>
          </w:divBdr>
        </w:div>
        <w:div w:id="732509541">
          <w:marLeft w:val="0"/>
          <w:marRight w:val="0"/>
          <w:marTop w:val="0"/>
          <w:marBottom w:val="0"/>
          <w:divBdr>
            <w:top w:val="none" w:sz="0" w:space="0" w:color="auto"/>
            <w:left w:val="none" w:sz="0" w:space="0" w:color="auto"/>
            <w:bottom w:val="none" w:sz="0" w:space="0" w:color="auto"/>
            <w:right w:val="none" w:sz="0" w:space="0" w:color="auto"/>
          </w:divBdr>
        </w:div>
        <w:div w:id="24448622">
          <w:marLeft w:val="0"/>
          <w:marRight w:val="0"/>
          <w:marTop w:val="0"/>
          <w:marBottom w:val="0"/>
          <w:divBdr>
            <w:top w:val="none" w:sz="0" w:space="0" w:color="auto"/>
            <w:left w:val="none" w:sz="0" w:space="0" w:color="auto"/>
            <w:bottom w:val="none" w:sz="0" w:space="0" w:color="auto"/>
            <w:right w:val="none" w:sz="0" w:space="0" w:color="auto"/>
          </w:divBdr>
        </w:div>
        <w:div w:id="222256918">
          <w:marLeft w:val="0"/>
          <w:marRight w:val="0"/>
          <w:marTop w:val="0"/>
          <w:marBottom w:val="0"/>
          <w:divBdr>
            <w:top w:val="none" w:sz="0" w:space="0" w:color="auto"/>
            <w:left w:val="none" w:sz="0" w:space="0" w:color="auto"/>
            <w:bottom w:val="none" w:sz="0" w:space="0" w:color="auto"/>
            <w:right w:val="none" w:sz="0" w:space="0" w:color="auto"/>
          </w:divBdr>
        </w:div>
      </w:divsChild>
    </w:div>
    <w:div w:id="1683775583">
      <w:bodyDiv w:val="1"/>
      <w:marLeft w:val="0"/>
      <w:marRight w:val="0"/>
      <w:marTop w:val="0"/>
      <w:marBottom w:val="0"/>
      <w:divBdr>
        <w:top w:val="none" w:sz="0" w:space="0" w:color="auto"/>
        <w:left w:val="none" w:sz="0" w:space="0" w:color="auto"/>
        <w:bottom w:val="none" w:sz="0" w:space="0" w:color="auto"/>
        <w:right w:val="none" w:sz="0" w:space="0" w:color="auto"/>
      </w:divBdr>
    </w:div>
    <w:div w:id="1691907395">
      <w:bodyDiv w:val="1"/>
      <w:marLeft w:val="0"/>
      <w:marRight w:val="0"/>
      <w:marTop w:val="0"/>
      <w:marBottom w:val="0"/>
      <w:divBdr>
        <w:top w:val="none" w:sz="0" w:space="0" w:color="auto"/>
        <w:left w:val="none" w:sz="0" w:space="0" w:color="auto"/>
        <w:bottom w:val="none" w:sz="0" w:space="0" w:color="auto"/>
        <w:right w:val="none" w:sz="0" w:space="0" w:color="auto"/>
      </w:divBdr>
    </w:div>
    <w:div w:id="1754155689">
      <w:bodyDiv w:val="1"/>
      <w:marLeft w:val="0"/>
      <w:marRight w:val="0"/>
      <w:marTop w:val="0"/>
      <w:marBottom w:val="0"/>
      <w:divBdr>
        <w:top w:val="none" w:sz="0" w:space="0" w:color="auto"/>
        <w:left w:val="none" w:sz="0" w:space="0" w:color="auto"/>
        <w:bottom w:val="none" w:sz="0" w:space="0" w:color="auto"/>
        <w:right w:val="none" w:sz="0" w:space="0" w:color="auto"/>
      </w:divBdr>
    </w:div>
    <w:div w:id="1819109594">
      <w:bodyDiv w:val="1"/>
      <w:marLeft w:val="0"/>
      <w:marRight w:val="0"/>
      <w:marTop w:val="0"/>
      <w:marBottom w:val="0"/>
      <w:divBdr>
        <w:top w:val="none" w:sz="0" w:space="0" w:color="auto"/>
        <w:left w:val="none" w:sz="0" w:space="0" w:color="auto"/>
        <w:bottom w:val="none" w:sz="0" w:space="0" w:color="auto"/>
        <w:right w:val="none" w:sz="0" w:space="0" w:color="auto"/>
      </w:divBdr>
    </w:div>
    <w:div w:id="1939948211">
      <w:bodyDiv w:val="1"/>
      <w:marLeft w:val="0"/>
      <w:marRight w:val="0"/>
      <w:marTop w:val="0"/>
      <w:marBottom w:val="0"/>
      <w:divBdr>
        <w:top w:val="none" w:sz="0" w:space="0" w:color="auto"/>
        <w:left w:val="none" w:sz="0" w:space="0" w:color="auto"/>
        <w:bottom w:val="none" w:sz="0" w:space="0" w:color="auto"/>
        <w:right w:val="none" w:sz="0" w:space="0" w:color="auto"/>
      </w:divBdr>
    </w:div>
    <w:div w:id="194399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ll.mckinley@truck.net.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truck.net.au/advocacy/submissions/ata-submission-emissions-reduction-fund" TargetMode="External"/><Relationship Id="rId13" Type="http://schemas.openxmlformats.org/officeDocument/2006/relationships/hyperlink" Target="http://budget.gov.au/2015-16/content/glossy/sml_bus/download/Growing_Jobs_and_Small_Business.pdf" TargetMode="External"/><Relationship Id="rId3" Type="http://schemas.openxmlformats.org/officeDocument/2006/relationships/hyperlink" Target="http://camiro.org/DEEP/Project_Reports/mtce_report.pdf" TargetMode="External"/><Relationship Id="rId7" Type="http://schemas.openxmlformats.org/officeDocument/2006/relationships/hyperlink" Target="http://www.abs.gov.au/AUSSTATS/abs@.nsf/allprimarymainfeatures/06010F4E7D145276CA257394000EC89A?opendocument" TargetMode="External"/><Relationship Id="rId12" Type="http://schemas.openxmlformats.org/officeDocument/2006/relationships/hyperlink" Target="http://budget.gov.au/2015-16/content/bp1/html/bp1_bs3-02.htm" TargetMode="External"/><Relationship Id="rId2" Type="http://schemas.openxmlformats.org/officeDocument/2006/relationships/hyperlink" Target="http://www.efa.com.au/Library/cthEnergyWhitePaper.pdf" TargetMode="External"/><Relationship Id="rId1" Type="http://schemas.openxmlformats.org/officeDocument/2006/relationships/hyperlink" Target="http://ec.europa.eu/clima/policies/transport/vehicles/heavy/docs/com_285_2014_en.pdf" TargetMode="External"/><Relationship Id="rId6" Type="http://schemas.openxmlformats.org/officeDocument/2006/relationships/hyperlink" Target="https://infrastructure.gov.au/roads/environment/fuel_tax_credit/files/Guidelines-for-Environmental-Criteria-Fuel-Tax-Credit-for-Heavy-Diesel-Vehicles.pdf" TargetMode="External"/><Relationship Id="rId11" Type="http://schemas.openxmlformats.org/officeDocument/2006/relationships/hyperlink" Target="https://bitre.gov.au/publications/2005/files/wp_063.pdf" TargetMode="External"/><Relationship Id="rId5" Type="http://schemas.openxmlformats.org/officeDocument/2006/relationships/hyperlink" Target="https://infrastructure.gov.au/roads/environment/fuel_tax_credit/index.aspx" TargetMode="External"/><Relationship Id="rId10" Type="http://schemas.openxmlformats.org/officeDocument/2006/relationships/hyperlink" Target="http://www.truck.net.au/resource-library/future-strategy-road-supply-and-charging-australia" TargetMode="External"/><Relationship Id="rId4" Type="http://schemas.openxmlformats.org/officeDocument/2006/relationships/hyperlink" Target="http://tra2014.traconference.eu/papers/pdfs/TRA2014_Fpaper_18454.pdf" TargetMode="External"/><Relationship Id="rId9" Type="http://schemas.openxmlformats.org/officeDocument/2006/relationships/hyperlink" Target="http://www.truck.net.au/advocacy/submissions/energy-green-paper-sub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598CC-28C6-4D36-849C-1E345AFE2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2490</Words>
  <Characters>14197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2016-03-22T23:41:00Z</dcterms:created>
  <dcterms:modified xsi:type="dcterms:W3CDTF">2016-04-08T06:26:00Z</dcterms:modified>
  <cp:contentStatus/>
</cp:coreProperties>
</file>