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379"/>
      </w:tblGrid>
      <w:tr w:rsidR="00D735FF" w:rsidRPr="00050881" w:rsidTr="002B1828">
        <w:trPr>
          <w:trHeight w:val="756"/>
        </w:trPr>
        <w:tc>
          <w:tcPr>
            <w:tcW w:w="2660" w:type="dxa"/>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Submission to:</w:t>
            </w:r>
          </w:p>
        </w:tc>
        <w:tc>
          <w:tcPr>
            <w:tcW w:w="6379" w:type="dxa"/>
          </w:tcPr>
          <w:p w:rsidR="00D735FF" w:rsidRPr="00583EC7" w:rsidRDefault="005018B0" w:rsidP="00C04619">
            <w:pPr>
              <w:pStyle w:val="Header"/>
              <w:rPr>
                <w:rFonts w:ascii="Arial" w:hAnsi="Arial" w:cs="Arial"/>
                <w:sz w:val="28"/>
                <w:szCs w:val="28"/>
              </w:rPr>
            </w:pPr>
            <w:r>
              <w:rPr>
                <w:rFonts w:ascii="Arial" w:hAnsi="Arial" w:cs="Arial"/>
                <w:sz w:val="28"/>
                <w:szCs w:val="28"/>
              </w:rPr>
              <w:t xml:space="preserve">Department of Industry, Innovation, Climate Change, Science, Research and Tertiary Education </w:t>
            </w:r>
            <w:r w:rsidR="00B751A7" w:rsidRPr="00583EC7">
              <w:rPr>
                <w:rFonts w:ascii="Arial" w:hAnsi="Arial" w:cs="Arial"/>
                <w:sz w:val="28"/>
                <w:szCs w:val="28"/>
              </w:rPr>
              <w:t xml:space="preserve"> </w:t>
            </w:r>
          </w:p>
        </w:tc>
      </w:tr>
      <w:tr w:rsidR="00D735FF" w:rsidRPr="00050881" w:rsidTr="002B1828">
        <w:trPr>
          <w:trHeight w:val="756"/>
        </w:trPr>
        <w:tc>
          <w:tcPr>
            <w:tcW w:w="2660" w:type="dxa"/>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Title:</w:t>
            </w:r>
          </w:p>
        </w:tc>
        <w:tc>
          <w:tcPr>
            <w:tcW w:w="6379" w:type="dxa"/>
          </w:tcPr>
          <w:p w:rsidR="00D735FF" w:rsidRPr="00583EC7" w:rsidRDefault="005B7DF0" w:rsidP="005B7DF0">
            <w:pPr>
              <w:pStyle w:val="Header"/>
              <w:rPr>
                <w:rFonts w:ascii="Arial" w:hAnsi="Arial" w:cs="Arial"/>
                <w:sz w:val="28"/>
                <w:szCs w:val="28"/>
              </w:rPr>
            </w:pPr>
            <w:r>
              <w:rPr>
                <w:rFonts w:ascii="Arial" w:hAnsi="Arial" w:cs="Arial"/>
                <w:sz w:val="28"/>
                <w:szCs w:val="28"/>
              </w:rPr>
              <w:t xml:space="preserve">Proposed methodology for setting the international reference price for the per-tonne carbon price equivalent: position paper </w:t>
            </w:r>
          </w:p>
        </w:tc>
      </w:tr>
      <w:tr w:rsidR="00D735FF" w:rsidRPr="00050881" w:rsidTr="002B1828">
        <w:trPr>
          <w:trHeight w:val="756"/>
        </w:trPr>
        <w:tc>
          <w:tcPr>
            <w:tcW w:w="2660" w:type="dxa"/>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Date:</w:t>
            </w:r>
          </w:p>
        </w:tc>
        <w:tc>
          <w:tcPr>
            <w:tcW w:w="6379" w:type="dxa"/>
          </w:tcPr>
          <w:p w:rsidR="00D735FF" w:rsidRPr="00583EC7" w:rsidRDefault="00344EB7" w:rsidP="00C04619">
            <w:pPr>
              <w:pStyle w:val="Header"/>
              <w:rPr>
                <w:rFonts w:ascii="Arial" w:hAnsi="Arial" w:cs="Arial"/>
                <w:sz w:val="28"/>
                <w:szCs w:val="28"/>
              </w:rPr>
            </w:pPr>
            <w:r>
              <w:rPr>
                <w:rFonts w:ascii="Arial" w:hAnsi="Arial" w:cs="Arial"/>
                <w:sz w:val="28"/>
                <w:szCs w:val="28"/>
              </w:rPr>
              <w:t xml:space="preserve">26 </w:t>
            </w:r>
            <w:r w:rsidR="005B7DF0">
              <w:rPr>
                <w:rFonts w:ascii="Arial" w:hAnsi="Arial" w:cs="Arial"/>
                <w:sz w:val="28"/>
                <w:szCs w:val="28"/>
              </w:rPr>
              <w:t>April 2013</w:t>
            </w:r>
            <w:r w:rsidR="00F26CFA">
              <w:rPr>
                <w:rFonts w:ascii="Arial" w:hAnsi="Arial" w:cs="Arial"/>
                <w:sz w:val="28"/>
                <w:szCs w:val="28"/>
              </w:rPr>
              <w:t xml:space="preserve"> </w:t>
            </w:r>
          </w:p>
        </w:tc>
      </w:tr>
    </w:tbl>
    <w:p w:rsidR="00D735FF" w:rsidRPr="00050881" w:rsidRDefault="00D735FF" w:rsidP="00C04619">
      <w:pPr>
        <w:pStyle w:val="Header"/>
        <w:rPr>
          <w:rFonts w:ascii="Arial" w:hAnsi="Arial" w:cs="Arial"/>
          <w:sz w:val="20"/>
          <w:szCs w:val="20"/>
        </w:rPr>
      </w:pPr>
    </w:p>
    <w:p w:rsidR="00D735FF" w:rsidRPr="00050881" w:rsidRDefault="00D735FF" w:rsidP="00C04619">
      <w:pPr>
        <w:pStyle w:val="Header"/>
        <w:rPr>
          <w:rFonts w:ascii="Arial" w:hAnsi="Arial" w:cs="Arial"/>
          <w:sz w:val="20"/>
          <w:szCs w:val="20"/>
        </w:rPr>
      </w:pPr>
    </w:p>
    <w:p w:rsidR="00576ED0" w:rsidRPr="00050881" w:rsidRDefault="00576ED0" w:rsidP="00C04619">
      <w:pPr>
        <w:pStyle w:val="Header"/>
        <w:rPr>
          <w:rFonts w:ascii="Arial" w:hAnsi="Arial" w:cs="Arial"/>
          <w:sz w:val="20"/>
          <w:szCs w:val="20"/>
        </w:rPr>
      </w:pPr>
    </w:p>
    <w:p w:rsidR="00576ED0" w:rsidRPr="00050881" w:rsidRDefault="00576ED0" w:rsidP="00C04619">
      <w:pPr>
        <w:rPr>
          <w:rFonts w:ascii="Arial" w:hAnsi="Arial" w:cs="Arial"/>
          <w:sz w:val="20"/>
          <w:szCs w:val="20"/>
          <w:lang w:val="en-GB"/>
        </w:rPr>
        <w:sectPr w:rsidR="00576ED0" w:rsidRPr="00050881"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050881" w:rsidRDefault="00576ED0"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D73280" w:rsidRDefault="003B74E4" w:rsidP="00C04619">
      <w:pPr>
        <w:rPr>
          <w:rFonts w:ascii="Arial" w:hAnsi="Arial" w:cs="Arial"/>
          <w:b/>
          <w:color w:val="000064"/>
          <w:sz w:val="28"/>
          <w:szCs w:val="28"/>
        </w:rPr>
      </w:pPr>
      <w:r w:rsidRPr="00D73280">
        <w:rPr>
          <w:rFonts w:ascii="Arial" w:hAnsi="Arial" w:cs="Arial"/>
          <w:b/>
          <w:color w:val="000064"/>
          <w:sz w:val="28"/>
          <w:szCs w:val="28"/>
        </w:rPr>
        <w:t>Contents</w:t>
      </w:r>
    </w:p>
    <w:p w:rsidR="00576ED0" w:rsidRPr="00050881" w:rsidRDefault="00576ED0" w:rsidP="00C04619">
      <w:pPr>
        <w:rPr>
          <w:rFonts w:ascii="Arial" w:hAnsi="Arial" w:cs="Arial"/>
          <w:sz w:val="20"/>
          <w:szCs w:val="20"/>
        </w:rPr>
      </w:pPr>
    </w:p>
    <w:p w:rsidR="009B0520" w:rsidRPr="00050881" w:rsidRDefault="009B0520" w:rsidP="00C04619">
      <w:pPr>
        <w:rPr>
          <w:rFonts w:ascii="Arial" w:hAnsi="Arial" w:cs="Arial"/>
          <w:sz w:val="20"/>
          <w:szCs w:val="20"/>
        </w:rPr>
      </w:pPr>
    </w:p>
    <w:p w:rsidR="00243A41" w:rsidRDefault="00D002A6">
      <w:pPr>
        <w:pStyle w:val="TOC1"/>
        <w:rPr>
          <w:rFonts w:asciiTheme="minorHAnsi" w:eastAsiaTheme="minorEastAsia" w:hAnsiTheme="minorHAnsi" w:cstheme="minorBidi"/>
          <w:color w:val="auto"/>
          <w:sz w:val="22"/>
          <w:szCs w:val="22"/>
          <w:lang w:eastAsia="en-AU"/>
        </w:rPr>
      </w:pPr>
      <w:r w:rsidRPr="00D002A6">
        <w:rPr>
          <w:rFonts w:cs="Arial"/>
        </w:rPr>
        <w:fldChar w:fldCharType="begin"/>
      </w:r>
      <w:r w:rsidR="0035493A" w:rsidRPr="00D4023E">
        <w:rPr>
          <w:rFonts w:cs="Arial"/>
        </w:rPr>
        <w:instrText xml:space="preserve"> TOC \o "1-2" \t "ATA Heading 2,2" </w:instrText>
      </w:r>
      <w:r w:rsidRPr="00D002A6">
        <w:rPr>
          <w:rFonts w:cs="Arial"/>
        </w:rPr>
        <w:fldChar w:fldCharType="separate"/>
      </w:r>
      <w:r w:rsidR="00243A41" w:rsidRPr="003C3DF2">
        <w:t>1.</w:t>
      </w:r>
      <w:r w:rsidR="00243A41">
        <w:rPr>
          <w:rFonts w:asciiTheme="minorHAnsi" w:eastAsiaTheme="minorEastAsia" w:hAnsiTheme="minorHAnsi" w:cstheme="minorBidi"/>
          <w:color w:val="auto"/>
          <w:sz w:val="22"/>
          <w:szCs w:val="22"/>
          <w:lang w:eastAsia="en-AU"/>
        </w:rPr>
        <w:tab/>
      </w:r>
      <w:r w:rsidR="00243A41">
        <w:t>Introduction</w:t>
      </w:r>
      <w:r w:rsidR="00243A41">
        <w:tab/>
      </w:r>
      <w:r>
        <w:fldChar w:fldCharType="begin"/>
      </w:r>
      <w:r w:rsidR="00243A41">
        <w:instrText xml:space="preserve"> PAGEREF _Toc354564705 \h </w:instrText>
      </w:r>
      <w:r>
        <w:fldChar w:fldCharType="separate"/>
      </w:r>
      <w:r w:rsidR="00344EB7">
        <w:t>3</w:t>
      </w:r>
      <w:r>
        <w:fldChar w:fldCharType="end"/>
      </w:r>
    </w:p>
    <w:p w:rsidR="00243A41" w:rsidRDefault="00243A41">
      <w:pPr>
        <w:pStyle w:val="TOC1"/>
        <w:rPr>
          <w:rFonts w:asciiTheme="minorHAnsi" w:eastAsiaTheme="minorEastAsia" w:hAnsiTheme="minorHAnsi" w:cstheme="minorBidi"/>
          <w:color w:val="auto"/>
          <w:sz w:val="22"/>
          <w:szCs w:val="22"/>
          <w:lang w:eastAsia="en-AU"/>
        </w:rPr>
      </w:pPr>
      <w:r w:rsidRPr="003C3DF2">
        <w:t>2.</w:t>
      </w:r>
      <w:r>
        <w:rPr>
          <w:rFonts w:asciiTheme="minorHAnsi" w:eastAsiaTheme="minorEastAsia" w:hAnsiTheme="minorHAnsi" w:cstheme="minorBidi"/>
          <w:color w:val="auto"/>
          <w:sz w:val="22"/>
          <w:szCs w:val="22"/>
          <w:lang w:eastAsia="en-AU"/>
        </w:rPr>
        <w:tab/>
      </w:r>
      <w:r>
        <w:t>Australian Trucking Association</w:t>
      </w:r>
      <w:r>
        <w:tab/>
      </w:r>
      <w:r w:rsidR="00D002A6">
        <w:fldChar w:fldCharType="begin"/>
      </w:r>
      <w:r>
        <w:instrText xml:space="preserve"> PAGEREF _Toc354564706 \h </w:instrText>
      </w:r>
      <w:r w:rsidR="00D002A6">
        <w:fldChar w:fldCharType="separate"/>
      </w:r>
      <w:r w:rsidR="00344EB7">
        <w:t>3</w:t>
      </w:r>
      <w:r w:rsidR="00D002A6">
        <w:fldChar w:fldCharType="end"/>
      </w:r>
    </w:p>
    <w:p w:rsidR="00243A41" w:rsidRDefault="00243A41">
      <w:pPr>
        <w:pStyle w:val="TOC1"/>
        <w:rPr>
          <w:rFonts w:asciiTheme="minorHAnsi" w:eastAsiaTheme="minorEastAsia" w:hAnsiTheme="minorHAnsi" w:cstheme="minorBidi"/>
          <w:color w:val="auto"/>
          <w:sz w:val="22"/>
          <w:szCs w:val="22"/>
          <w:lang w:eastAsia="en-AU"/>
        </w:rPr>
      </w:pPr>
      <w:r w:rsidRPr="003C3DF2">
        <w:t>3.</w:t>
      </w:r>
      <w:r>
        <w:rPr>
          <w:rFonts w:asciiTheme="minorHAnsi" w:eastAsiaTheme="minorEastAsia" w:hAnsiTheme="minorHAnsi" w:cstheme="minorBidi"/>
          <w:color w:val="auto"/>
          <w:sz w:val="22"/>
          <w:szCs w:val="22"/>
          <w:lang w:eastAsia="en-AU"/>
        </w:rPr>
        <w:tab/>
      </w:r>
      <w:r>
        <w:t>Recommendations</w:t>
      </w:r>
      <w:r>
        <w:tab/>
      </w:r>
      <w:r w:rsidR="00D002A6">
        <w:fldChar w:fldCharType="begin"/>
      </w:r>
      <w:r>
        <w:instrText xml:space="preserve"> PAGEREF _Toc354564707 \h </w:instrText>
      </w:r>
      <w:r w:rsidR="00D002A6">
        <w:fldChar w:fldCharType="separate"/>
      </w:r>
      <w:r w:rsidR="00344EB7">
        <w:t>3</w:t>
      </w:r>
      <w:r w:rsidR="00D002A6">
        <w:fldChar w:fldCharType="end"/>
      </w:r>
    </w:p>
    <w:p w:rsidR="00243A41" w:rsidRDefault="00243A41">
      <w:pPr>
        <w:pStyle w:val="TOC1"/>
        <w:rPr>
          <w:rFonts w:asciiTheme="minorHAnsi" w:eastAsiaTheme="minorEastAsia" w:hAnsiTheme="minorHAnsi" w:cstheme="minorBidi"/>
          <w:color w:val="auto"/>
          <w:sz w:val="22"/>
          <w:szCs w:val="22"/>
          <w:lang w:eastAsia="en-AU"/>
        </w:rPr>
      </w:pPr>
      <w:r w:rsidRPr="003C3DF2">
        <w:t>4.</w:t>
      </w:r>
      <w:r>
        <w:rPr>
          <w:rFonts w:asciiTheme="minorHAnsi" w:eastAsiaTheme="minorEastAsia" w:hAnsiTheme="minorHAnsi" w:cstheme="minorBidi"/>
          <w:color w:val="auto"/>
          <w:sz w:val="22"/>
          <w:szCs w:val="22"/>
          <w:lang w:eastAsia="en-AU"/>
        </w:rPr>
        <w:tab/>
      </w:r>
      <w:r>
        <w:t>The ATA’s position on carbon pricing</w:t>
      </w:r>
      <w:r>
        <w:tab/>
      </w:r>
      <w:r w:rsidR="00D002A6">
        <w:fldChar w:fldCharType="begin"/>
      </w:r>
      <w:r>
        <w:instrText xml:space="preserve"> PAGEREF _Toc354564708 \h </w:instrText>
      </w:r>
      <w:r w:rsidR="00D002A6">
        <w:fldChar w:fldCharType="separate"/>
      </w:r>
      <w:r w:rsidR="00344EB7">
        <w:t>3</w:t>
      </w:r>
      <w:r w:rsidR="00D002A6">
        <w:fldChar w:fldCharType="end"/>
      </w:r>
    </w:p>
    <w:p w:rsidR="00243A41" w:rsidRDefault="00243A41">
      <w:pPr>
        <w:pStyle w:val="TOC1"/>
        <w:rPr>
          <w:rFonts w:asciiTheme="minorHAnsi" w:eastAsiaTheme="minorEastAsia" w:hAnsiTheme="minorHAnsi" w:cstheme="minorBidi"/>
          <w:color w:val="auto"/>
          <w:sz w:val="22"/>
          <w:szCs w:val="22"/>
          <w:lang w:eastAsia="en-AU"/>
        </w:rPr>
      </w:pPr>
      <w:r w:rsidRPr="003C3DF2">
        <w:t>5.</w:t>
      </w:r>
      <w:r>
        <w:rPr>
          <w:rFonts w:asciiTheme="minorHAnsi" w:eastAsiaTheme="minorEastAsia" w:hAnsiTheme="minorHAnsi" w:cstheme="minorBidi"/>
          <w:color w:val="auto"/>
          <w:sz w:val="22"/>
          <w:szCs w:val="22"/>
          <w:lang w:eastAsia="en-AU"/>
        </w:rPr>
        <w:tab/>
      </w:r>
      <w:r>
        <w:t>Implementation issues for trucking operators and the industry</w:t>
      </w:r>
      <w:r>
        <w:tab/>
      </w:r>
      <w:r w:rsidR="00D002A6">
        <w:fldChar w:fldCharType="begin"/>
      </w:r>
      <w:r>
        <w:instrText xml:space="preserve"> PAGEREF _Toc354564709 \h </w:instrText>
      </w:r>
      <w:r w:rsidR="00D002A6">
        <w:fldChar w:fldCharType="separate"/>
      </w:r>
      <w:r w:rsidR="00344EB7">
        <w:t>4</w:t>
      </w:r>
      <w:r w:rsidR="00D002A6">
        <w:fldChar w:fldCharType="end"/>
      </w:r>
    </w:p>
    <w:p w:rsidR="00243A41" w:rsidRDefault="00243A41">
      <w:pPr>
        <w:pStyle w:val="TOC1"/>
        <w:rPr>
          <w:rFonts w:asciiTheme="minorHAnsi" w:eastAsiaTheme="minorEastAsia" w:hAnsiTheme="minorHAnsi" w:cstheme="minorBidi"/>
          <w:color w:val="auto"/>
          <w:sz w:val="22"/>
          <w:szCs w:val="22"/>
          <w:lang w:eastAsia="en-AU"/>
        </w:rPr>
      </w:pPr>
      <w:r>
        <w:t>5.2 Fuel excise and the carbon price</w:t>
      </w:r>
      <w:r>
        <w:tab/>
      </w:r>
      <w:r w:rsidR="00D002A6">
        <w:fldChar w:fldCharType="begin"/>
      </w:r>
      <w:r>
        <w:instrText xml:space="preserve"> PAGEREF _Toc354564710 \h </w:instrText>
      </w:r>
      <w:r w:rsidR="00D002A6">
        <w:fldChar w:fldCharType="separate"/>
      </w:r>
      <w:r w:rsidR="00344EB7">
        <w:t>6</w:t>
      </w:r>
      <w:r w:rsidR="00D002A6">
        <w:fldChar w:fldCharType="end"/>
      </w:r>
    </w:p>
    <w:p w:rsidR="00243A41" w:rsidRDefault="00243A41">
      <w:pPr>
        <w:pStyle w:val="TOC1"/>
        <w:rPr>
          <w:rFonts w:asciiTheme="minorHAnsi" w:eastAsiaTheme="minorEastAsia" w:hAnsiTheme="minorHAnsi" w:cstheme="minorBidi"/>
          <w:color w:val="auto"/>
          <w:sz w:val="22"/>
          <w:szCs w:val="22"/>
          <w:lang w:eastAsia="en-AU"/>
        </w:rPr>
      </w:pPr>
      <w:r>
        <w:t>5.3 Informing trucking operators and customers about the fuel tax credit rate</w:t>
      </w:r>
      <w:r>
        <w:tab/>
      </w:r>
      <w:r w:rsidR="00D002A6">
        <w:fldChar w:fldCharType="begin"/>
      </w:r>
      <w:r>
        <w:instrText xml:space="preserve"> PAGEREF _Toc354564711 \h </w:instrText>
      </w:r>
      <w:r w:rsidR="00D002A6">
        <w:fldChar w:fldCharType="separate"/>
      </w:r>
      <w:r w:rsidR="00344EB7">
        <w:t>6</w:t>
      </w:r>
      <w:r w:rsidR="00D002A6">
        <w:fldChar w:fldCharType="end"/>
      </w:r>
    </w:p>
    <w:p w:rsidR="00241C15" w:rsidRPr="00D4023E" w:rsidRDefault="00D002A6" w:rsidP="00C04619">
      <w:pPr>
        <w:tabs>
          <w:tab w:val="right" w:leader="dot" w:pos="9645"/>
        </w:tabs>
        <w:rPr>
          <w:rFonts w:ascii="Arial" w:hAnsi="Arial" w:cs="Arial"/>
          <w:b/>
          <w:sz w:val="20"/>
          <w:szCs w:val="20"/>
        </w:rPr>
      </w:pPr>
      <w:r w:rsidRPr="00D4023E">
        <w:rPr>
          <w:rFonts w:ascii="Arial" w:hAnsi="Arial" w:cs="Arial"/>
          <w:b/>
          <w:sz w:val="20"/>
          <w:szCs w:val="20"/>
        </w:rPr>
        <w:fldChar w:fldCharType="end"/>
      </w:r>
    </w:p>
    <w:p w:rsidR="00576ED0" w:rsidRPr="00D4023E" w:rsidRDefault="00576ED0" w:rsidP="00C04619">
      <w:pPr>
        <w:rPr>
          <w:rFonts w:ascii="Arial" w:hAnsi="Arial" w:cs="Arial"/>
          <w:b/>
          <w:sz w:val="20"/>
          <w:szCs w:val="20"/>
        </w:rPr>
      </w:pPr>
      <w:r w:rsidRPr="00D4023E">
        <w:rPr>
          <w:rFonts w:ascii="Arial" w:hAnsi="Arial" w:cs="Arial"/>
          <w:b/>
          <w:sz w:val="20"/>
          <w:szCs w:val="20"/>
        </w:rPr>
        <w:br w:type="page"/>
      </w:r>
    </w:p>
    <w:p w:rsidR="00576ED0" w:rsidRPr="00D73280" w:rsidRDefault="00576ED0" w:rsidP="00C04619">
      <w:pPr>
        <w:pStyle w:val="Heading1"/>
      </w:pPr>
      <w:bookmarkStart w:id="0" w:name="_Toc354564705"/>
      <w:r w:rsidRPr="00D73280">
        <w:lastRenderedPageBreak/>
        <w:t>Introduction</w:t>
      </w:r>
      <w:bookmarkEnd w:id="0"/>
    </w:p>
    <w:p w:rsidR="00D17563" w:rsidRPr="00050881" w:rsidRDefault="00D17563" w:rsidP="00C04619">
      <w:pPr>
        <w:rPr>
          <w:rFonts w:ascii="Arial" w:hAnsi="Arial" w:cs="Arial"/>
          <w:sz w:val="20"/>
          <w:szCs w:val="20"/>
        </w:rPr>
      </w:pPr>
    </w:p>
    <w:p w:rsidR="00311797" w:rsidRDefault="00A83403" w:rsidP="003E09AB">
      <w:pPr>
        <w:rPr>
          <w:rFonts w:ascii="Arial" w:hAnsi="Arial" w:cs="Arial"/>
          <w:sz w:val="20"/>
          <w:szCs w:val="20"/>
        </w:rPr>
      </w:pPr>
      <w:r>
        <w:rPr>
          <w:rFonts w:ascii="Arial" w:hAnsi="Arial" w:cs="Arial"/>
          <w:sz w:val="20"/>
          <w:szCs w:val="20"/>
        </w:rPr>
        <w:t>The trucking industry is currently exempt</w:t>
      </w:r>
      <w:r w:rsidR="00311797">
        <w:rPr>
          <w:rFonts w:ascii="Arial" w:hAnsi="Arial" w:cs="Arial"/>
          <w:sz w:val="20"/>
          <w:szCs w:val="20"/>
        </w:rPr>
        <w:t xml:space="preserve"> from the carbon price; however, the </w:t>
      </w:r>
      <w:r w:rsidR="00243A41">
        <w:rPr>
          <w:rFonts w:ascii="Arial" w:hAnsi="Arial" w:cs="Arial"/>
          <w:sz w:val="20"/>
          <w:szCs w:val="20"/>
        </w:rPr>
        <w:t>Government intends to bring the heavy vehicle industry into</w:t>
      </w:r>
      <w:r w:rsidR="00311797">
        <w:rPr>
          <w:rFonts w:ascii="Arial" w:hAnsi="Arial" w:cs="Arial"/>
          <w:sz w:val="20"/>
          <w:szCs w:val="20"/>
        </w:rPr>
        <w:t xml:space="preserve"> the carbon price system from 1 July 2014. </w:t>
      </w:r>
    </w:p>
    <w:p w:rsidR="00311797" w:rsidRDefault="00311797" w:rsidP="003E09AB">
      <w:pPr>
        <w:rPr>
          <w:rFonts w:ascii="Arial" w:hAnsi="Arial" w:cs="Arial"/>
          <w:sz w:val="20"/>
          <w:szCs w:val="20"/>
        </w:rPr>
      </w:pPr>
    </w:p>
    <w:p w:rsidR="000E7C73" w:rsidRDefault="00A83403" w:rsidP="003E09AB">
      <w:pPr>
        <w:rPr>
          <w:rFonts w:ascii="Arial" w:hAnsi="Arial" w:cs="Arial"/>
          <w:sz w:val="20"/>
          <w:szCs w:val="20"/>
        </w:rPr>
      </w:pPr>
      <w:r>
        <w:rPr>
          <w:rFonts w:ascii="Arial" w:hAnsi="Arial" w:cs="Arial"/>
          <w:sz w:val="20"/>
          <w:szCs w:val="20"/>
        </w:rPr>
        <w:t>The tax w</w:t>
      </w:r>
      <w:r w:rsidR="00311797">
        <w:rPr>
          <w:rFonts w:ascii="Arial" w:hAnsi="Arial" w:cs="Arial"/>
          <w:sz w:val="20"/>
          <w:szCs w:val="20"/>
        </w:rPr>
        <w:t xml:space="preserve">ould </w:t>
      </w:r>
      <w:r>
        <w:rPr>
          <w:rFonts w:ascii="Arial" w:hAnsi="Arial" w:cs="Arial"/>
          <w:sz w:val="20"/>
          <w:szCs w:val="20"/>
        </w:rPr>
        <w:t>be administered through a reduction in the fuel tax credit industry can claim</w:t>
      </w:r>
      <w:r w:rsidR="008555C2">
        <w:rPr>
          <w:rFonts w:ascii="Arial" w:hAnsi="Arial" w:cs="Arial"/>
          <w:sz w:val="20"/>
          <w:szCs w:val="20"/>
        </w:rPr>
        <w:t xml:space="preserve"> through business activity systems</w:t>
      </w:r>
      <w:r>
        <w:rPr>
          <w:rFonts w:ascii="Arial" w:hAnsi="Arial" w:cs="Arial"/>
          <w:sz w:val="20"/>
          <w:szCs w:val="20"/>
        </w:rPr>
        <w:t xml:space="preserve">. </w:t>
      </w:r>
      <w:r w:rsidR="00311797">
        <w:rPr>
          <w:rFonts w:ascii="Arial" w:hAnsi="Arial" w:cs="Arial"/>
          <w:sz w:val="20"/>
          <w:szCs w:val="20"/>
        </w:rPr>
        <w:t>Once the fixed price period ends th</w:t>
      </w:r>
      <w:r w:rsidR="000E7C73">
        <w:rPr>
          <w:rFonts w:ascii="Arial" w:hAnsi="Arial" w:cs="Arial"/>
          <w:sz w:val="20"/>
          <w:szCs w:val="20"/>
        </w:rPr>
        <w:t xml:space="preserve">e carbon reduction amount would </w:t>
      </w:r>
      <w:r w:rsidR="007B6890">
        <w:rPr>
          <w:rFonts w:ascii="Arial" w:hAnsi="Arial" w:cs="Arial"/>
          <w:sz w:val="20"/>
          <w:szCs w:val="20"/>
        </w:rPr>
        <w:t>be determined</w:t>
      </w:r>
      <w:r w:rsidR="000E7C73">
        <w:rPr>
          <w:rFonts w:ascii="Arial" w:hAnsi="Arial" w:cs="Arial"/>
          <w:sz w:val="20"/>
          <w:szCs w:val="20"/>
        </w:rPr>
        <w:t xml:space="preserve"> twice a year by applying a conversion </w:t>
      </w:r>
      <w:r w:rsidR="0034469B">
        <w:rPr>
          <w:rFonts w:ascii="Arial" w:hAnsi="Arial" w:cs="Arial"/>
          <w:sz w:val="20"/>
          <w:szCs w:val="20"/>
        </w:rPr>
        <w:t>formula to</w:t>
      </w:r>
      <w:r w:rsidR="000E7C73">
        <w:rPr>
          <w:rFonts w:ascii="Arial" w:hAnsi="Arial" w:cs="Arial"/>
          <w:sz w:val="20"/>
          <w:szCs w:val="20"/>
        </w:rPr>
        <w:t xml:space="preserve"> the average carbon price over the previous 6 months. </w:t>
      </w:r>
    </w:p>
    <w:p w:rsidR="003D632D" w:rsidRDefault="003D632D" w:rsidP="003E09AB">
      <w:pPr>
        <w:rPr>
          <w:rFonts w:ascii="Arial" w:hAnsi="Arial" w:cs="Arial"/>
          <w:sz w:val="20"/>
          <w:szCs w:val="20"/>
        </w:rPr>
      </w:pPr>
    </w:p>
    <w:p w:rsidR="00311797" w:rsidRDefault="00311797" w:rsidP="00C04619">
      <w:pPr>
        <w:rPr>
          <w:rFonts w:ascii="Arial" w:hAnsi="Arial" w:cs="Arial"/>
          <w:sz w:val="20"/>
          <w:szCs w:val="20"/>
        </w:rPr>
      </w:pPr>
      <w:r>
        <w:rPr>
          <w:rFonts w:ascii="Arial" w:hAnsi="Arial" w:cs="Arial"/>
          <w:sz w:val="20"/>
          <w:szCs w:val="20"/>
        </w:rPr>
        <w:t xml:space="preserve">The implementation section of the department’s position paper presents the same issues for the trucking industry that were identified in the 2011 submission to the Department. </w:t>
      </w:r>
      <w:r w:rsidR="00243A41">
        <w:rPr>
          <w:rFonts w:ascii="Arial" w:hAnsi="Arial" w:cs="Arial"/>
          <w:sz w:val="20"/>
          <w:szCs w:val="20"/>
        </w:rPr>
        <w:t>The D</w:t>
      </w:r>
      <w:r>
        <w:rPr>
          <w:rFonts w:ascii="Arial" w:hAnsi="Arial" w:cs="Arial"/>
          <w:sz w:val="20"/>
          <w:szCs w:val="20"/>
        </w:rPr>
        <w:t xml:space="preserve">epartment did not address these issues in 2011, nor were they addressed in the joint party inquiry into the clean energy package. </w:t>
      </w:r>
    </w:p>
    <w:p w:rsidR="00311797" w:rsidRPr="00050881" w:rsidRDefault="00311797" w:rsidP="00C04619">
      <w:pPr>
        <w:rPr>
          <w:rFonts w:ascii="Arial" w:hAnsi="Arial" w:cs="Arial"/>
          <w:sz w:val="20"/>
          <w:szCs w:val="20"/>
        </w:rPr>
      </w:pPr>
    </w:p>
    <w:p w:rsidR="00576ED0" w:rsidRPr="00D73280" w:rsidRDefault="00576ED0" w:rsidP="00C04619">
      <w:pPr>
        <w:pStyle w:val="Heading1"/>
      </w:pPr>
      <w:bookmarkStart w:id="1" w:name="_Toc354564706"/>
      <w:r w:rsidRPr="00D73280">
        <w:t>Australian Trucking Association</w:t>
      </w:r>
      <w:bookmarkEnd w:id="1"/>
    </w:p>
    <w:p w:rsidR="004008C7" w:rsidRPr="00050881" w:rsidRDefault="004008C7" w:rsidP="00C04619">
      <w:pPr>
        <w:pStyle w:val="BodyText2"/>
        <w:rPr>
          <w:b w:val="0"/>
          <w:sz w:val="20"/>
        </w:rPr>
      </w:pPr>
    </w:p>
    <w:p w:rsidR="004008C7" w:rsidRDefault="004008C7" w:rsidP="00C04619">
      <w:pPr>
        <w:pStyle w:val="BodyText2"/>
        <w:rPr>
          <w:b w:val="0"/>
          <w:sz w:val="20"/>
        </w:rPr>
      </w:pPr>
      <w:r w:rsidRPr="00050881">
        <w:rPr>
          <w:b w:val="0"/>
          <w:sz w:val="20"/>
        </w:rPr>
        <w:t>The Australian Trucking Association (ATA) is the peak body that represents the trucking industry. Its members include the state and sect</w:t>
      </w:r>
      <w:r w:rsidR="00A05C28" w:rsidRPr="00050881">
        <w:rPr>
          <w:b w:val="0"/>
          <w:sz w:val="20"/>
        </w:rPr>
        <w:t>or based trucking associations</w:t>
      </w:r>
      <w:r w:rsidRPr="00050881">
        <w:rPr>
          <w:b w:val="0"/>
          <w:sz w:val="20"/>
        </w:rPr>
        <w:t>, some of the nation’s largest transport companies, and businesses with leading expertise in truck technology.</w:t>
      </w:r>
    </w:p>
    <w:p w:rsidR="00A83403" w:rsidRDefault="00A83403" w:rsidP="00C04619">
      <w:pPr>
        <w:pStyle w:val="BodyText2"/>
        <w:rPr>
          <w:b w:val="0"/>
          <w:sz w:val="20"/>
        </w:rPr>
      </w:pPr>
    </w:p>
    <w:p w:rsidR="00A83403" w:rsidRPr="00050881" w:rsidRDefault="00A83403" w:rsidP="00C04619">
      <w:pPr>
        <w:pStyle w:val="BodyText2"/>
        <w:rPr>
          <w:b w:val="0"/>
          <w:sz w:val="20"/>
        </w:rPr>
      </w:pPr>
      <w:r>
        <w:rPr>
          <w:b w:val="0"/>
          <w:sz w:val="20"/>
        </w:rPr>
        <w:t xml:space="preserve">In total, the ATA represents many thousands of trucking businesses, both large and small. </w:t>
      </w:r>
    </w:p>
    <w:p w:rsidR="00A83403" w:rsidRDefault="00A83403" w:rsidP="00C04619">
      <w:pPr>
        <w:rPr>
          <w:rFonts w:ascii="Arial" w:hAnsi="Arial" w:cs="Arial"/>
          <w:sz w:val="20"/>
          <w:szCs w:val="20"/>
        </w:rPr>
      </w:pPr>
    </w:p>
    <w:p w:rsidR="006104D6" w:rsidRPr="00050881" w:rsidRDefault="006104D6" w:rsidP="00C04619">
      <w:pPr>
        <w:rPr>
          <w:rFonts w:ascii="Arial" w:hAnsi="Arial" w:cs="Arial"/>
          <w:sz w:val="20"/>
          <w:szCs w:val="20"/>
        </w:rPr>
      </w:pPr>
    </w:p>
    <w:p w:rsidR="005018B0" w:rsidRPr="00B129CD" w:rsidRDefault="00907971" w:rsidP="005018B0">
      <w:pPr>
        <w:pStyle w:val="Heading1"/>
      </w:pPr>
      <w:bookmarkStart w:id="2" w:name="_Toc354564707"/>
      <w:r w:rsidRPr="00D73280">
        <w:t>Recommendations</w:t>
      </w:r>
      <w:bookmarkEnd w:id="2"/>
    </w:p>
    <w:p w:rsidR="008E5C44" w:rsidRDefault="00D002A6">
      <w:pPr>
        <w:pStyle w:val="TOC1"/>
        <w:rPr>
          <w:rFonts w:asciiTheme="minorHAnsi" w:eastAsiaTheme="minorEastAsia" w:hAnsiTheme="minorHAnsi" w:cstheme="minorBidi"/>
          <w:color w:val="auto"/>
          <w:sz w:val="22"/>
          <w:szCs w:val="22"/>
          <w:lang w:eastAsia="en-AU"/>
        </w:rPr>
      </w:pPr>
      <w:r w:rsidRPr="00D002A6">
        <w:rPr>
          <w:b/>
          <w:color w:val="auto"/>
        </w:rPr>
        <w:fldChar w:fldCharType="begin"/>
      </w:r>
      <w:r w:rsidR="00907971" w:rsidRPr="00C04F17">
        <w:rPr>
          <w:b/>
        </w:rPr>
        <w:instrText xml:space="preserve"> TOC \n \p " " \t "Recommendation Style,1,Recommendation Style 2,2,Recommendation Style 3,3" </w:instrText>
      </w:r>
      <w:r w:rsidRPr="00D002A6">
        <w:rPr>
          <w:b/>
          <w:color w:val="auto"/>
        </w:rPr>
        <w:fldChar w:fldCharType="separate"/>
      </w:r>
      <w:r w:rsidR="008E5C44" w:rsidRPr="00C04F17">
        <w:rPr>
          <w:b/>
        </w:rPr>
        <w:t>Recommendation</w:t>
      </w:r>
      <w:r w:rsidR="008E5C44" w:rsidRPr="00884D97">
        <w:t xml:space="preserve"> </w:t>
      </w:r>
      <w:r w:rsidR="008E5C44" w:rsidRPr="00C04F17">
        <w:rPr>
          <w:b/>
        </w:rPr>
        <w:t>1</w:t>
      </w:r>
    </w:p>
    <w:p w:rsidR="008E5C44" w:rsidRDefault="008E5C44">
      <w:pPr>
        <w:pStyle w:val="TOC1"/>
        <w:rPr>
          <w:rFonts w:asciiTheme="minorHAnsi" w:eastAsiaTheme="minorEastAsia" w:hAnsiTheme="minorHAnsi" w:cstheme="minorBidi"/>
          <w:color w:val="auto"/>
          <w:sz w:val="22"/>
          <w:szCs w:val="22"/>
          <w:lang w:eastAsia="en-AU"/>
        </w:rPr>
      </w:pPr>
      <w:r w:rsidRPr="00884D97">
        <w:t>If a carbon price is to be implemented, the carbon price reduction applied to fuel tax credits should be adjusted once a year on 1 July</w:t>
      </w:r>
    </w:p>
    <w:p w:rsidR="008E5C44" w:rsidRDefault="008E5C44">
      <w:pPr>
        <w:pStyle w:val="TOC1"/>
        <w:rPr>
          <w:rFonts w:asciiTheme="minorHAnsi" w:eastAsiaTheme="minorEastAsia" w:hAnsiTheme="minorHAnsi" w:cstheme="minorBidi"/>
          <w:color w:val="auto"/>
          <w:sz w:val="22"/>
          <w:szCs w:val="22"/>
          <w:lang w:eastAsia="en-AU"/>
        </w:rPr>
      </w:pPr>
      <w:r w:rsidRPr="00C04F17">
        <w:rPr>
          <w:b/>
        </w:rPr>
        <w:t>Recommendation</w:t>
      </w:r>
      <w:r w:rsidRPr="00884D97">
        <w:t xml:space="preserve"> </w:t>
      </w:r>
      <w:r w:rsidRPr="00C04F17">
        <w:rPr>
          <w:b/>
        </w:rPr>
        <w:t>2</w:t>
      </w:r>
    </w:p>
    <w:p w:rsidR="008E5C44" w:rsidRDefault="008E5C44">
      <w:pPr>
        <w:pStyle w:val="TOC1"/>
        <w:rPr>
          <w:rFonts w:asciiTheme="minorHAnsi" w:eastAsiaTheme="minorEastAsia" w:hAnsiTheme="minorHAnsi" w:cstheme="minorBidi"/>
          <w:color w:val="auto"/>
          <w:sz w:val="22"/>
          <w:szCs w:val="22"/>
          <w:lang w:eastAsia="en-AU"/>
        </w:rPr>
      </w:pPr>
      <w:r w:rsidRPr="00884D97">
        <w:t>The carbon price regulator should be required to publish the carbon price adjustment figure at least three months, and preferably six months before the 1 July adjustment takes place.</w:t>
      </w:r>
    </w:p>
    <w:p w:rsidR="008E5C44" w:rsidRDefault="008E5C44">
      <w:pPr>
        <w:pStyle w:val="TOC1"/>
        <w:rPr>
          <w:rFonts w:asciiTheme="minorHAnsi" w:eastAsiaTheme="minorEastAsia" w:hAnsiTheme="minorHAnsi" w:cstheme="minorBidi"/>
          <w:color w:val="auto"/>
          <w:sz w:val="22"/>
          <w:szCs w:val="22"/>
          <w:lang w:eastAsia="en-AU"/>
        </w:rPr>
      </w:pPr>
      <w:r w:rsidRPr="00C04F17">
        <w:rPr>
          <w:b/>
        </w:rPr>
        <w:t>Recommendation</w:t>
      </w:r>
      <w:r w:rsidRPr="00884D97">
        <w:t xml:space="preserve"> </w:t>
      </w:r>
      <w:r w:rsidRPr="00C04F17">
        <w:rPr>
          <w:b/>
        </w:rPr>
        <w:t>3</w:t>
      </w:r>
    </w:p>
    <w:p w:rsidR="008E5C44" w:rsidRDefault="008E5C44">
      <w:pPr>
        <w:pStyle w:val="TOC1"/>
        <w:rPr>
          <w:rFonts w:asciiTheme="minorHAnsi" w:eastAsiaTheme="minorEastAsia" w:hAnsiTheme="minorHAnsi" w:cstheme="minorBidi"/>
          <w:color w:val="auto"/>
          <w:sz w:val="22"/>
          <w:szCs w:val="22"/>
          <w:lang w:eastAsia="en-AU"/>
        </w:rPr>
      </w:pPr>
      <w:r w:rsidRPr="00884D97">
        <w:t>The Fuel Tax Act to should be amended to provide that:</w:t>
      </w:r>
    </w:p>
    <w:p w:rsidR="008E5C44" w:rsidRDefault="008E5C44">
      <w:pPr>
        <w:pStyle w:val="TOC1"/>
        <w:rPr>
          <w:rFonts w:asciiTheme="minorHAnsi" w:eastAsiaTheme="minorEastAsia" w:hAnsiTheme="minorHAnsi" w:cstheme="minorBidi"/>
          <w:color w:val="auto"/>
          <w:sz w:val="22"/>
          <w:szCs w:val="22"/>
          <w:lang w:eastAsia="en-AU"/>
        </w:rPr>
      </w:pPr>
      <w:r w:rsidRPr="00884D97">
        <w:rPr>
          <w:rFonts w:ascii="Symbol" w:hAnsi="Symbol"/>
        </w:rPr>
        <w:t></w:t>
      </w:r>
      <w:r>
        <w:rPr>
          <w:rFonts w:asciiTheme="minorHAnsi" w:eastAsiaTheme="minorEastAsia" w:hAnsiTheme="minorHAnsi" w:cstheme="minorBidi"/>
          <w:color w:val="auto"/>
          <w:sz w:val="22"/>
          <w:szCs w:val="22"/>
          <w:lang w:eastAsia="en-AU"/>
        </w:rPr>
        <w:tab/>
      </w:r>
      <w:r w:rsidRPr="00884D97">
        <w:t>adjustments to the road user charge take effect from 1 July each year</w:t>
      </w:r>
    </w:p>
    <w:p w:rsidR="008E5C44" w:rsidRDefault="008E5C44" w:rsidP="00CB1DE0">
      <w:pPr>
        <w:pStyle w:val="TOC1"/>
        <w:ind w:left="435" w:hanging="435"/>
        <w:rPr>
          <w:rFonts w:asciiTheme="minorHAnsi" w:eastAsiaTheme="minorEastAsia" w:hAnsiTheme="minorHAnsi" w:cstheme="minorBidi"/>
          <w:color w:val="auto"/>
          <w:sz w:val="22"/>
          <w:szCs w:val="22"/>
          <w:lang w:eastAsia="en-AU"/>
        </w:rPr>
      </w:pPr>
      <w:r w:rsidRPr="00884D97">
        <w:rPr>
          <w:rFonts w:ascii="Symbol" w:hAnsi="Symbol"/>
        </w:rPr>
        <w:t></w:t>
      </w:r>
      <w:r>
        <w:rPr>
          <w:rFonts w:asciiTheme="minorHAnsi" w:eastAsiaTheme="minorEastAsia" w:hAnsiTheme="minorHAnsi" w:cstheme="minorBidi"/>
          <w:color w:val="auto"/>
          <w:sz w:val="22"/>
          <w:szCs w:val="22"/>
          <w:lang w:eastAsia="en-AU"/>
        </w:rPr>
        <w:tab/>
      </w:r>
      <w:r w:rsidR="00CB1DE0">
        <w:rPr>
          <w:rFonts w:asciiTheme="minorHAnsi" w:eastAsiaTheme="minorEastAsia" w:hAnsiTheme="minorHAnsi" w:cstheme="minorBidi"/>
          <w:color w:val="auto"/>
          <w:sz w:val="22"/>
          <w:szCs w:val="22"/>
          <w:lang w:eastAsia="en-AU"/>
        </w:rPr>
        <w:tab/>
      </w:r>
      <w:r w:rsidRPr="00884D97">
        <w:t>the Minister for Transport shall issue the legislative instrument setting the amount of the charge by the same date the official carbon reduction figure is required to be announced.</w:t>
      </w:r>
    </w:p>
    <w:p w:rsidR="00311797" w:rsidRPr="00311797" w:rsidRDefault="00D002A6" w:rsidP="00311797">
      <w:pPr>
        <w:pStyle w:val="Heading1"/>
        <w:numPr>
          <w:ilvl w:val="0"/>
          <w:numId w:val="0"/>
        </w:numPr>
        <w:ind w:left="502" w:hanging="360"/>
      </w:pPr>
      <w:r w:rsidRPr="00050881">
        <w:rPr>
          <w:noProof/>
          <w:color w:val="000000" w:themeColor="text1"/>
          <w:sz w:val="20"/>
          <w:szCs w:val="20"/>
        </w:rPr>
        <w:fldChar w:fldCharType="end"/>
      </w:r>
    </w:p>
    <w:p w:rsidR="0004192B" w:rsidRPr="000937DB" w:rsidRDefault="00077B50" w:rsidP="00311797">
      <w:pPr>
        <w:pStyle w:val="Heading1"/>
      </w:pPr>
      <w:bookmarkStart w:id="3" w:name="_Toc354564708"/>
      <w:r w:rsidRPr="000937DB">
        <w:t>The ATA’s position on carbon pricing</w:t>
      </w:r>
      <w:bookmarkEnd w:id="3"/>
    </w:p>
    <w:p w:rsidR="0004192B" w:rsidRPr="00050881" w:rsidRDefault="0004192B" w:rsidP="00C04619">
      <w:pPr>
        <w:rPr>
          <w:rFonts w:ascii="Arial" w:hAnsi="Arial" w:cs="Arial"/>
          <w:sz w:val="20"/>
          <w:szCs w:val="20"/>
        </w:rPr>
      </w:pPr>
    </w:p>
    <w:p w:rsidR="0004192B" w:rsidRDefault="003D632D" w:rsidP="00C04619">
      <w:pPr>
        <w:rPr>
          <w:rFonts w:ascii="Arial" w:hAnsi="Arial" w:cs="Arial"/>
          <w:sz w:val="20"/>
          <w:szCs w:val="20"/>
        </w:rPr>
      </w:pPr>
      <w:r>
        <w:rPr>
          <w:rFonts w:ascii="Arial" w:hAnsi="Arial" w:cs="Arial"/>
          <w:sz w:val="20"/>
          <w:szCs w:val="20"/>
        </w:rPr>
        <w:t xml:space="preserve">The trucking industry and its clients welcomed the </w:t>
      </w:r>
      <w:r w:rsidR="007D3C3E">
        <w:rPr>
          <w:rFonts w:ascii="Arial" w:hAnsi="Arial" w:cs="Arial"/>
          <w:sz w:val="20"/>
          <w:szCs w:val="20"/>
        </w:rPr>
        <w:t xml:space="preserve">current </w:t>
      </w:r>
      <w:r>
        <w:rPr>
          <w:rFonts w:ascii="Arial" w:hAnsi="Arial" w:cs="Arial"/>
          <w:sz w:val="20"/>
          <w:szCs w:val="20"/>
        </w:rPr>
        <w:t xml:space="preserve">two year exemption from the carbon price. </w:t>
      </w:r>
      <w:r w:rsidR="000E7C73">
        <w:rPr>
          <w:rFonts w:ascii="Arial" w:hAnsi="Arial" w:cs="Arial"/>
          <w:sz w:val="20"/>
          <w:szCs w:val="20"/>
        </w:rPr>
        <w:t xml:space="preserve">The </w:t>
      </w:r>
      <w:r w:rsidR="00BA18F3">
        <w:rPr>
          <w:rFonts w:ascii="Arial" w:hAnsi="Arial" w:cs="Arial"/>
          <w:sz w:val="20"/>
          <w:szCs w:val="20"/>
        </w:rPr>
        <w:t xml:space="preserve">ATA believes the </w:t>
      </w:r>
      <w:r w:rsidR="000E7C73">
        <w:rPr>
          <w:rFonts w:ascii="Arial" w:hAnsi="Arial" w:cs="Arial"/>
          <w:sz w:val="20"/>
          <w:szCs w:val="20"/>
        </w:rPr>
        <w:t xml:space="preserve">trucking industry should be permanently exempt from </w:t>
      </w:r>
      <w:r w:rsidR="001E0C14">
        <w:rPr>
          <w:rFonts w:ascii="Arial" w:hAnsi="Arial" w:cs="Arial"/>
          <w:sz w:val="20"/>
          <w:szCs w:val="20"/>
        </w:rPr>
        <w:t>the carbon tax</w:t>
      </w:r>
      <w:r w:rsidR="000E7C73">
        <w:rPr>
          <w:rFonts w:ascii="Arial" w:hAnsi="Arial" w:cs="Arial"/>
          <w:sz w:val="20"/>
          <w:szCs w:val="20"/>
        </w:rPr>
        <w:t xml:space="preserve"> because: </w:t>
      </w:r>
    </w:p>
    <w:p w:rsidR="007C700A" w:rsidRDefault="007C700A" w:rsidP="007C700A">
      <w:pPr>
        <w:autoSpaceDE w:val="0"/>
        <w:autoSpaceDN w:val="0"/>
        <w:adjustRightInd w:val="0"/>
        <w:rPr>
          <w:rFonts w:ascii="Arial" w:hAnsi="Arial" w:cs="Arial"/>
          <w:sz w:val="20"/>
          <w:szCs w:val="20"/>
          <w:lang w:eastAsia="en-AU"/>
        </w:rPr>
      </w:pPr>
    </w:p>
    <w:p w:rsidR="007C700A" w:rsidRPr="007C700A" w:rsidRDefault="007C700A" w:rsidP="007C700A">
      <w:pPr>
        <w:pStyle w:val="ListParagraph"/>
        <w:numPr>
          <w:ilvl w:val="0"/>
          <w:numId w:val="14"/>
        </w:numPr>
        <w:autoSpaceDE w:val="0"/>
        <w:autoSpaceDN w:val="0"/>
        <w:adjustRightInd w:val="0"/>
        <w:rPr>
          <w:rFonts w:ascii="Arial" w:hAnsi="Arial" w:cs="Arial"/>
          <w:sz w:val="20"/>
          <w:szCs w:val="20"/>
          <w:lang w:eastAsia="en-AU"/>
        </w:rPr>
      </w:pPr>
      <w:r w:rsidRPr="007C700A">
        <w:rPr>
          <w:rFonts w:ascii="Arial" w:hAnsi="Arial" w:cs="Arial"/>
          <w:sz w:val="20"/>
          <w:szCs w:val="20"/>
          <w:lang w:eastAsia="en-AU"/>
        </w:rPr>
        <w:t>85 per cent of trucking businesses are small businesses with fewer than five employees. These</w:t>
      </w:r>
      <w:r>
        <w:rPr>
          <w:rFonts w:ascii="Arial" w:hAnsi="Arial" w:cs="Arial"/>
          <w:sz w:val="20"/>
          <w:szCs w:val="20"/>
          <w:lang w:eastAsia="en-AU"/>
        </w:rPr>
        <w:t xml:space="preserve"> </w:t>
      </w:r>
      <w:r w:rsidRPr="007C700A">
        <w:rPr>
          <w:rFonts w:ascii="Arial" w:hAnsi="Arial" w:cs="Arial"/>
          <w:sz w:val="20"/>
          <w:szCs w:val="20"/>
          <w:lang w:eastAsia="en-AU"/>
        </w:rPr>
        <w:t>businesses are entirely comparable to other small businesses exempt from the carbon</w:t>
      </w:r>
      <w:r>
        <w:rPr>
          <w:rFonts w:ascii="Arial" w:hAnsi="Arial" w:cs="Arial"/>
          <w:sz w:val="20"/>
          <w:szCs w:val="20"/>
          <w:lang w:eastAsia="en-AU"/>
        </w:rPr>
        <w:t xml:space="preserve"> </w:t>
      </w:r>
      <w:r w:rsidRPr="007C700A">
        <w:rPr>
          <w:rFonts w:ascii="Arial" w:hAnsi="Arial" w:cs="Arial"/>
          <w:sz w:val="20"/>
          <w:szCs w:val="20"/>
          <w:lang w:eastAsia="en-AU"/>
        </w:rPr>
        <w:t>price, except they happen to operate trucks weighing more than 4.5 tonnes.</w:t>
      </w:r>
    </w:p>
    <w:p w:rsidR="007D3C3E" w:rsidRDefault="007D3C3E" w:rsidP="007D3C3E">
      <w:pPr>
        <w:pStyle w:val="ListParagraph"/>
        <w:numPr>
          <w:ilvl w:val="0"/>
          <w:numId w:val="14"/>
        </w:numPr>
        <w:autoSpaceDE w:val="0"/>
        <w:autoSpaceDN w:val="0"/>
        <w:adjustRightInd w:val="0"/>
        <w:rPr>
          <w:rFonts w:ascii="Arial" w:hAnsi="Arial" w:cs="Arial"/>
          <w:sz w:val="20"/>
          <w:szCs w:val="20"/>
          <w:lang w:eastAsia="en-AU"/>
        </w:rPr>
      </w:pPr>
      <w:r w:rsidRPr="007C700A">
        <w:rPr>
          <w:rFonts w:ascii="Arial" w:hAnsi="Arial" w:cs="Arial"/>
          <w:sz w:val="20"/>
          <w:szCs w:val="20"/>
          <w:lang w:eastAsia="en-AU"/>
        </w:rPr>
        <w:t>Increasing the effective price of fuel for trucking operators will increase the price of almost</w:t>
      </w:r>
      <w:r>
        <w:rPr>
          <w:rFonts w:ascii="Arial" w:hAnsi="Arial" w:cs="Arial"/>
          <w:sz w:val="20"/>
          <w:szCs w:val="20"/>
          <w:lang w:eastAsia="en-AU"/>
        </w:rPr>
        <w:t xml:space="preserve"> </w:t>
      </w:r>
      <w:r w:rsidRPr="007C700A">
        <w:rPr>
          <w:rFonts w:ascii="Arial" w:hAnsi="Arial" w:cs="Arial"/>
          <w:sz w:val="20"/>
          <w:szCs w:val="20"/>
          <w:lang w:eastAsia="en-AU"/>
        </w:rPr>
        <w:t>everything. The trucking industry carries 75 per cent of Australia’s domestic freight, including ever</w:t>
      </w:r>
      <w:r>
        <w:rPr>
          <w:rFonts w:ascii="Arial" w:hAnsi="Arial" w:cs="Arial"/>
          <w:sz w:val="20"/>
          <w:szCs w:val="20"/>
          <w:lang w:eastAsia="en-AU"/>
        </w:rPr>
        <w:t xml:space="preserve">y </w:t>
      </w:r>
      <w:r w:rsidRPr="007C700A">
        <w:rPr>
          <w:rFonts w:ascii="Arial" w:hAnsi="Arial" w:cs="Arial"/>
          <w:sz w:val="20"/>
          <w:szCs w:val="20"/>
          <w:lang w:eastAsia="en-AU"/>
        </w:rPr>
        <w:t>item on the shelves of every supermarket.</w:t>
      </w:r>
    </w:p>
    <w:p w:rsidR="00C04F17" w:rsidRPr="00C04F17" w:rsidRDefault="00C04F17" w:rsidP="00C04F17">
      <w:pPr>
        <w:autoSpaceDE w:val="0"/>
        <w:autoSpaceDN w:val="0"/>
        <w:adjustRightInd w:val="0"/>
        <w:rPr>
          <w:rFonts w:ascii="Arial" w:hAnsi="Arial" w:cs="Arial"/>
          <w:sz w:val="20"/>
          <w:szCs w:val="20"/>
          <w:lang w:eastAsia="en-AU"/>
        </w:rPr>
      </w:pPr>
    </w:p>
    <w:p w:rsidR="007C700A" w:rsidRPr="007C700A" w:rsidRDefault="007C700A" w:rsidP="007C700A">
      <w:pPr>
        <w:pStyle w:val="ListParagraph"/>
        <w:numPr>
          <w:ilvl w:val="0"/>
          <w:numId w:val="14"/>
        </w:numPr>
        <w:autoSpaceDE w:val="0"/>
        <w:autoSpaceDN w:val="0"/>
        <w:adjustRightInd w:val="0"/>
        <w:rPr>
          <w:rFonts w:ascii="Arial" w:hAnsi="Arial" w:cs="Arial"/>
          <w:sz w:val="20"/>
          <w:szCs w:val="20"/>
          <w:lang w:eastAsia="en-AU"/>
        </w:rPr>
      </w:pPr>
      <w:r w:rsidRPr="007C700A">
        <w:rPr>
          <w:rFonts w:ascii="Arial" w:hAnsi="Arial" w:cs="Arial"/>
          <w:sz w:val="20"/>
          <w:szCs w:val="20"/>
          <w:lang w:eastAsia="en-AU"/>
        </w:rPr>
        <w:lastRenderedPageBreak/>
        <w:t>Trucking businesses face incredibly tough business conditions. Freight rates are lower in real terms</w:t>
      </w:r>
      <w:r>
        <w:rPr>
          <w:rFonts w:ascii="Arial" w:hAnsi="Arial" w:cs="Arial"/>
          <w:sz w:val="20"/>
          <w:szCs w:val="20"/>
          <w:lang w:eastAsia="en-AU"/>
        </w:rPr>
        <w:t xml:space="preserve"> </w:t>
      </w:r>
      <w:r w:rsidRPr="007C700A">
        <w:rPr>
          <w:rFonts w:ascii="Arial" w:hAnsi="Arial" w:cs="Arial"/>
          <w:sz w:val="20"/>
          <w:szCs w:val="20"/>
          <w:lang w:eastAsia="en-AU"/>
        </w:rPr>
        <w:t xml:space="preserve">than they were in the </w:t>
      </w:r>
      <w:proofErr w:type="spellStart"/>
      <w:r w:rsidRPr="007C700A">
        <w:rPr>
          <w:rFonts w:ascii="Arial" w:hAnsi="Arial" w:cs="Arial"/>
          <w:sz w:val="20"/>
          <w:szCs w:val="20"/>
          <w:lang w:eastAsia="en-AU"/>
        </w:rPr>
        <w:t>1970s</w:t>
      </w:r>
      <w:proofErr w:type="spellEnd"/>
      <w:r w:rsidRPr="007C700A">
        <w:rPr>
          <w:rFonts w:ascii="Arial" w:hAnsi="Arial" w:cs="Arial"/>
          <w:sz w:val="20"/>
          <w:szCs w:val="20"/>
          <w:lang w:eastAsia="en-AU"/>
        </w:rPr>
        <w:t>, but business costs have increased substantially</w:t>
      </w:r>
    </w:p>
    <w:p w:rsidR="007C700A" w:rsidRDefault="007D3C3E" w:rsidP="007C700A">
      <w:pPr>
        <w:pStyle w:val="ListParagraph"/>
        <w:numPr>
          <w:ilvl w:val="0"/>
          <w:numId w:val="14"/>
        </w:numPr>
        <w:autoSpaceDE w:val="0"/>
        <w:autoSpaceDN w:val="0"/>
        <w:adjustRightInd w:val="0"/>
        <w:rPr>
          <w:rFonts w:ascii="Arial" w:hAnsi="Arial" w:cs="Arial"/>
          <w:sz w:val="20"/>
          <w:szCs w:val="20"/>
          <w:lang w:eastAsia="en-AU"/>
        </w:rPr>
      </w:pPr>
      <w:r>
        <w:rPr>
          <w:rFonts w:ascii="Arial" w:hAnsi="Arial" w:cs="Arial"/>
          <w:sz w:val="20"/>
          <w:szCs w:val="20"/>
          <w:lang w:eastAsia="en-AU"/>
        </w:rPr>
        <w:t>I</w:t>
      </w:r>
      <w:r w:rsidR="007C700A" w:rsidRPr="007C700A">
        <w:rPr>
          <w:rFonts w:ascii="Arial" w:hAnsi="Arial" w:cs="Arial"/>
          <w:sz w:val="20"/>
          <w:szCs w:val="20"/>
          <w:lang w:eastAsia="en-AU"/>
        </w:rPr>
        <w:t>ndustry has already spent millions on improving its environmental outcomes. A report commissioned by the ATA shows</w:t>
      </w:r>
      <w:r w:rsidR="003D632D">
        <w:rPr>
          <w:rStyle w:val="FootnoteReference"/>
          <w:rFonts w:ascii="Arial" w:hAnsi="Arial"/>
          <w:sz w:val="20"/>
          <w:szCs w:val="20"/>
          <w:lang w:eastAsia="en-AU"/>
        </w:rPr>
        <w:footnoteReference w:id="1"/>
      </w:r>
      <w:r w:rsidR="007C700A">
        <w:rPr>
          <w:rFonts w:ascii="Arial" w:hAnsi="Arial" w:cs="Arial"/>
          <w:sz w:val="20"/>
          <w:szCs w:val="20"/>
          <w:lang w:eastAsia="en-AU"/>
        </w:rPr>
        <w:t>:</w:t>
      </w:r>
    </w:p>
    <w:p w:rsidR="007C700A" w:rsidRDefault="007C700A" w:rsidP="007C700A">
      <w:pPr>
        <w:pStyle w:val="ListParagraph"/>
        <w:numPr>
          <w:ilvl w:val="0"/>
          <w:numId w:val="15"/>
        </w:numPr>
        <w:autoSpaceDE w:val="0"/>
        <w:autoSpaceDN w:val="0"/>
        <w:adjustRightInd w:val="0"/>
        <w:rPr>
          <w:rFonts w:ascii="Arial" w:hAnsi="Arial" w:cs="Arial"/>
          <w:sz w:val="20"/>
          <w:szCs w:val="20"/>
          <w:lang w:eastAsia="en-AU"/>
        </w:rPr>
      </w:pPr>
      <w:r w:rsidRPr="007C700A">
        <w:rPr>
          <w:rFonts w:cs="Calibri"/>
          <w:sz w:val="20"/>
          <w:szCs w:val="20"/>
          <w:lang w:eastAsia="en-AU"/>
        </w:rPr>
        <w:t xml:space="preserve"> </w:t>
      </w:r>
      <w:proofErr w:type="gramStart"/>
      <w:r w:rsidRPr="007C700A">
        <w:rPr>
          <w:rFonts w:ascii="Arial" w:hAnsi="Arial" w:cs="Arial"/>
          <w:sz w:val="20"/>
          <w:szCs w:val="20"/>
          <w:lang w:eastAsia="en-AU"/>
        </w:rPr>
        <w:t>the</w:t>
      </w:r>
      <w:proofErr w:type="gramEnd"/>
      <w:r w:rsidRPr="007C700A">
        <w:rPr>
          <w:rFonts w:ascii="Arial" w:hAnsi="Arial" w:cs="Arial"/>
          <w:sz w:val="20"/>
          <w:szCs w:val="20"/>
          <w:lang w:eastAsia="en-AU"/>
        </w:rPr>
        <w:t xml:space="preserve"> industry’s greenhouse gas emissions fell 35 per cent per billion tonne kilometres</w:t>
      </w:r>
      <w:r>
        <w:rPr>
          <w:rFonts w:ascii="Arial" w:hAnsi="Arial" w:cs="Arial"/>
          <w:sz w:val="20"/>
          <w:szCs w:val="20"/>
          <w:lang w:eastAsia="en-AU"/>
        </w:rPr>
        <w:t xml:space="preserve"> </w:t>
      </w:r>
      <w:r w:rsidRPr="007C700A">
        <w:rPr>
          <w:rFonts w:ascii="Arial" w:hAnsi="Arial" w:cs="Arial"/>
          <w:sz w:val="20"/>
          <w:szCs w:val="20"/>
          <w:lang w:eastAsia="en-AU"/>
        </w:rPr>
        <w:t>between 1990 and 2011, as a result of improvements in engine technology and the use of</w:t>
      </w:r>
      <w:r>
        <w:rPr>
          <w:rFonts w:ascii="Arial" w:hAnsi="Arial" w:cs="Arial"/>
          <w:sz w:val="20"/>
          <w:szCs w:val="20"/>
          <w:lang w:eastAsia="en-AU"/>
        </w:rPr>
        <w:t xml:space="preserve"> </w:t>
      </w:r>
      <w:r w:rsidRPr="007C700A">
        <w:rPr>
          <w:rFonts w:ascii="Arial" w:hAnsi="Arial" w:cs="Arial"/>
          <w:sz w:val="20"/>
          <w:szCs w:val="20"/>
          <w:lang w:eastAsia="en-AU"/>
        </w:rPr>
        <w:t>safer trucks with greater capacity.</w:t>
      </w:r>
    </w:p>
    <w:p w:rsidR="000E7C73" w:rsidRPr="007C700A" w:rsidRDefault="007C700A" w:rsidP="007C700A">
      <w:pPr>
        <w:pStyle w:val="ListParagraph"/>
        <w:numPr>
          <w:ilvl w:val="0"/>
          <w:numId w:val="15"/>
        </w:numPr>
        <w:autoSpaceDE w:val="0"/>
        <w:autoSpaceDN w:val="0"/>
        <w:adjustRightInd w:val="0"/>
        <w:rPr>
          <w:rFonts w:ascii="Arial" w:hAnsi="Arial" w:cs="Arial"/>
          <w:sz w:val="20"/>
          <w:szCs w:val="20"/>
          <w:lang w:eastAsia="en-AU"/>
        </w:rPr>
      </w:pPr>
      <w:r w:rsidRPr="007C700A">
        <w:rPr>
          <w:rFonts w:cs="Calibri"/>
          <w:sz w:val="20"/>
          <w:szCs w:val="20"/>
          <w:lang w:eastAsia="en-AU"/>
        </w:rPr>
        <w:t xml:space="preserve"> </w:t>
      </w:r>
      <w:proofErr w:type="gramStart"/>
      <w:r w:rsidRPr="007C700A">
        <w:rPr>
          <w:rFonts w:ascii="Arial" w:hAnsi="Arial" w:cs="Arial"/>
          <w:sz w:val="20"/>
          <w:szCs w:val="20"/>
          <w:lang w:eastAsia="en-AU"/>
        </w:rPr>
        <w:t>emissions</w:t>
      </w:r>
      <w:proofErr w:type="gramEnd"/>
      <w:r w:rsidRPr="007C700A">
        <w:rPr>
          <w:rFonts w:ascii="Arial" w:hAnsi="Arial" w:cs="Arial"/>
          <w:sz w:val="20"/>
          <w:szCs w:val="20"/>
          <w:lang w:eastAsia="en-AU"/>
        </w:rPr>
        <w:t xml:space="preserve"> of carbon monoxide, hydrocarbons, nitrogen oxides and particulates from new</w:t>
      </w:r>
      <w:r>
        <w:rPr>
          <w:rFonts w:ascii="Arial" w:hAnsi="Arial" w:cs="Arial"/>
          <w:sz w:val="20"/>
          <w:szCs w:val="20"/>
          <w:lang w:eastAsia="en-AU"/>
        </w:rPr>
        <w:t xml:space="preserve"> </w:t>
      </w:r>
      <w:r w:rsidRPr="007C700A">
        <w:rPr>
          <w:rFonts w:ascii="Arial" w:hAnsi="Arial" w:cs="Arial"/>
          <w:sz w:val="20"/>
          <w:szCs w:val="20"/>
          <w:lang w:eastAsia="en-AU"/>
        </w:rPr>
        <w:t>engines fell dramatically between 1995 and 2010. For example, particulate emissions from</w:t>
      </w:r>
      <w:r>
        <w:rPr>
          <w:rFonts w:ascii="Arial" w:hAnsi="Arial" w:cs="Arial"/>
          <w:sz w:val="20"/>
          <w:szCs w:val="20"/>
          <w:lang w:eastAsia="en-AU"/>
        </w:rPr>
        <w:t xml:space="preserve"> </w:t>
      </w:r>
      <w:r w:rsidRPr="007C700A">
        <w:rPr>
          <w:rFonts w:ascii="Arial" w:hAnsi="Arial" w:cs="Arial"/>
          <w:sz w:val="20"/>
          <w:szCs w:val="20"/>
          <w:lang w:eastAsia="en-AU"/>
        </w:rPr>
        <w:t>Euro 5 engines (mandated from 1 January 2011 for all new trucks) are 92 per cent lower</w:t>
      </w:r>
      <w:r>
        <w:rPr>
          <w:rFonts w:ascii="Arial" w:hAnsi="Arial" w:cs="Arial"/>
          <w:sz w:val="20"/>
          <w:szCs w:val="20"/>
          <w:lang w:eastAsia="en-AU"/>
        </w:rPr>
        <w:t xml:space="preserve"> t</w:t>
      </w:r>
      <w:r w:rsidRPr="007C700A">
        <w:rPr>
          <w:rFonts w:ascii="Arial" w:hAnsi="Arial" w:cs="Arial"/>
          <w:sz w:val="20"/>
          <w:szCs w:val="20"/>
          <w:lang w:eastAsia="en-AU"/>
        </w:rPr>
        <w:t>han the particulate emissions from new model trucks built in 1995.</w:t>
      </w:r>
    </w:p>
    <w:p w:rsidR="00C059C4" w:rsidRPr="00C04F17" w:rsidRDefault="007C700A" w:rsidP="00C04F17">
      <w:pPr>
        <w:autoSpaceDE w:val="0"/>
        <w:autoSpaceDN w:val="0"/>
        <w:adjustRightInd w:val="0"/>
        <w:rPr>
          <w:rFonts w:ascii="Arial" w:hAnsi="Arial" w:cs="Arial"/>
          <w:sz w:val="20"/>
          <w:szCs w:val="20"/>
          <w:lang w:eastAsia="en-AU"/>
        </w:rPr>
      </w:pPr>
      <w:r w:rsidRPr="007C700A">
        <w:rPr>
          <w:rFonts w:ascii="Arial" w:hAnsi="Arial" w:cs="Arial"/>
          <w:sz w:val="20"/>
          <w:szCs w:val="20"/>
          <w:lang w:eastAsia="en-AU"/>
        </w:rPr>
        <w:t>The ATA will continue to press its arguments for a permanent exemption</w:t>
      </w:r>
      <w:r w:rsidR="007D3C3E">
        <w:rPr>
          <w:rFonts w:ascii="Arial" w:hAnsi="Arial" w:cs="Arial"/>
          <w:sz w:val="20"/>
          <w:szCs w:val="20"/>
          <w:lang w:eastAsia="en-AU"/>
        </w:rPr>
        <w:t xml:space="preserve"> from the proposed tax</w:t>
      </w:r>
      <w:r w:rsidRPr="007C700A">
        <w:rPr>
          <w:rFonts w:ascii="Arial" w:hAnsi="Arial" w:cs="Arial"/>
          <w:sz w:val="20"/>
          <w:szCs w:val="20"/>
          <w:lang w:eastAsia="en-AU"/>
        </w:rPr>
        <w:t xml:space="preserve"> in other forums. The</w:t>
      </w:r>
      <w:r>
        <w:rPr>
          <w:rFonts w:ascii="Arial" w:hAnsi="Arial" w:cs="Arial"/>
          <w:sz w:val="20"/>
          <w:szCs w:val="20"/>
          <w:lang w:eastAsia="en-AU"/>
        </w:rPr>
        <w:t xml:space="preserve"> </w:t>
      </w:r>
      <w:r w:rsidRPr="007C700A">
        <w:rPr>
          <w:rFonts w:ascii="Arial" w:hAnsi="Arial" w:cs="Arial"/>
          <w:sz w:val="20"/>
          <w:szCs w:val="20"/>
          <w:lang w:eastAsia="en-AU"/>
        </w:rPr>
        <w:t>recommendations in this submission are premised on the Government proceeding with its existing policy.</w:t>
      </w:r>
    </w:p>
    <w:p w:rsidR="00D73280" w:rsidRDefault="00D73280" w:rsidP="00077B50">
      <w:pPr>
        <w:pStyle w:val="Heading1"/>
        <w:numPr>
          <w:ilvl w:val="0"/>
          <w:numId w:val="0"/>
        </w:numPr>
        <w:ind w:left="502" w:hanging="360"/>
      </w:pPr>
      <w:bookmarkStart w:id="4" w:name="_Toc304815336"/>
      <w:bookmarkStart w:id="5" w:name="_Toc304815833"/>
      <w:bookmarkStart w:id="6" w:name="_Toc304818322"/>
      <w:bookmarkStart w:id="7" w:name="_Toc304884375"/>
      <w:bookmarkStart w:id="8" w:name="_Toc304970875"/>
      <w:bookmarkStart w:id="9" w:name="_Toc305498105"/>
      <w:bookmarkStart w:id="10" w:name="_Toc305498164"/>
      <w:bookmarkStart w:id="11" w:name="_Toc305498216"/>
      <w:bookmarkStart w:id="12" w:name="_Toc305498333"/>
      <w:bookmarkStart w:id="13" w:name="_Toc306622934"/>
      <w:bookmarkStart w:id="14" w:name="_Toc306690319"/>
      <w:bookmarkStart w:id="15" w:name="_Toc306699143"/>
      <w:bookmarkStart w:id="16" w:name="_Toc306879727"/>
      <w:bookmarkStart w:id="17" w:name="_Toc306883067"/>
      <w:bookmarkStart w:id="18" w:name="_Toc306890738"/>
      <w:bookmarkStart w:id="19" w:name="_Toc306890756"/>
      <w:bookmarkStart w:id="20" w:name="_Toc306890870"/>
      <w:bookmarkStart w:id="21" w:name="_Toc306891301"/>
      <w:bookmarkStart w:id="22" w:name="_Toc306950020"/>
      <w:bookmarkStart w:id="23" w:name="_Toc306950155"/>
      <w:bookmarkStart w:id="24" w:name="_Toc353530717"/>
      <w:bookmarkStart w:id="25" w:name="_Toc353869376"/>
      <w:bookmarkStart w:id="26" w:name="_Toc353887216"/>
      <w:bookmarkStart w:id="27" w:name="_Toc35388723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018B0" w:rsidRPr="005018B0" w:rsidRDefault="005018B0" w:rsidP="005018B0"/>
    <w:p w:rsidR="00077B50" w:rsidRPr="00311797" w:rsidRDefault="00077B50" w:rsidP="00311797">
      <w:pPr>
        <w:pStyle w:val="Heading1"/>
      </w:pPr>
      <w:bookmarkStart w:id="28" w:name="_Toc354564709"/>
      <w:r w:rsidRPr="00077B50">
        <w:t>Implementation issues</w:t>
      </w:r>
      <w:r w:rsidR="00FA1054">
        <w:t xml:space="preserve"> for trucking operators and the industry</w:t>
      </w:r>
      <w:bookmarkEnd w:id="28"/>
      <w:r w:rsidR="00FA1054">
        <w:t xml:space="preserve"> </w:t>
      </w:r>
    </w:p>
    <w:p w:rsidR="00077B50" w:rsidRDefault="00077B50" w:rsidP="00C04619">
      <w:pPr>
        <w:rPr>
          <w:rFonts w:ascii="Arial" w:hAnsi="Arial" w:cs="Arial"/>
          <w:color w:val="000000" w:themeColor="text1"/>
          <w:sz w:val="20"/>
          <w:szCs w:val="20"/>
        </w:rPr>
      </w:pPr>
    </w:p>
    <w:p w:rsidR="005018B0" w:rsidRPr="00640EF1" w:rsidRDefault="00640EF1" w:rsidP="00C04619">
      <w:pPr>
        <w:rPr>
          <w:rFonts w:ascii="Arial" w:hAnsi="Arial" w:cs="Arial"/>
          <w:color w:val="000000" w:themeColor="text1"/>
          <w:sz w:val="20"/>
          <w:szCs w:val="20"/>
          <w:u w:val="single"/>
        </w:rPr>
      </w:pPr>
      <w:r w:rsidRPr="00640EF1">
        <w:rPr>
          <w:rFonts w:ascii="Arial" w:hAnsi="Arial" w:cs="Arial"/>
          <w:color w:val="000000" w:themeColor="text1"/>
          <w:sz w:val="20"/>
          <w:szCs w:val="20"/>
          <w:u w:val="single"/>
        </w:rPr>
        <w:t>Industry contract setting</w:t>
      </w:r>
    </w:p>
    <w:p w:rsidR="00640EF1" w:rsidRDefault="00640EF1" w:rsidP="00C04619">
      <w:pPr>
        <w:rPr>
          <w:rFonts w:ascii="Arial" w:hAnsi="Arial" w:cs="Arial"/>
          <w:color w:val="000000" w:themeColor="text1"/>
          <w:sz w:val="20"/>
          <w:szCs w:val="20"/>
        </w:rPr>
      </w:pPr>
    </w:p>
    <w:p w:rsidR="007A530A" w:rsidRDefault="007A530A" w:rsidP="00C04619">
      <w:pPr>
        <w:rPr>
          <w:rFonts w:ascii="Arial" w:hAnsi="Arial" w:cs="Arial"/>
          <w:color w:val="000000" w:themeColor="text1"/>
          <w:sz w:val="20"/>
          <w:szCs w:val="20"/>
        </w:rPr>
      </w:pPr>
      <w:r>
        <w:rPr>
          <w:rFonts w:ascii="Arial" w:hAnsi="Arial" w:cs="Arial"/>
          <w:color w:val="000000" w:themeColor="text1"/>
          <w:sz w:val="20"/>
          <w:szCs w:val="20"/>
        </w:rPr>
        <w:t xml:space="preserve">The </w:t>
      </w:r>
      <w:r w:rsidR="00BB5576">
        <w:rPr>
          <w:rFonts w:ascii="Arial" w:hAnsi="Arial" w:cs="Arial"/>
          <w:i/>
          <w:color w:val="000000" w:themeColor="text1"/>
          <w:sz w:val="20"/>
          <w:szCs w:val="20"/>
        </w:rPr>
        <w:t>F</w:t>
      </w:r>
      <w:r w:rsidRPr="00BB5576">
        <w:rPr>
          <w:rFonts w:ascii="Arial" w:hAnsi="Arial" w:cs="Arial"/>
          <w:i/>
          <w:color w:val="000000" w:themeColor="text1"/>
          <w:sz w:val="20"/>
          <w:szCs w:val="20"/>
        </w:rPr>
        <w:t xml:space="preserve">uel Tax Legislation Amendment (Clean Energy) </w:t>
      </w:r>
      <w:r w:rsidR="00311797">
        <w:rPr>
          <w:rFonts w:ascii="Arial" w:hAnsi="Arial" w:cs="Arial"/>
          <w:i/>
          <w:color w:val="000000" w:themeColor="text1"/>
          <w:sz w:val="20"/>
          <w:szCs w:val="20"/>
        </w:rPr>
        <w:t>Act</w:t>
      </w:r>
      <w:r w:rsidRPr="00BB5576">
        <w:rPr>
          <w:rFonts w:ascii="Arial" w:hAnsi="Arial" w:cs="Arial"/>
          <w:i/>
          <w:color w:val="000000" w:themeColor="text1"/>
          <w:sz w:val="20"/>
          <w:szCs w:val="20"/>
        </w:rPr>
        <w:t xml:space="preserve"> 2011</w:t>
      </w:r>
      <w:r>
        <w:rPr>
          <w:rFonts w:ascii="Arial" w:hAnsi="Arial" w:cs="Arial"/>
          <w:color w:val="000000" w:themeColor="text1"/>
          <w:sz w:val="20"/>
          <w:szCs w:val="20"/>
        </w:rPr>
        <w:t xml:space="preserve"> and section 196 of the </w:t>
      </w:r>
      <w:r w:rsidR="00BB5576" w:rsidRPr="00BB5576">
        <w:rPr>
          <w:rFonts w:ascii="Arial" w:hAnsi="Arial" w:cs="Arial"/>
          <w:i/>
          <w:color w:val="000000" w:themeColor="text1"/>
          <w:sz w:val="20"/>
          <w:szCs w:val="20"/>
        </w:rPr>
        <w:t>C</w:t>
      </w:r>
      <w:r w:rsidRPr="00BB5576">
        <w:rPr>
          <w:rFonts w:ascii="Arial" w:hAnsi="Arial" w:cs="Arial"/>
          <w:i/>
          <w:color w:val="000000" w:themeColor="text1"/>
          <w:sz w:val="20"/>
          <w:szCs w:val="20"/>
        </w:rPr>
        <w:t xml:space="preserve">lean </w:t>
      </w:r>
      <w:r w:rsidR="00BB5576" w:rsidRPr="00BB5576">
        <w:rPr>
          <w:rFonts w:ascii="Arial" w:hAnsi="Arial" w:cs="Arial"/>
          <w:i/>
          <w:color w:val="000000" w:themeColor="text1"/>
          <w:sz w:val="20"/>
          <w:szCs w:val="20"/>
        </w:rPr>
        <w:t>E</w:t>
      </w:r>
      <w:r w:rsidRPr="00BB5576">
        <w:rPr>
          <w:rFonts w:ascii="Arial" w:hAnsi="Arial" w:cs="Arial"/>
          <w:i/>
          <w:color w:val="000000" w:themeColor="text1"/>
          <w:sz w:val="20"/>
          <w:szCs w:val="20"/>
        </w:rPr>
        <w:t xml:space="preserve">nergy </w:t>
      </w:r>
      <w:r w:rsidR="00311797">
        <w:rPr>
          <w:rFonts w:ascii="Arial" w:hAnsi="Arial" w:cs="Arial"/>
          <w:i/>
          <w:color w:val="000000" w:themeColor="text1"/>
          <w:sz w:val="20"/>
          <w:szCs w:val="20"/>
        </w:rPr>
        <w:t xml:space="preserve">Act 2011 </w:t>
      </w:r>
      <w:r>
        <w:rPr>
          <w:rFonts w:ascii="Arial" w:hAnsi="Arial" w:cs="Arial"/>
          <w:color w:val="000000" w:themeColor="text1"/>
          <w:sz w:val="20"/>
          <w:szCs w:val="20"/>
        </w:rPr>
        <w:t xml:space="preserve">set out how the amount of carbon reduction applied to fuel tax credits would be adjusted. Under </w:t>
      </w:r>
      <w:r w:rsidR="00BB5576">
        <w:rPr>
          <w:rFonts w:ascii="Arial" w:hAnsi="Arial" w:cs="Arial"/>
          <w:color w:val="000000" w:themeColor="text1"/>
          <w:sz w:val="20"/>
          <w:szCs w:val="20"/>
        </w:rPr>
        <w:t>the</w:t>
      </w:r>
      <w:r>
        <w:rPr>
          <w:rFonts w:ascii="Arial" w:hAnsi="Arial" w:cs="Arial"/>
          <w:color w:val="000000" w:themeColor="text1"/>
          <w:sz w:val="20"/>
          <w:szCs w:val="20"/>
        </w:rPr>
        <w:t xml:space="preserve"> Bills, the amount of carbon reduction would be adjusted on 1 July and 1 January each year. </w:t>
      </w:r>
    </w:p>
    <w:p w:rsidR="007A530A" w:rsidRDefault="007A530A" w:rsidP="00C04619">
      <w:pPr>
        <w:rPr>
          <w:rFonts w:ascii="Arial" w:hAnsi="Arial" w:cs="Arial"/>
          <w:color w:val="000000" w:themeColor="text1"/>
          <w:sz w:val="20"/>
          <w:szCs w:val="20"/>
        </w:rPr>
      </w:pPr>
    </w:p>
    <w:p w:rsidR="007A530A" w:rsidRDefault="007A530A" w:rsidP="00C04619">
      <w:pPr>
        <w:rPr>
          <w:rFonts w:ascii="Arial" w:hAnsi="Arial" w:cs="Arial"/>
          <w:color w:val="000000" w:themeColor="text1"/>
          <w:sz w:val="20"/>
          <w:szCs w:val="20"/>
        </w:rPr>
      </w:pPr>
      <w:r>
        <w:rPr>
          <w:rFonts w:ascii="Arial" w:hAnsi="Arial" w:cs="Arial"/>
          <w:color w:val="000000" w:themeColor="text1"/>
          <w:sz w:val="20"/>
          <w:szCs w:val="20"/>
        </w:rPr>
        <w:t xml:space="preserve">Under section 196 of the </w:t>
      </w:r>
      <w:r w:rsidRPr="00BB5576">
        <w:rPr>
          <w:rFonts w:ascii="Arial" w:hAnsi="Arial" w:cs="Arial"/>
          <w:i/>
          <w:color w:val="000000" w:themeColor="text1"/>
          <w:sz w:val="20"/>
          <w:szCs w:val="20"/>
        </w:rPr>
        <w:t xml:space="preserve">Clean Energy </w:t>
      </w:r>
      <w:r w:rsidR="00311797">
        <w:rPr>
          <w:rFonts w:ascii="Arial" w:hAnsi="Arial" w:cs="Arial"/>
          <w:i/>
          <w:color w:val="000000" w:themeColor="text1"/>
          <w:sz w:val="20"/>
          <w:szCs w:val="20"/>
        </w:rPr>
        <w:t>Act</w:t>
      </w:r>
      <w:r w:rsidRPr="00BB5576">
        <w:rPr>
          <w:rFonts w:ascii="Arial" w:hAnsi="Arial" w:cs="Arial"/>
          <w:i/>
          <w:color w:val="000000" w:themeColor="text1"/>
          <w:sz w:val="20"/>
          <w:szCs w:val="20"/>
        </w:rPr>
        <w:t xml:space="preserve"> 2011</w:t>
      </w:r>
      <w:r>
        <w:rPr>
          <w:rFonts w:ascii="Arial" w:hAnsi="Arial" w:cs="Arial"/>
          <w:color w:val="000000" w:themeColor="text1"/>
          <w:sz w:val="20"/>
          <w:szCs w:val="20"/>
        </w:rPr>
        <w:t xml:space="preserve">, the carbon price regulator would </w:t>
      </w:r>
      <w:r w:rsidR="00BB5576">
        <w:rPr>
          <w:rFonts w:ascii="Arial" w:hAnsi="Arial" w:cs="Arial"/>
          <w:color w:val="000000" w:themeColor="text1"/>
          <w:sz w:val="20"/>
          <w:szCs w:val="20"/>
        </w:rPr>
        <w:t>publish</w:t>
      </w:r>
      <w:r>
        <w:rPr>
          <w:rFonts w:ascii="Arial" w:hAnsi="Arial" w:cs="Arial"/>
          <w:color w:val="000000" w:themeColor="text1"/>
          <w:sz w:val="20"/>
          <w:szCs w:val="20"/>
        </w:rPr>
        <w:t xml:space="preserve"> the </w:t>
      </w:r>
      <w:r w:rsidR="00BB5576">
        <w:rPr>
          <w:rFonts w:ascii="Arial" w:hAnsi="Arial" w:cs="Arial"/>
          <w:color w:val="000000" w:themeColor="text1"/>
          <w:sz w:val="20"/>
          <w:szCs w:val="20"/>
        </w:rPr>
        <w:t xml:space="preserve">official </w:t>
      </w:r>
      <w:r>
        <w:rPr>
          <w:rFonts w:ascii="Arial" w:hAnsi="Arial" w:cs="Arial"/>
          <w:color w:val="000000" w:themeColor="text1"/>
          <w:sz w:val="20"/>
          <w:szCs w:val="20"/>
        </w:rPr>
        <w:t xml:space="preserve">versions of those average figures within seven days of the end of May and November. </w:t>
      </w:r>
    </w:p>
    <w:p w:rsidR="002650CE" w:rsidRDefault="002650CE" w:rsidP="00C04619">
      <w:pPr>
        <w:rPr>
          <w:rFonts w:ascii="Arial" w:hAnsi="Arial" w:cs="Arial"/>
          <w:color w:val="000000" w:themeColor="text1"/>
          <w:sz w:val="20"/>
          <w:szCs w:val="20"/>
        </w:rPr>
      </w:pPr>
    </w:p>
    <w:p w:rsidR="002650CE" w:rsidRDefault="002650CE" w:rsidP="00C04619">
      <w:pPr>
        <w:rPr>
          <w:rFonts w:ascii="Arial" w:hAnsi="Arial" w:cs="Arial"/>
          <w:color w:val="000000" w:themeColor="text1"/>
          <w:sz w:val="20"/>
          <w:szCs w:val="20"/>
        </w:rPr>
      </w:pPr>
      <w:r>
        <w:rPr>
          <w:rFonts w:ascii="Arial" w:hAnsi="Arial" w:cs="Arial"/>
          <w:color w:val="000000" w:themeColor="text1"/>
          <w:sz w:val="20"/>
          <w:szCs w:val="20"/>
        </w:rPr>
        <w:t>This will give businesses about three weeks to notify their customers and adjust their rates before the effective fuel tax rate</w:t>
      </w:r>
      <w:r w:rsidR="00640EF1">
        <w:rPr>
          <w:rFonts w:ascii="Arial" w:hAnsi="Arial" w:cs="Arial"/>
          <w:color w:val="000000" w:themeColor="text1"/>
          <w:sz w:val="20"/>
          <w:szCs w:val="20"/>
        </w:rPr>
        <w:t xml:space="preserve"> changes</w:t>
      </w:r>
      <w:r>
        <w:rPr>
          <w:rFonts w:ascii="Arial" w:hAnsi="Arial" w:cs="Arial"/>
          <w:color w:val="000000" w:themeColor="text1"/>
          <w:sz w:val="20"/>
          <w:szCs w:val="20"/>
        </w:rPr>
        <w:t xml:space="preserve"> on 1 </w:t>
      </w:r>
      <w:r w:rsidR="00BB5576">
        <w:rPr>
          <w:rFonts w:ascii="Arial" w:hAnsi="Arial" w:cs="Arial"/>
          <w:color w:val="000000" w:themeColor="text1"/>
          <w:sz w:val="20"/>
          <w:szCs w:val="20"/>
        </w:rPr>
        <w:t>July</w:t>
      </w:r>
      <w:r>
        <w:rPr>
          <w:rFonts w:ascii="Arial" w:hAnsi="Arial" w:cs="Arial"/>
          <w:color w:val="000000" w:themeColor="text1"/>
          <w:sz w:val="20"/>
          <w:szCs w:val="20"/>
        </w:rPr>
        <w:t xml:space="preserve"> or 1 </w:t>
      </w:r>
      <w:r w:rsidR="00D425CD">
        <w:rPr>
          <w:rFonts w:ascii="Arial" w:hAnsi="Arial" w:cs="Arial"/>
          <w:color w:val="000000" w:themeColor="text1"/>
          <w:sz w:val="20"/>
          <w:szCs w:val="20"/>
        </w:rPr>
        <w:t>January</w:t>
      </w:r>
      <w:r>
        <w:rPr>
          <w:rFonts w:ascii="Arial" w:hAnsi="Arial" w:cs="Arial"/>
          <w:color w:val="000000" w:themeColor="text1"/>
          <w:sz w:val="20"/>
          <w:szCs w:val="20"/>
        </w:rPr>
        <w:t xml:space="preserve">. </w:t>
      </w:r>
    </w:p>
    <w:p w:rsidR="002650CE" w:rsidRDefault="002650CE" w:rsidP="00C04619">
      <w:pPr>
        <w:rPr>
          <w:rFonts w:ascii="Arial" w:hAnsi="Arial" w:cs="Arial"/>
          <w:color w:val="000000" w:themeColor="text1"/>
          <w:sz w:val="20"/>
          <w:szCs w:val="20"/>
        </w:rPr>
      </w:pPr>
    </w:p>
    <w:p w:rsidR="002650CE" w:rsidRDefault="002650CE" w:rsidP="00C04619">
      <w:pPr>
        <w:rPr>
          <w:rFonts w:ascii="Arial" w:hAnsi="Arial" w:cs="Arial"/>
          <w:color w:val="000000" w:themeColor="text1"/>
          <w:sz w:val="20"/>
          <w:szCs w:val="20"/>
        </w:rPr>
      </w:pPr>
      <w:r>
        <w:rPr>
          <w:rFonts w:ascii="Arial" w:hAnsi="Arial" w:cs="Arial"/>
          <w:color w:val="000000" w:themeColor="text1"/>
          <w:sz w:val="20"/>
          <w:szCs w:val="20"/>
        </w:rPr>
        <w:t>This would mean contract arrangements would have to change</w:t>
      </w:r>
      <w:r w:rsidR="00BA6396">
        <w:rPr>
          <w:rFonts w:ascii="Arial" w:hAnsi="Arial" w:cs="Arial"/>
          <w:color w:val="000000" w:themeColor="text1"/>
          <w:sz w:val="20"/>
          <w:szCs w:val="20"/>
        </w:rPr>
        <w:t xml:space="preserve"> </w:t>
      </w:r>
      <w:r w:rsidR="00640EF1">
        <w:rPr>
          <w:rFonts w:ascii="Arial" w:hAnsi="Arial" w:cs="Arial"/>
          <w:color w:val="000000" w:themeColor="text1"/>
          <w:sz w:val="20"/>
          <w:szCs w:val="20"/>
        </w:rPr>
        <w:t xml:space="preserve">drastically </w:t>
      </w:r>
      <w:r w:rsidR="00BA6396">
        <w:rPr>
          <w:rFonts w:ascii="Arial" w:hAnsi="Arial" w:cs="Arial"/>
          <w:color w:val="000000" w:themeColor="text1"/>
          <w:sz w:val="20"/>
          <w:szCs w:val="20"/>
        </w:rPr>
        <w:t xml:space="preserve">for the trucking industry and </w:t>
      </w:r>
      <w:r w:rsidR="00640EF1">
        <w:rPr>
          <w:rFonts w:ascii="Arial" w:hAnsi="Arial" w:cs="Arial"/>
          <w:color w:val="000000" w:themeColor="text1"/>
          <w:sz w:val="20"/>
          <w:szCs w:val="20"/>
        </w:rPr>
        <w:t>its clients</w:t>
      </w:r>
      <w:r w:rsidR="00BA6396">
        <w:rPr>
          <w:rFonts w:ascii="Arial" w:hAnsi="Arial" w:cs="Arial"/>
          <w:color w:val="000000" w:themeColor="text1"/>
          <w:sz w:val="20"/>
          <w:szCs w:val="20"/>
        </w:rPr>
        <w:t xml:space="preserve">.  It would also </w:t>
      </w:r>
      <w:r w:rsidR="00640EF1">
        <w:rPr>
          <w:rFonts w:ascii="Arial" w:hAnsi="Arial" w:cs="Arial"/>
          <w:color w:val="000000" w:themeColor="text1"/>
          <w:sz w:val="20"/>
          <w:szCs w:val="20"/>
        </w:rPr>
        <w:t>compromise</w:t>
      </w:r>
      <w:r w:rsidR="00BA6396">
        <w:rPr>
          <w:rFonts w:ascii="Arial" w:hAnsi="Arial" w:cs="Arial"/>
          <w:color w:val="000000" w:themeColor="text1"/>
          <w:sz w:val="20"/>
          <w:szCs w:val="20"/>
        </w:rPr>
        <w:t xml:space="preserve"> </w:t>
      </w:r>
      <w:r w:rsidR="00640EF1">
        <w:rPr>
          <w:rFonts w:ascii="Arial" w:hAnsi="Arial" w:cs="Arial"/>
          <w:color w:val="000000" w:themeColor="text1"/>
          <w:sz w:val="20"/>
          <w:szCs w:val="20"/>
        </w:rPr>
        <w:t xml:space="preserve">business </w:t>
      </w:r>
      <w:r w:rsidR="00BA6396">
        <w:rPr>
          <w:rFonts w:ascii="Arial" w:hAnsi="Arial" w:cs="Arial"/>
          <w:color w:val="000000" w:themeColor="text1"/>
          <w:sz w:val="20"/>
          <w:szCs w:val="20"/>
        </w:rPr>
        <w:t xml:space="preserve">forecasts of turnover and profit </w:t>
      </w:r>
      <w:r w:rsidR="00640EF1">
        <w:rPr>
          <w:rFonts w:ascii="Arial" w:hAnsi="Arial" w:cs="Arial"/>
          <w:color w:val="000000" w:themeColor="text1"/>
          <w:sz w:val="20"/>
          <w:szCs w:val="20"/>
        </w:rPr>
        <w:t>since</w:t>
      </w:r>
      <w:r w:rsidR="003E020A">
        <w:rPr>
          <w:rFonts w:ascii="Arial" w:hAnsi="Arial" w:cs="Arial"/>
          <w:color w:val="000000" w:themeColor="text1"/>
          <w:sz w:val="20"/>
          <w:szCs w:val="20"/>
        </w:rPr>
        <w:t xml:space="preserve"> rates</w:t>
      </w:r>
      <w:r w:rsidR="00640EF1">
        <w:rPr>
          <w:rFonts w:ascii="Arial" w:hAnsi="Arial" w:cs="Arial"/>
          <w:color w:val="000000" w:themeColor="text1"/>
          <w:sz w:val="20"/>
          <w:szCs w:val="20"/>
        </w:rPr>
        <w:t xml:space="preserve"> would only be stable for six</w:t>
      </w:r>
      <w:r w:rsidR="00BA6396">
        <w:rPr>
          <w:rFonts w:ascii="Arial" w:hAnsi="Arial" w:cs="Arial"/>
          <w:color w:val="000000" w:themeColor="text1"/>
          <w:sz w:val="20"/>
          <w:szCs w:val="20"/>
        </w:rPr>
        <w:t xml:space="preserve"> months. </w:t>
      </w:r>
      <w:r>
        <w:rPr>
          <w:rFonts w:ascii="Arial" w:hAnsi="Arial" w:cs="Arial"/>
          <w:color w:val="000000" w:themeColor="text1"/>
          <w:sz w:val="20"/>
          <w:szCs w:val="20"/>
        </w:rPr>
        <w:t xml:space="preserve"> </w:t>
      </w:r>
    </w:p>
    <w:p w:rsidR="002650CE" w:rsidRDefault="002650CE" w:rsidP="00C04619">
      <w:pPr>
        <w:rPr>
          <w:rFonts w:ascii="Arial" w:hAnsi="Arial" w:cs="Arial"/>
          <w:color w:val="000000" w:themeColor="text1"/>
          <w:sz w:val="20"/>
          <w:szCs w:val="20"/>
        </w:rPr>
      </w:pPr>
    </w:p>
    <w:p w:rsidR="002650CE" w:rsidRDefault="002650CE" w:rsidP="00C04619">
      <w:pPr>
        <w:rPr>
          <w:rFonts w:ascii="Arial" w:hAnsi="Arial" w:cs="Arial"/>
          <w:color w:val="000000" w:themeColor="text1"/>
          <w:sz w:val="20"/>
          <w:szCs w:val="20"/>
        </w:rPr>
      </w:pPr>
      <w:r>
        <w:rPr>
          <w:rFonts w:ascii="Arial" w:hAnsi="Arial" w:cs="Arial"/>
          <w:color w:val="000000" w:themeColor="text1"/>
          <w:sz w:val="20"/>
          <w:szCs w:val="20"/>
        </w:rPr>
        <w:t xml:space="preserve">The trucking industry is diverse, and </w:t>
      </w:r>
      <w:r w:rsidR="00640EF1">
        <w:rPr>
          <w:rFonts w:ascii="Arial" w:hAnsi="Arial" w:cs="Arial"/>
          <w:color w:val="000000" w:themeColor="text1"/>
          <w:sz w:val="20"/>
          <w:szCs w:val="20"/>
        </w:rPr>
        <w:t>uses</w:t>
      </w:r>
      <w:r w:rsidR="00BB5576">
        <w:rPr>
          <w:rFonts w:ascii="Arial" w:hAnsi="Arial" w:cs="Arial"/>
          <w:color w:val="000000" w:themeColor="text1"/>
          <w:sz w:val="20"/>
          <w:szCs w:val="20"/>
        </w:rPr>
        <w:t xml:space="preserve"> many</w:t>
      </w:r>
      <w:r>
        <w:rPr>
          <w:rFonts w:ascii="Arial" w:hAnsi="Arial" w:cs="Arial"/>
          <w:color w:val="000000" w:themeColor="text1"/>
          <w:sz w:val="20"/>
          <w:szCs w:val="20"/>
        </w:rPr>
        <w:t xml:space="preserve"> mechanism</w:t>
      </w:r>
      <w:r w:rsidR="00BB5576">
        <w:rPr>
          <w:rFonts w:ascii="Arial" w:hAnsi="Arial" w:cs="Arial"/>
          <w:color w:val="000000" w:themeColor="text1"/>
          <w:sz w:val="20"/>
          <w:szCs w:val="20"/>
        </w:rPr>
        <w:t xml:space="preserve">s that are </w:t>
      </w:r>
      <w:r>
        <w:rPr>
          <w:rFonts w:ascii="Arial" w:hAnsi="Arial" w:cs="Arial"/>
          <w:color w:val="000000" w:themeColor="text1"/>
          <w:sz w:val="20"/>
          <w:szCs w:val="20"/>
        </w:rPr>
        <w:t xml:space="preserve">used to set freight rates and fuel surcharges. Different sectors </w:t>
      </w:r>
      <w:r w:rsidR="00213A18">
        <w:rPr>
          <w:rFonts w:ascii="Arial" w:hAnsi="Arial" w:cs="Arial"/>
          <w:color w:val="000000" w:themeColor="text1"/>
          <w:sz w:val="20"/>
          <w:szCs w:val="20"/>
        </w:rPr>
        <w:t>of the</w:t>
      </w:r>
      <w:r>
        <w:rPr>
          <w:rFonts w:ascii="Arial" w:hAnsi="Arial" w:cs="Arial"/>
          <w:color w:val="000000" w:themeColor="text1"/>
          <w:sz w:val="20"/>
          <w:szCs w:val="20"/>
        </w:rPr>
        <w:t xml:space="preserve"> industry take very different approaches to price setting. However, regardless of the sector or the mechanism </w:t>
      </w:r>
      <w:r w:rsidR="00C3453C">
        <w:rPr>
          <w:rFonts w:ascii="Arial" w:hAnsi="Arial" w:cs="Arial"/>
          <w:color w:val="000000" w:themeColor="text1"/>
          <w:sz w:val="20"/>
          <w:szCs w:val="20"/>
        </w:rPr>
        <w:t>for setting rates, it is very difficult for businesses to adjust their rates within the three week period e</w:t>
      </w:r>
      <w:r w:rsidR="00213A18">
        <w:rPr>
          <w:rFonts w:ascii="Arial" w:hAnsi="Arial" w:cs="Arial"/>
          <w:color w:val="000000" w:themeColor="text1"/>
          <w:sz w:val="20"/>
          <w:szCs w:val="20"/>
        </w:rPr>
        <w:t>nvisaged</w:t>
      </w:r>
      <w:r w:rsidR="00C3453C">
        <w:rPr>
          <w:rFonts w:ascii="Arial" w:hAnsi="Arial" w:cs="Arial"/>
          <w:color w:val="000000" w:themeColor="text1"/>
          <w:sz w:val="20"/>
          <w:szCs w:val="20"/>
        </w:rPr>
        <w:t xml:space="preserve"> by the Bills. </w:t>
      </w:r>
    </w:p>
    <w:p w:rsidR="00580F20" w:rsidRDefault="00580F20" w:rsidP="00C04619">
      <w:pPr>
        <w:rPr>
          <w:rFonts w:ascii="Arial" w:hAnsi="Arial" w:cs="Arial"/>
          <w:color w:val="000000" w:themeColor="text1"/>
          <w:sz w:val="20"/>
          <w:szCs w:val="20"/>
        </w:rPr>
      </w:pPr>
    </w:p>
    <w:p w:rsidR="004D0B01" w:rsidRPr="00311797" w:rsidRDefault="00243A41" w:rsidP="00C04619">
      <w:pPr>
        <w:rPr>
          <w:rFonts w:ascii="Arial" w:hAnsi="Arial" w:cs="Arial"/>
          <w:color w:val="000000" w:themeColor="text1"/>
          <w:sz w:val="20"/>
          <w:szCs w:val="20"/>
          <w:u w:val="single"/>
        </w:rPr>
      </w:pPr>
      <w:r>
        <w:rPr>
          <w:rFonts w:ascii="Arial" w:hAnsi="Arial" w:cs="Arial"/>
          <w:color w:val="000000" w:themeColor="text1"/>
          <w:sz w:val="20"/>
          <w:szCs w:val="20"/>
          <w:u w:val="single"/>
        </w:rPr>
        <w:t>Contracting</w:t>
      </w:r>
      <w:r w:rsidR="00311797" w:rsidRPr="00311797">
        <w:rPr>
          <w:rFonts w:ascii="Arial" w:hAnsi="Arial" w:cs="Arial"/>
          <w:color w:val="000000" w:themeColor="text1"/>
          <w:sz w:val="20"/>
          <w:szCs w:val="20"/>
          <w:u w:val="single"/>
        </w:rPr>
        <w:t xml:space="preserve"> on a per job basis</w:t>
      </w:r>
    </w:p>
    <w:p w:rsidR="004D0B01" w:rsidRDefault="004D0B01" w:rsidP="00C04619">
      <w:pPr>
        <w:rPr>
          <w:rFonts w:ascii="Arial" w:hAnsi="Arial" w:cs="Arial"/>
          <w:color w:val="000000" w:themeColor="text1"/>
          <w:sz w:val="20"/>
          <w:szCs w:val="20"/>
        </w:rPr>
      </w:pPr>
    </w:p>
    <w:p w:rsidR="004D0B01" w:rsidRPr="00D4023E" w:rsidRDefault="00580F20" w:rsidP="00D4023E">
      <w:pPr>
        <w:rPr>
          <w:rFonts w:ascii="Arial" w:hAnsi="Arial" w:cs="Arial"/>
          <w:color w:val="000000" w:themeColor="text1"/>
          <w:sz w:val="20"/>
          <w:szCs w:val="20"/>
        </w:rPr>
      </w:pPr>
      <w:r>
        <w:rPr>
          <w:rFonts w:ascii="Arial" w:hAnsi="Arial" w:cs="Arial"/>
          <w:color w:val="000000" w:themeColor="text1"/>
          <w:sz w:val="20"/>
          <w:szCs w:val="20"/>
        </w:rPr>
        <w:t>The livestock transport sector commo</w:t>
      </w:r>
      <w:r w:rsidR="004D0B01">
        <w:rPr>
          <w:rFonts w:ascii="Arial" w:hAnsi="Arial" w:cs="Arial"/>
          <w:color w:val="000000" w:themeColor="text1"/>
          <w:sz w:val="20"/>
          <w:szCs w:val="20"/>
        </w:rPr>
        <w:t xml:space="preserve">nly sets freight rates on a per-job basis between the trucking operator and the primary producer involved. </w:t>
      </w:r>
      <w:r w:rsidR="004D0B01">
        <w:rPr>
          <w:rFonts w:ascii="Arial" w:hAnsi="Arial" w:cs="Arial"/>
          <w:sz w:val="20"/>
          <w:szCs w:val="20"/>
          <w:lang w:eastAsia="en-AU"/>
        </w:rPr>
        <w:t>Long-term contracts are not common, even among larger operators.</w:t>
      </w:r>
    </w:p>
    <w:p w:rsid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The agreed price is often struck on the basis of what seems fair given the relationship between the transporter and the primary producer rather than </w:t>
      </w:r>
      <w:r w:rsidR="00213A18">
        <w:rPr>
          <w:rFonts w:ascii="Arial" w:hAnsi="Arial" w:cs="Arial"/>
          <w:sz w:val="20"/>
          <w:szCs w:val="20"/>
          <w:lang w:eastAsia="en-AU"/>
        </w:rPr>
        <w:t xml:space="preserve">on </w:t>
      </w:r>
      <w:r>
        <w:rPr>
          <w:rFonts w:ascii="Arial" w:hAnsi="Arial" w:cs="Arial"/>
          <w:sz w:val="20"/>
          <w:szCs w:val="20"/>
          <w:lang w:eastAsia="en-AU"/>
        </w:rPr>
        <w:t xml:space="preserve">a </w:t>
      </w:r>
      <w:r w:rsidR="00213A18">
        <w:rPr>
          <w:rFonts w:ascii="Arial" w:hAnsi="Arial" w:cs="Arial"/>
          <w:sz w:val="20"/>
          <w:szCs w:val="20"/>
          <w:lang w:eastAsia="en-AU"/>
        </w:rPr>
        <w:t>prescribed</w:t>
      </w:r>
      <w:r>
        <w:rPr>
          <w:rFonts w:ascii="Arial" w:hAnsi="Arial" w:cs="Arial"/>
          <w:sz w:val="20"/>
          <w:szCs w:val="20"/>
          <w:lang w:eastAsia="en-AU"/>
        </w:rPr>
        <w:t xml:space="preserve"> calculation of costs and profit margins. As primary producers are in a trade-exposed industry, livestock transporters find it </w:t>
      </w:r>
      <w:r w:rsidR="00213A18">
        <w:rPr>
          <w:rFonts w:ascii="Arial" w:hAnsi="Arial" w:cs="Arial"/>
          <w:sz w:val="20"/>
          <w:szCs w:val="20"/>
          <w:lang w:eastAsia="en-AU"/>
        </w:rPr>
        <w:t>may take</w:t>
      </w:r>
      <w:r>
        <w:rPr>
          <w:rFonts w:ascii="Arial" w:hAnsi="Arial" w:cs="Arial"/>
          <w:sz w:val="20"/>
          <w:szCs w:val="20"/>
          <w:lang w:eastAsia="en-AU"/>
        </w:rPr>
        <w:t xml:space="preserve"> a lengthy period to persuade </w:t>
      </w:r>
      <w:r w:rsidR="00213A18">
        <w:rPr>
          <w:rFonts w:ascii="Arial" w:hAnsi="Arial" w:cs="Arial"/>
          <w:sz w:val="20"/>
          <w:szCs w:val="20"/>
          <w:lang w:eastAsia="en-AU"/>
        </w:rPr>
        <w:t>customers</w:t>
      </w:r>
      <w:r>
        <w:rPr>
          <w:rFonts w:ascii="Arial" w:hAnsi="Arial" w:cs="Arial"/>
          <w:sz w:val="20"/>
          <w:szCs w:val="20"/>
          <w:lang w:eastAsia="en-AU"/>
        </w:rPr>
        <w:t xml:space="preserve"> to accept an adjustment in their rate.</w:t>
      </w:r>
    </w:p>
    <w:p w:rsidR="00D425CD" w:rsidRDefault="00D425CD" w:rsidP="00D425CD">
      <w:pPr>
        <w:autoSpaceDE w:val="0"/>
        <w:autoSpaceDN w:val="0"/>
        <w:adjustRightInd w:val="0"/>
        <w:rPr>
          <w:rFonts w:ascii="Arial" w:hAnsi="Arial" w:cs="Arial"/>
          <w:sz w:val="20"/>
          <w:szCs w:val="20"/>
          <w:lang w:eastAsia="en-AU"/>
        </w:rPr>
      </w:pPr>
    </w:p>
    <w:p w:rsidR="00D425CD" w:rsidRDefault="00213A18"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Such businesses</w:t>
      </w:r>
      <w:r w:rsidR="00D425CD">
        <w:rPr>
          <w:rFonts w:ascii="Arial" w:hAnsi="Arial" w:cs="Arial"/>
          <w:sz w:val="20"/>
          <w:szCs w:val="20"/>
          <w:lang w:eastAsia="en-AU"/>
        </w:rPr>
        <w:t xml:space="preserve"> need to know about carbon reduction adjustments as far ahead as possible. Ideally, those adjustments need to occur at the same time as other tax changes, so both customers and operators are focused on tax issues when they talk about the price of the next job.</w:t>
      </w:r>
    </w:p>
    <w:p w:rsidR="00D425CD" w:rsidRDefault="00D425CD" w:rsidP="00D425CD">
      <w:pPr>
        <w:autoSpaceDE w:val="0"/>
        <w:autoSpaceDN w:val="0"/>
        <w:adjustRightInd w:val="0"/>
        <w:rPr>
          <w:rFonts w:ascii="Arial" w:hAnsi="Arial" w:cs="Arial"/>
          <w:i/>
          <w:iCs/>
          <w:sz w:val="20"/>
          <w:szCs w:val="20"/>
          <w:lang w:eastAsia="en-AU"/>
        </w:rPr>
      </w:pPr>
    </w:p>
    <w:p w:rsidR="00311797" w:rsidRPr="00311797" w:rsidRDefault="00311797" w:rsidP="00D425CD">
      <w:pPr>
        <w:autoSpaceDE w:val="0"/>
        <w:autoSpaceDN w:val="0"/>
        <w:adjustRightInd w:val="0"/>
        <w:rPr>
          <w:rFonts w:ascii="Arial" w:hAnsi="Arial" w:cs="Arial"/>
          <w:iCs/>
          <w:sz w:val="20"/>
          <w:szCs w:val="20"/>
          <w:u w:val="single"/>
          <w:lang w:eastAsia="en-AU"/>
        </w:rPr>
      </w:pPr>
      <w:r w:rsidRPr="00311797">
        <w:rPr>
          <w:rFonts w:ascii="Arial" w:hAnsi="Arial" w:cs="Arial"/>
          <w:iCs/>
          <w:sz w:val="20"/>
          <w:szCs w:val="20"/>
          <w:u w:val="single"/>
          <w:lang w:eastAsia="en-AU"/>
        </w:rPr>
        <w:t>Fixed price contracts</w:t>
      </w:r>
    </w:p>
    <w:p w:rsidR="00311797" w:rsidRDefault="00311797" w:rsidP="00D425CD">
      <w:pPr>
        <w:autoSpaceDE w:val="0"/>
        <w:autoSpaceDN w:val="0"/>
        <w:adjustRightInd w:val="0"/>
        <w:rPr>
          <w:rFonts w:ascii="Arial" w:hAnsi="Arial" w:cs="Arial"/>
          <w:i/>
          <w:iCs/>
          <w:sz w:val="20"/>
          <w:szCs w:val="20"/>
          <w:lang w:eastAsia="en-AU"/>
        </w:rPr>
      </w:pPr>
    </w:p>
    <w:p w:rsidR="002650CE" w:rsidRP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In some sectors of the industry, including retail distribution, many ATA and association members work on fixed price contracts. These are typically struck once a year, and require the operator to forecast how its costs will change over the period.</w:t>
      </w:r>
    </w:p>
    <w:p w:rsidR="002650CE" w:rsidRDefault="002650CE" w:rsidP="00C04619">
      <w:pPr>
        <w:rPr>
          <w:rFonts w:ascii="Arial" w:hAnsi="Arial" w:cs="Arial"/>
          <w:color w:val="000000" w:themeColor="text1"/>
          <w:sz w:val="20"/>
          <w:szCs w:val="20"/>
        </w:rPr>
      </w:pPr>
    </w:p>
    <w:p w:rsidR="00D425CD" w:rsidRPr="00A036CA"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lastRenderedPageBreak/>
        <w:t>For example, some retail contracts only allow price changes every six months, so the retailer can offer customers fixed prices for a foreseeable period of time.</w:t>
      </w:r>
      <w:r w:rsidR="00213A18">
        <w:rPr>
          <w:rFonts w:ascii="Arial" w:hAnsi="Arial" w:cs="Arial"/>
          <w:sz w:val="20"/>
          <w:szCs w:val="20"/>
          <w:lang w:eastAsia="en-AU"/>
        </w:rPr>
        <w:t xml:space="preserve"> </w:t>
      </w:r>
      <w:r>
        <w:rPr>
          <w:rFonts w:ascii="Arial" w:hAnsi="Arial" w:cs="Arial"/>
          <w:sz w:val="20"/>
          <w:szCs w:val="20"/>
          <w:lang w:eastAsia="en-AU"/>
        </w:rPr>
        <w:t xml:space="preserve">Other contracts, such as the standard terms and conditions for a well known hardware retailer, require 45 </w:t>
      </w:r>
      <w:r w:rsidRPr="00A036CA">
        <w:rPr>
          <w:rFonts w:ascii="Arial" w:hAnsi="Arial" w:cs="Arial"/>
          <w:sz w:val="20"/>
          <w:szCs w:val="20"/>
          <w:lang w:eastAsia="en-AU"/>
        </w:rPr>
        <w:t>days notice of any price change and ban price changes during December-January.</w:t>
      </w:r>
    </w:p>
    <w:p w:rsidR="00D425CD" w:rsidRDefault="00D425CD" w:rsidP="00D425CD">
      <w:pPr>
        <w:autoSpaceDE w:val="0"/>
        <w:autoSpaceDN w:val="0"/>
        <w:adjustRightInd w:val="0"/>
        <w:rPr>
          <w:rFonts w:ascii="Arial" w:hAnsi="Arial" w:cs="Arial"/>
          <w:iCs/>
          <w:sz w:val="20"/>
          <w:szCs w:val="20"/>
          <w:lang w:eastAsia="en-AU"/>
        </w:rPr>
      </w:pPr>
    </w:p>
    <w:p w:rsidR="00213A18" w:rsidRPr="00213A18" w:rsidRDefault="00311797" w:rsidP="00D425CD">
      <w:pPr>
        <w:autoSpaceDE w:val="0"/>
        <w:autoSpaceDN w:val="0"/>
        <w:adjustRightInd w:val="0"/>
        <w:rPr>
          <w:rFonts w:ascii="Arial" w:hAnsi="Arial" w:cs="Arial"/>
          <w:iCs/>
          <w:sz w:val="20"/>
          <w:szCs w:val="20"/>
          <w:u w:val="single"/>
          <w:lang w:eastAsia="en-AU"/>
        </w:rPr>
      </w:pPr>
      <w:r>
        <w:rPr>
          <w:rFonts w:ascii="Arial" w:hAnsi="Arial" w:cs="Arial"/>
          <w:iCs/>
          <w:sz w:val="20"/>
          <w:szCs w:val="20"/>
          <w:u w:val="single"/>
          <w:lang w:eastAsia="en-AU"/>
        </w:rPr>
        <w:t>Fuel levies</w:t>
      </w:r>
    </w:p>
    <w:p w:rsidR="00213A18" w:rsidRPr="00A036CA" w:rsidRDefault="00213A18" w:rsidP="00D425CD">
      <w:pPr>
        <w:autoSpaceDE w:val="0"/>
        <w:autoSpaceDN w:val="0"/>
        <w:adjustRightInd w:val="0"/>
        <w:rPr>
          <w:rFonts w:ascii="Arial" w:hAnsi="Arial" w:cs="Arial"/>
          <w:iCs/>
          <w:sz w:val="20"/>
          <w:szCs w:val="20"/>
          <w:lang w:eastAsia="en-AU"/>
        </w:rPr>
      </w:pPr>
    </w:p>
    <w:p w:rsidR="00D425CD" w:rsidRPr="00213A18" w:rsidRDefault="004D0B01" w:rsidP="00D425CD">
      <w:pPr>
        <w:autoSpaceDE w:val="0"/>
        <w:autoSpaceDN w:val="0"/>
        <w:adjustRightInd w:val="0"/>
        <w:rPr>
          <w:rFonts w:ascii="Arial" w:hAnsi="Arial" w:cs="Arial"/>
          <w:iCs/>
          <w:sz w:val="20"/>
          <w:szCs w:val="20"/>
          <w:lang w:eastAsia="en-AU"/>
        </w:rPr>
      </w:pPr>
      <w:r w:rsidRPr="00A036CA">
        <w:rPr>
          <w:rFonts w:ascii="Arial" w:hAnsi="Arial" w:cs="Arial"/>
          <w:iCs/>
          <w:sz w:val="20"/>
          <w:szCs w:val="20"/>
          <w:lang w:eastAsia="en-AU"/>
        </w:rPr>
        <w:t xml:space="preserve">Fuel levies are also used by some businesses to deal with changing fuel prices, and changes to the fuel tax </w:t>
      </w:r>
      <w:r w:rsidRPr="00A036CA">
        <w:rPr>
          <w:rFonts w:ascii="Arial" w:hAnsi="Arial" w:cs="Arial"/>
          <w:sz w:val="20"/>
          <w:szCs w:val="20"/>
          <w:lang w:eastAsia="en-AU"/>
        </w:rPr>
        <w:t xml:space="preserve">credit rate. </w:t>
      </w:r>
      <w:r w:rsidR="00D425CD">
        <w:rPr>
          <w:rFonts w:ascii="Arial" w:hAnsi="Arial" w:cs="Arial"/>
          <w:sz w:val="20"/>
          <w:szCs w:val="20"/>
          <w:lang w:eastAsia="en-AU"/>
        </w:rPr>
        <w:t>Fuel levies are typically calculated as a percentage adjustment to the contracted rate, based on the change in the price of fuel and the fuel tax credit rate, as well as the contribution of fuel to the trucking company’s total costs.</w:t>
      </w:r>
    </w:p>
    <w:p w:rsidR="00D425CD" w:rsidRDefault="00D425CD" w:rsidP="00D425CD">
      <w:pPr>
        <w:autoSpaceDE w:val="0"/>
        <w:autoSpaceDN w:val="0"/>
        <w:adjustRightInd w:val="0"/>
        <w:rPr>
          <w:rFonts w:ascii="Arial" w:hAnsi="Arial" w:cs="Arial"/>
          <w:sz w:val="20"/>
          <w:szCs w:val="20"/>
          <w:lang w:eastAsia="en-AU"/>
        </w:rPr>
      </w:pPr>
    </w:p>
    <w:p w:rsid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Some ATA and association members adjust their fuel levies every week. Others make fortnightly or monthly adjustments.</w:t>
      </w:r>
      <w:r w:rsidR="00213A18">
        <w:rPr>
          <w:rFonts w:ascii="Arial" w:hAnsi="Arial" w:cs="Arial"/>
          <w:sz w:val="20"/>
          <w:szCs w:val="20"/>
          <w:lang w:eastAsia="en-AU"/>
        </w:rPr>
        <w:t xml:space="preserve"> </w:t>
      </w:r>
      <w:r>
        <w:rPr>
          <w:rFonts w:ascii="Arial" w:hAnsi="Arial" w:cs="Arial"/>
          <w:sz w:val="20"/>
          <w:szCs w:val="20"/>
          <w:lang w:eastAsia="en-AU"/>
        </w:rPr>
        <w:t>For subcontractors, fuel levies are often set by the prime contractor or even by the customer. The formulas used to determine these are not necessarily transparent.</w:t>
      </w:r>
    </w:p>
    <w:p w:rsidR="00D425CD" w:rsidRDefault="00D425CD" w:rsidP="00D425CD">
      <w:pPr>
        <w:autoSpaceDE w:val="0"/>
        <w:autoSpaceDN w:val="0"/>
        <w:adjustRightInd w:val="0"/>
        <w:rPr>
          <w:rFonts w:ascii="Arial" w:hAnsi="Arial" w:cs="Arial"/>
          <w:sz w:val="20"/>
          <w:szCs w:val="20"/>
          <w:lang w:eastAsia="en-AU"/>
        </w:rPr>
      </w:pPr>
    </w:p>
    <w:p w:rsidR="00D425CD" w:rsidRDefault="00D425CD" w:rsidP="002670B8">
      <w:pPr>
        <w:autoSpaceDE w:val="0"/>
        <w:autoSpaceDN w:val="0"/>
        <w:adjustRightInd w:val="0"/>
        <w:rPr>
          <w:rFonts w:ascii="Arial" w:hAnsi="Arial" w:cs="Arial"/>
          <w:sz w:val="20"/>
          <w:szCs w:val="20"/>
          <w:lang w:eastAsia="en-AU"/>
        </w:rPr>
      </w:pPr>
      <w:r>
        <w:rPr>
          <w:rFonts w:ascii="Arial" w:hAnsi="Arial" w:cs="Arial"/>
          <w:sz w:val="20"/>
          <w:szCs w:val="20"/>
          <w:lang w:eastAsia="en-AU"/>
        </w:rPr>
        <w:t>The ATA’s feedback from its members and association members is that three weeks’ notice is not long enough for most businesses to secure fuel levy adjustments from their customers.</w:t>
      </w:r>
    </w:p>
    <w:p w:rsidR="00213A18" w:rsidRDefault="00213A18" w:rsidP="002670B8">
      <w:pPr>
        <w:autoSpaceDE w:val="0"/>
        <w:autoSpaceDN w:val="0"/>
        <w:adjustRightInd w:val="0"/>
        <w:rPr>
          <w:rFonts w:ascii="Arial" w:hAnsi="Arial" w:cs="Arial"/>
          <w:sz w:val="20"/>
          <w:szCs w:val="20"/>
          <w:lang w:eastAsia="en-AU"/>
        </w:rPr>
      </w:pPr>
    </w:p>
    <w:p w:rsidR="00213A18" w:rsidRPr="00213A18" w:rsidRDefault="00311797" w:rsidP="002670B8">
      <w:pPr>
        <w:autoSpaceDE w:val="0"/>
        <w:autoSpaceDN w:val="0"/>
        <w:adjustRightInd w:val="0"/>
        <w:rPr>
          <w:rFonts w:ascii="Arial" w:hAnsi="Arial" w:cs="Arial"/>
          <w:sz w:val="20"/>
          <w:szCs w:val="20"/>
          <w:u w:val="single"/>
          <w:lang w:eastAsia="en-AU"/>
        </w:rPr>
      </w:pPr>
      <w:r>
        <w:rPr>
          <w:rFonts w:ascii="Arial" w:hAnsi="Arial" w:cs="Arial"/>
          <w:sz w:val="20"/>
          <w:szCs w:val="20"/>
          <w:u w:val="single"/>
          <w:lang w:eastAsia="en-AU"/>
        </w:rPr>
        <w:t>Arbitrated freight rates</w:t>
      </w:r>
    </w:p>
    <w:p w:rsidR="00D425CD" w:rsidRDefault="00D425CD" w:rsidP="00D425CD">
      <w:pPr>
        <w:autoSpaceDE w:val="0"/>
        <w:autoSpaceDN w:val="0"/>
        <w:adjustRightInd w:val="0"/>
        <w:rPr>
          <w:rFonts w:ascii="Arial" w:hAnsi="Arial" w:cs="Arial"/>
          <w:i/>
          <w:iCs/>
          <w:sz w:val="20"/>
          <w:szCs w:val="20"/>
          <w:lang w:eastAsia="en-AU"/>
        </w:rPr>
      </w:pPr>
    </w:p>
    <w:p w:rsidR="00D425CD" w:rsidRPr="00213A18" w:rsidRDefault="004D0B01" w:rsidP="00D425CD">
      <w:pPr>
        <w:autoSpaceDE w:val="0"/>
        <w:autoSpaceDN w:val="0"/>
        <w:adjustRightInd w:val="0"/>
        <w:rPr>
          <w:rFonts w:ascii="Arial" w:hAnsi="Arial" w:cs="Arial"/>
          <w:iCs/>
          <w:sz w:val="20"/>
          <w:szCs w:val="20"/>
          <w:lang w:eastAsia="en-AU"/>
        </w:rPr>
      </w:pPr>
      <w:r w:rsidRPr="00A036CA">
        <w:rPr>
          <w:rFonts w:ascii="Arial" w:hAnsi="Arial" w:cs="Arial"/>
          <w:iCs/>
          <w:sz w:val="20"/>
          <w:szCs w:val="20"/>
          <w:lang w:eastAsia="en-AU"/>
        </w:rPr>
        <w:t xml:space="preserve">Finally, state legislation </w:t>
      </w:r>
      <w:r w:rsidR="002670B8" w:rsidRPr="00A036CA">
        <w:rPr>
          <w:rFonts w:ascii="Arial" w:hAnsi="Arial" w:cs="Arial"/>
          <w:iCs/>
          <w:sz w:val="20"/>
          <w:szCs w:val="20"/>
          <w:lang w:eastAsia="en-AU"/>
        </w:rPr>
        <w:t xml:space="preserve">which dictates contract practices of owner drivers </w:t>
      </w:r>
      <w:r w:rsidRPr="00A036CA">
        <w:rPr>
          <w:rFonts w:ascii="Arial" w:hAnsi="Arial" w:cs="Arial"/>
          <w:iCs/>
          <w:sz w:val="20"/>
          <w:szCs w:val="20"/>
          <w:lang w:eastAsia="en-AU"/>
        </w:rPr>
        <w:t xml:space="preserve">should be taken into account by the </w:t>
      </w:r>
      <w:r w:rsidR="002670B8" w:rsidRPr="00A036CA">
        <w:rPr>
          <w:rFonts w:ascii="Arial" w:hAnsi="Arial" w:cs="Arial"/>
          <w:iCs/>
          <w:sz w:val="20"/>
          <w:szCs w:val="20"/>
          <w:lang w:eastAsia="en-AU"/>
        </w:rPr>
        <w:t xml:space="preserve">Department.  </w:t>
      </w:r>
      <w:r w:rsidR="00D425CD" w:rsidRPr="00A036CA">
        <w:rPr>
          <w:rFonts w:ascii="Arial" w:hAnsi="Arial" w:cs="Arial"/>
          <w:sz w:val="20"/>
          <w:szCs w:val="20"/>
          <w:lang w:eastAsia="en-AU"/>
        </w:rPr>
        <w:t>NSW, Victoria and Western Australia have laws in place that regulate owner drivers. The Victorian and</w:t>
      </w:r>
      <w:r w:rsidR="002670B8" w:rsidRPr="00A036CA">
        <w:rPr>
          <w:rFonts w:ascii="Arial" w:hAnsi="Arial" w:cs="Arial"/>
          <w:iCs/>
          <w:sz w:val="20"/>
          <w:szCs w:val="20"/>
          <w:lang w:eastAsia="en-AU"/>
        </w:rPr>
        <w:t xml:space="preserve"> </w:t>
      </w:r>
      <w:r w:rsidR="00D425CD" w:rsidRPr="00A036CA">
        <w:rPr>
          <w:rFonts w:ascii="Arial" w:hAnsi="Arial" w:cs="Arial"/>
          <w:sz w:val="20"/>
          <w:szCs w:val="20"/>
          <w:lang w:eastAsia="en-AU"/>
        </w:rPr>
        <w:t>Western Australian laws set guideline rates; the NSW system involves the arbitration of award-like contract determinations.</w:t>
      </w:r>
      <w:r w:rsidR="00213A18">
        <w:rPr>
          <w:rFonts w:ascii="Arial" w:hAnsi="Arial" w:cs="Arial"/>
          <w:iCs/>
          <w:sz w:val="20"/>
          <w:szCs w:val="20"/>
          <w:lang w:eastAsia="en-AU"/>
        </w:rPr>
        <w:t xml:space="preserve"> </w:t>
      </w:r>
      <w:r w:rsidR="00D425CD">
        <w:rPr>
          <w:rFonts w:ascii="Arial" w:hAnsi="Arial" w:cs="Arial"/>
          <w:sz w:val="20"/>
          <w:szCs w:val="20"/>
          <w:lang w:eastAsia="en-AU"/>
        </w:rPr>
        <w:t>The freight rates in these contract determinations can be varied on application to the NSW Industrial Relations Commission. These applications can involve a considerable lead time.</w:t>
      </w:r>
    </w:p>
    <w:p w:rsidR="00D425CD" w:rsidRDefault="00D425CD" w:rsidP="00D425CD">
      <w:pPr>
        <w:autoSpaceDE w:val="0"/>
        <w:autoSpaceDN w:val="0"/>
        <w:adjustRightInd w:val="0"/>
        <w:rPr>
          <w:rFonts w:ascii="Arial" w:hAnsi="Arial" w:cs="Arial"/>
          <w:sz w:val="20"/>
          <w:szCs w:val="20"/>
          <w:lang w:eastAsia="en-AU"/>
        </w:rPr>
      </w:pPr>
    </w:p>
    <w:p w:rsid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For example, the General Carriers’ Contract Determination prescribes that the TWU can apply to the Commission for a variation in sufficient time for it to be made on or before 1 June and 1 December each year. These variations take into account movements in costs occurring up to the preceding 31 October (for the 1 December variation) or 30 April (for the 1 June variation).</w:t>
      </w:r>
    </w:p>
    <w:p w:rsidR="00D425CD" w:rsidRDefault="00D425CD" w:rsidP="00D425CD">
      <w:pPr>
        <w:autoSpaceDE w:val="0"/>
        <w:autoSpaceDN w:val="0"/>
        <w:adjustRightInd w:val="0"/>
        <w:rPr>
          <w:rFonts w:ascii="Arial" w:hAnsi="Arial" w:cs="Arial"/>
          <w:sz w:val="20"/>
          <w:szCs w:val="20"/>
          <w:lang w:eastAsia="en-AU"/>
        </w:rPr>
      </w:pPr>
    </w:p>
    <w:p w:rsid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These 1 June and 1 December dates have only rarely been met.</w:t>
      </w:r>
    </w:p>
    <w:p w:rsidR="00D425CD" w:rsidRDefault="00D425CD" w:rsidP="00D425CD">
      <w:pPr>
        <w:autoSpaceDE w:val="0"/>
        <w:autoSpaceDN w:val="0"/>
        <w:adjustRightInd w:val="0"/>
        <w:rPr>
          <w:rFonts w:ascii="Arial" w:hAnsi="Arial" w:cs="Arial"/>
          <w:sz w:val="20"/>
          <w:szCs w:val="20"/>
          <w:lang w:eastAsia="en-AU"/>
        </w:rPr>
      </w:pPr>
    </w:p>
    <w:p w:rsid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As with any tribunal process, there is often vigorous debate between the parties about the adjustment that should be applied. It is not unknown for these debates to take many months to be resolved as an adjustment to a determination. Determinations are likely to take even longer to adjust now most state awards have been replaced by modern awards under the national award system.</w:t>
      </w:r>
    </w:p>
    <w:p w:rsidR="00D425CD" w:rsidRDefault="00D425CD" w:rsidP="00D425CD">
      <w:pPr>
        <w:autoSpaceDE w:val="0"/>
        <w:autoSpaceDN w:val="0"/>
        <w:adjustRightInd w:val="0"/>
        <w:rPr>
          <w:rFonts w:ascii="Arial" w:hAnsi="Arial" w:cs="Arial"/>
          <w:sz w:val="20"/>
          <w:szCs w:val="20"/>
          <w:lang w:eastAsia="en-AU"/>
        </w:rPr>
      </w:pPr>
    </w:p>
    <w:p w:rsidR="00D425CD" w:rsidRPr="00D425CD" w:rsidRDefault="00D425CD" w:rsidP="00D425CD">
      <w:pPr>
        <w:autoSpaceDE w:val="0"/>
        <w:autoSpaceDN w:val="0"/>
        <w:adjustRightInd w:val="0"/>
        <w:rPr>
          <w:rFonts w:ascii="Arial" w:hAnsi="Arial" w:cs="Arial"/>
          <w:sz w:val="20"/>
          <w:szCs w:val="20"/>
          <w:lang w:eastAsia="en-AU"/>
        </w:rPr>
      </w:pPr>
      <w:r>
        <w:rPr>
          <w:rFonts w:ascii="Arial" w:hAnsi="Arial" w:cs="Arial"/>
          <w:sz w:val="20"/>
          <w:szCs w:val="20"/>
          <w:lang w:eastAsia="en-AU"/>
        </w:rPr>
        <w:t>It is most unlikely that the contract determination process in New South Wales could be timed to take place within a three week window in June and December each year.</w:t>
      </w:r>
    </w:p>
    <w:p w:rsidR="002670B8" w:rsidRPr="002670B8" w:rsidRDefault="002670B8" w:rsidP="002670B8">
      <w:pPr>
        <w:rPr>
          <w:rFonts w:ascii="Arial" w:hAnsi="Arial" w:cs="Arial"/>
          <w:color w:val="000000" w:themeColor="text1"/>
          <w:sz w:val="20"/>
          <w:szCs w:val="20"/>
        </w:rPr>
      </w:pPr>
    </w:p>
    <w:p w:rsidR="002670B8" w:rsidRDefault="002670B8" w:rsidP="002670B8">
      <w:pPr>
        <w:rPr>
          <w:rFonts w:ascii="Arial" w:hAnsi="Arial" w:cs="Arial"/>
          <w:color w:val="000000" w:themeColor="text1"/>
          <w:sz w:val="20"/>
          <w:szCs w:val="20"/>
        </w:rPr>
      </w:pPr>
      <w:r w:rsidRPr="002670B8">
        <w:rPr>
          <w:rFonts w:ascii="Arial" w:hAnsi="Arial" w:cs="Arial"/>
          <w:color w:val="000000" w:themeColor="text1"/>
          <w:sz w:val="20"/>
          <w:szCs w:val="20"/>
        </w:rPr>
        <w:t xml:space="preserve">It is clear from the review of trucking industry contracts that expecting businesses to adjust freight rates on </w:t>
      </w:r>
      <w:r w:rsidR="00213A18">
        <w:rPr>
          <w:rFonts w:ascii="Arial" w:hAnsi="Arial" w:cs="Arial"/>
          <w:color w:val="000000" w:themeColor="text1"/>
          <w:sz w:val="20"/>
          <w:szCs w:val="20"/>
        </w:rPr>
        <w:t xml:space="preserve">  </w:t>
      </w:r>
      <w:r w:rsidRPr="002670B8">
        <w:rPr>
          <w:rFonts w:ascii="Arial" w:hAnsi="Arial" w:cs="Arial"/>
          <w:color w:val="000000" w:themeColor="text1"/>
          <w:sz w:val="20"/>
          <w:szCs w:val="20"/>
        </w:rPr>
        <w:t>1 January with three weeks’ notice is unrealistic. Some contracts explicitly prevent rate changes during December and January, for sound business reasons.</w:t>
      </w:r>
    </w:p>
    <w:p w:rsidR="002670B8" w:rsidRPr="002670B8" w:rsidRDefault="002670B8" w:rsidP="002670B8">
      <w:pPr>
        <w:rPr>
          <w:rFonts w:ascii="Arial" w:hAnsi="Arial" w:cs="Arial"/>
          <w:color w:val="000000" w:themeColor="text1"/>
          <w:sz w:val="20"/>
          <w:szCs w:val="20"/>
        </w:rPr>
      </w:pPr>
    </w:p>
    <w:p w:rsidR="00D4023E" w:rsidRPr="00F44D64" w:rsidRDefault="002670B8" w:rsidP="002670B8">
      <w:pPr>
        <w:rPr>
          <w:rFonts w:ascii="Arial" w:hAnsi="Arial" w:cs="Arial"/>
          <w:iCs/>
          <w:color w:val="000000" w:themeColor="text1"/>
          <w:sz w:val="20"/>
          <w:szCs w:val="20"/>
        </w:rPr>
      </w:pPr>
      <w:r w:rsidRPr="005018B0">
        <w:rPr>
          <w:rFonts w:ascii="Arial" w:hAnsi="Arial" w:cs="Arial"/>
          <w:color w:val="000000" w:themeColor="text1"/>
          <w:sz w:val="20"/>
          <w:szCs w:val="20"/>
        </w:rPr>
        <w:t xml:space="preserve">The ATA considers that a better approach to adjusting and implementing the carbon </w:t>
      </w:r>
      <w:r w:rsidR="00213A18">
        <w:rPr>
          <w:rFonts w:ascii="Arial" w:hAnsi="Arial" w:cs="Arial"/>
          <w:color w:val="000000" w:themeColor="text1"/>
          <w:sz w:val="20"/>
          <w:szCs w:val="20"/>
        </w:rPr>
        <w:t>price</w:t>
      </w:r>
      <w:r w:rsidRPr="005018B0">
        <w:rPr>
          <w:rFonts w:ascii="Arial" w:hAnsi="Arial" w:cs="Arial"/>
          <w:color w:val="000000" w:themeColor="text1"/>
          <w:sz w:val="20"/>
          <w:szCs w:val="20"/>
        </w:rPr>
        <w:t xml:space="preserve"> amount would be to a</w:t>
      </w:r>
      <w:r w:rsidRPr="005018B0">
        <w:rPr>
          <w:rFonts w:ascii="Arial" w:hAnsi="Arial" w:cs="Arial"/>
          <w:iCs/>
          <w:color w:val="000000" w:themeColor="text1"/>
          <w:sz w:val="20"/>
          <w:szCs w:val="20"/>
        </w:rPr>
        <w:t>djust the carbon reduction amount once a year on 1 July. The Carbon price regulator should also publish the carbon price adjustment figures at least three months before the 1 July adjustment.</w:t>
      </w:r>
    </w:p>
    <w:p w:rsidR="005018B0" w:rsidRPr="005018B0" w:rsidRDefault="005018B0" w:rsidP="005018B0">
      <w:pPr>
        <w:rPr>
          <w:rFonts w:ascii="Arial" w:hAnsi="Arial" w:cs="Arial"/>
          <w:i/>
          <w:iCs/>
          <w:color w:val="000000" w:themeColor="text1"/>
          <w:sz w:val="20"/>
          <w:szCs w:val="20"/>
        </w:rPr>
      </w:pPr>
    </w:p>
    <w:p w:rsidR="007823E0" w:rsidRPr="00F44D64" w:rsidRDefault="007823E0" w:rsidP="00F44D64">
      <w:pPr>
        <w:pStyle w:val="RecommendationStyle"/>
        <w:rPr>
          <w:color w:val="000000" w:themeColor="text1"/>
        </w:rPr>
      </w:pPr>
      <w:bookmarkStart w:id="29" w:name="_Toc354135019"/>
      <w:bookmarkStart w:id="30" w:name="_Toc354385104"/>
      <w:bookmarkStart w:id="31" w:name="_Toc354558531"/>
      <w:bookmarkStart w:id="32" w:name="_Toc354558933"/>
      <w:bookmarkEnd w:id="29"/>
      <w:bookmarkEnd w:id="30"/>
      <w:bookmarkEnd w:id="31"/>
      <w:bookmarkEnd w:id="32"/>
    </w:p>
    <w:p w:rsidR="005018B0" w:rsidRPr="00F44D64" w:rsidRDefault="00F44D64" w:rsidP="00F44D64">
      <w:pPr>
        <w:pStyle w:val="RecommendationStyle"/>
        <w:numPr>
          <w:ilvl w:val="0"/>
          <w:numId w:val="0"/>
        </w:numPr>
        <w:rPr>
          <w:color w:val="000000" w:themeColor="text1"/>
        </w:rPr>
      </w:pPr>
      <w:bookmarkStart w:id="33" w:name="_Toc354135020"/>
      <w:bookmarkStart w:id="34" w:name="_Toc354385105"/>
      <w:bookmarkStart w:id="35" w:name="_Toc354558532"/>
      <w:bookmarkStart w:id="36" w:name="_Toc354558934"/>
      <w:r w:rsidRPr="00F44D64">
        <w:rPr>
          <w:color w:val="000000" w:themeColor="text1"/>
        </w:rPr>
        <w:t>If a carbon price is to be implemented, th</w:t>
      </w:r>
      <w:r w:rsidR="005018B0" w:rsidRPr="00F44D64">
        <w:rPr>
          <w:color w:val="000000" w:themeColor="text1"/>
        </w:rPr>
        <w:t xml:space="preserve">e carbon </w:t>
      </w:r>
      <w:r w:rsidR="007D7062" w:rsidRPr="00F44D64">
        <w:rPr>
          <w:color w:val="000000" w:themeColor="text1"/>
        </w:rPr>
        <w:t xml:space="preserve">price </w:t>
      </w:r>
      <w:r w:rsidR="005018B0" w:rsidRPr="00F44D64">
        <w:rPr>
          <w:color w:val="000000" w:themeColor="text1"/>
        </w:rPr>
        <w:t>reducti</w:t>
      </w:r>
      <w:r w:rsidR="007D7062" w:rsidRPr="00F44D64">
        <w:rPr>
          <w:color w:val="000000" w:themeColor="text1"/>
        </w:rPr>
        <w:t xml:space="preserve">on applied to fuel tax credits </w:t>
      </w:r>
      <w:r w:rsidR="00C059C4" w:rsidRPr="00F44D64">
        <w:rPr>
          <w:color w:val="000000" w:themeColor="text1"/>
        </w:rPr>
        <w:t xml:space="preserve">should </w:t>
      </w:r>
      <w:r w:rsidR="005018B0" w:rsidRPr="00F44D64">
        <w:rPr>
          <w:color w:val="000000" w:themeColor="text1"/>
        </w:rPr>
        <w:t>be adjusted once a year on 1 July</w:t>
      </w:r>
      <w:bookmarkEnd w:id="33"/>
      <w:bookmarkEnd w:id="34"/>
      <w:bookmarkEnd w:id="35"/>
      <w:bookmarkEnd w:id="36"/>
    </w:p>
    <w:p w:rsidR="007823E0" w:rsidRPr="00F44D64" w:rsidRDefault="007823E0" w:rsidP="00F44D64">
      <w:pPr>
        <w:pStyle w:val="RecommendationStyle"/>
        <w:rPr>
          <w:color w:val="000000" w:themeColor="text1"/>
        </w:rPr>
      </w:pPr>
      <w:bookmarkStart w:id="37" w:name="_Toc353887220"/>
      <w:bookmarkStart w:id="38" w:name="_Toc353887242"/>
      <w:bookmarkStart w:id="39" w:name="_Toc354135021"/>
      <w:bookmarkStart w:id="40" w:name="_Toc354385106"/>
      <w:bookmarkStart w:id="41" w:name="_Toc354558533"/>
      <w:bookmarkStart w:id="42" w:name="_Toc354558935"/>
      <w:bookmarkStart w:id="43" w:name="_Toc353887221"/>
      <w:bookmarkStart w:id="44" w:name="_Toc353887243"/>
      <w:bookmarkEnd w:id="37"/>
      <w:bookmarkEnd w:id="38"/>
      <w:bookmarkEnd w:id="39"/>
      <w:bookmarkEnd w:id="40"/>
      <w:bookmarkEnd w:id="41"/>
      <w:bookmarkEnd w:id="42"/>
    </w:p>
    <w:p w:rsidR="002670B8" w:rsidRPr="00F44D64" w:rsidRDefault="002670B8" w:rsidP="00F44D64">
      <w:pPr>
        <w:pStyle w:val="RecommendationStyle"/>
        <w:numPr>
          <w:ilvl w:val="0"/>
          <w:numId w:val="0"/>
        </w:numPr>
        <w:rPr>
          <w:color w:val="000000" w:themeColor="text1"/>
        </w:rPr>
      </w:pPr>
      <w:bookmarkStart w:id="45" w:name="_Toc354135022"/>
      <w:bookmarkStart w:id="46" w:name="_Toc354385107"/>
      <w:bookmarkStart w:id="47" w:name="_Toc354558534"/>
      <w:bookmarkStart w:id="48" w:name="_Toc354558936"/>
      <w:r w:rsidRPr="00F44D64">
        <w:rPr>
          <w:color w:val="000000" w:themeColor="text1"/>
        </w:rPr>
        <w:t>The carbon price regulator</w:t>
      </w:r>
      <w:r w:rsidR="00C059C4" w:rsidRPr="00F44D64">
        <w:rPr>
          <w:color w:val="000000" w:themeColor="text1"/>
        </w:rPr>
        <w:t xml:space="preserve"> should</w:t>
      </w:r>
      <w:r w:rsidRPr="00F44D64">
        <w:rPr>
          <w:color w:val="000000" w:themeColor="text1"/>
        </w:rPr>
        <w:t xml:space="preserve"> be required to publish the carbon price ad</w:t>
      </w:r>
      <w:r w:rsidR="00213A18" w:rsidRPr="00F44D64">
        <w:rPr>
          <w:color w:val="000000" w:themeColor="text1"/>
        </w:rPr>
        <w:t>justment figure at least three m</w:t>
      </w:r>
      <w:r w:rsidRPr="00F44D64">
        <w:rPr>
          <w:color w:val="000000" w:themeColor="text1"/>
        </w:rPr>
        <w:t>onths, and preferably six months before the 1 July adjustment take</w:t>
      </w:r>
      <w:r w:rsidR="007D7062" w:rsidRPr="00F44D64">
        <w:rPr>
          <w:color w:val="000000" w:themeColor="text1"/>
        </w:rPr>
        <w:t>s</w:t>
      </w:r>
      <w:r w:rsidRPr="00F44D64">
        <w:rPr>
          <w:color w:val="000000" w:themeColor="text1"/>
        </w:rPr>
        <w:t xml:space="preserve"> place.</w:t>
      </w:r>
      <w:bookmarkEnd w:id="43"/>
      <w:bookmarkEnd w:id="44"/>
      <w:bookmarkEnd w:id="45"/>
      <w:bookmarkEnd w:id="46"/>
      <w:bookmarkEnd w:id="47"/>
      <w:bookmarkEnd w:id="48"/>
    </w:p>
    <w:p w:rsidR="003D6EC5" w:rsidRDefault="00C04F17" w:rsidP="00C04F17">
      <w:pPr>
        <w:rPr>
          <w:rFonts w:ascii="Arial" w:hAnsi="Arial" w:cs="Arial"/>
          <w:sz w:val="20"/>
          <w:szCs w:val="20"/>
          <w:lang w:eastAsia="en-AU"/>
        </w:rPr>
      </w:pPr>
      <w:bookmarkStart w:id="49" w:name="_Toc353887218"/>
      <w:bookmarkStart w:id="50" w:name="_Toc353887240"/>
      <w:bookmarkEnd w:id="49"/>
      <w:bookmarkEnd w:id="50"/>
      <w:r>
        <w:rPr>
          <w:rFonts w:ascii="Arial" w:hAnsi="Arial" w:cs="Arial"/>
          <w:sz w:val="20"/>
          <w:szCs w:val="20"/>
          <w:lang w:eastAsia="en-AU"/>
        </w:rPr>
        <w:br w:type="page"/>
      </w:r>
    </w:p>
    <w:p w:rsidR="003D6EC5" w:rsidRPr="00010704" w:rsidRDefault="003D6EC5" w:rsidP="00010704">
      <w:pPr>
        <w:pStyle w:val="Heading1"/>
        <w:numPr>
          <w:ilvl w:val="0"/>
          <w:numId w:val="0"/>
        </w:numPr>
      </w:pPr>
      <w:bookmarkStart w:id="51" w:name="_Toc354564710"/>
      <w:r w:rsidRPr="00010704">
        <w:lastRenderedPageBreak/>
        <w:t>5.</w:t>
      </w:r>
      <w:r w:rsidR="005018B0">
        <w:t>2</w:t>
      </w:r>
      <w:r w:rsidRPr="00010704">
        <w:t xml:space="preserve"> </w:t>
      </w:r>
      <w:r w:rsidR="004C155A" w:rsidRPr="00010704">
        <w:t>Fuel excise and the carbon price</w:t>
      </w:r>
      <w:bookmarkEnd w:id="51"/>
    </w:p>
    <w:p w:rsidR="003D6EC5" w:rsidRDefault="003D6EC5" w:rsidP="00D425CD">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The fuel tax credit rate for trucking operators is also affected by the road user charge, set by the Minister for</w:t>
      </w: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Infrastructure and Transport under section 43-10(8) of the </w:t>
      </w:r>
      <w:r>
        <w:rPr>
          <w:rFonts w:ascii="Arial" w:hAnsi="Arial" w:cs="Arial"/>
          <w:i/>
          <w:iCs/>
          <w:sz w:val="20"/>
          <w:szCs w:val="20"/>
          <w:lang w:eastAsia="en-AU"/>
        </w:rPr>
        <w:t>Fuel Tax Act</w:t>
      </w:r>
      <w:r>
        <w:rPr>
          <w:rFonts w:ascii="Arial" w:hAnsi="Arial" w:cs="Arial"/>
          <w:sz w:val="20"/>
          <w:szCs w:val="20"/>
          <w:lang w:eastAsia="en-AU"/>
        </w:rPr>
        <w:t>.</w:t>
      </w:r>
    </w:p>
    <w:p w:rsidR="003D6EC5" w:rsidRDefault="003D6EC5" w:rsidP="003D6EC5">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The Act does not specify when the road user charge is to be adjusted, although it cannot be changed more than once in a financial year. The Act does not specify how much notice needs to be given of a change to the road user charge, although the</w:t>
      </w:r>
      <w:r w:rsidR="00213A18">
        <w:rPr>
          <w:rFonts w:ascii="Arial" w:hAnsi="Arial" w:cs="Arial"/>
          <w:sz w:val="20"/>
          <w:szCs w:val="20"/>
          <w:lang w:eastAsia="en-AU"/>
        </w:rPr>
        <w:t xml:space="preserve"> responsible</w:t>
      </w:r>
      <w:r>
        <w:rPr>
          <w:rFonts w:ascii="Arial" w:hAnsi="Arial" w:cs="Arial"/>
          <w:sz w:val="20"/>
          <w:szCs w:val="20"/>
          <w:lang w:eastAsia="en-AU"/>
        </w:rPr>
        <w:t xml:space="preserve"> minister must consult with the industry for at least 60 days before determining the rate.</w:t>
      </w:r>
    </w:p>
    <w:p w:rsidR="003D6EC5" w:rsidRDefault="003D6EC5" w:rsidP="003D6EC5">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There have been </w:t>
      </w:r>
      <w:r w:rsidR="00AC5BED">
        <w:rPr>
          <w:rFonts w:ascii="Arial" w:hAnsi="Arial" w:cs="Arial"/>
          <w:sz w:val="20"/>
          <w:szCs w:val="20"/>
          <w:lang w:eastAsia="en-AU"/>
        </w:rPr>
        <w:t xml:space="preserve">four </w:t>
      </w:r>
      <w:r>
        <w:rPr>
          <w:rFonts w:ascii="Arial" w:hAnsi="Arial" w:cs="Arial"/>
          <w:sz w:val="20"/>
          <w:szCs w:val="20"/>
          <w:lang w:eastAsia="en-AU"/>
        </w:rPr>
        <w:t xml:space="preserve">adjustments to the road user charge as a result of instruments made under section 43-10. In </w:t>
      </w:r>
      <w:r w:rsidR="00213A18">
        <w:rPr>
          <w:rFonts w:ascii="Arial" w:hAnsi="Arial" w:cs="Arial"/>
          <w:sz w:val="20"/>
          <w:szCs w:val="20"/>
          <w:lang w:eastAsia="en-AU"/>
        </w:rPr>
        <w:t xml:space="preserve">most </w:t>
      </w:r>
      <w:r>
        <w:rPr>
          <w:rFonts w:ascii="Arial" w:hAnsi="Arial" w:cs="Arial"/>
          <w:sz w:val="20"/>
          <w:szCs w:val="20"/>
          <w:lang w:eastAsia="en-AU"/>
        </w:rPr>
        <w:t>of these adjustments, the legislative instrument was made and registered just days before the rate change took effect, as the table below shows:</w:t>
      </w:r>
    </w:p>
    <w:p w:rsidR="003D6EC5" w:rsidRDefault="003D6EC5" w:rsidP="003D6EC5">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sidRPr="003D6EC5">
        <w:rPr>
          <w:rFonts w:ascii="Arial" w:hAnsi="Arial" w:cs="Arial"/>
          <w:b/>
          <w:sz w:val="20"/>
          <w:szCs w:val="20"/>
          <w:lang w:eastAsia="en-AU"/>
        </w:rPr>
        <w:t>Road User Charge Determinations, 2009-201</w:t>
      </w:r>
      <w:r>
        <w:rPr>
          <w:rFonts w:ascii="Arial" w:hAnsi="Arial" w:cs="Arial"/>
          <w:b/>
          <w:sz w:val="20"/>
          <w:szCs w:val="20"/>
          <w:lang w:eastAsia="en-AU"/>
        </w:rPr>
        <w:t>2</w:t>
      </w:r>
      <w:r w:rsidRPr="003D6EC5">
        <w:rPr>
          <w:rFonts w:ascii="Arial" w:hAnsi="Arial" w:cs="Arial"/>
          <w:sz w:val="20"/>
          <w:szCs w:val="20"/>
          <w:lang w:eastAsia="en-AU"/>
        </w:rPr>
        <w:t xml:space="preserve"> </w:t>
      </w:r>
    </w:p>
    <w:p w:rsidR="003D6EC5" w:rsidRPr="003D6EC5" w:rsidRDefault="003D6EC5" w:rsidP="003D6EC5">
      <w:pPr>
        <w:autoSpaceDE w:val="0"/>
        <w:autoSpaceDN w:val="0"/>
        <w:adjustRightInd w:val="0"/>
        <w:rPr>
          <w:rFonts w:ascii="Arial" w:hAnsi="Arial" w:cs="Arial"/>
          <w:sz w:val="20"/>
          <w:szCs w:val="20"/>
          <w:lang w:eastAsia="en-AU"/>
        </w:rPr>
      </w:pPr>
    </w:p>
    <w:tbl>
      <w:tblPr>
        <w:tblStyle w:val="TableGrid"/>
        <w:tblW w:w="0" w:type="auto"/>
        <w:tblLook w:val="04A0"/>
      </w:tblPr>
      <w:tblGrid>
        <w:gridCol w:w="2463"/>
        <w:gridCol w:w="2463"/>
        <w:gridCol w:w="2464"/>
        <w:gridCol w:w="2464"/>
      </w:tblGrid>
      <w:tr w:rsidR="003D6EC5" w:rsidTr="003D6EC5">
        <w:tc>
          <w:tcPr>
            <w:tcW w:w="2463" w:type="dxa"/>
          </w:tcPr>
          <w:p w:rsidR="003D6EC5" w:rsidRDefault="003D6EC5" w:rsidP="003D6EC5">
            <w:pPr>
              <w:autoSpaceDE w:val="0"/>
              <w:autoSpaceDN w:val="0"/>
              <w:adjustRightInd w:val="0"/>
              <w:rPr>
                <w:rFonts w:ascii="Arial" w:hAnsi="Arial" w:cs="Arial"/>
                <w:sz w:val="20"/>
                <w:szCs w:val="20"/>
                <w:lang w:eastAsia="en-AU"/>
              </w:rPr>
            </w:pPr>
          </w:p>
        </w:tc>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Date made</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Date registered</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Date of effect</w:t>
            </w:r>
          </w:p>
        </w:tc>
      </w:tr>
      <w:tr w:rsidR="003D6EC5" w:rsidTr="003D6EC5">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2009</w:t>
            </w:r>
          </w:p>
        </w:tc>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24 June </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26 June</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1 July </w:t>
            </w:r>
          </w:p>
        </w:tc>
      </w:tr>
      <w:tr w:rsidR="003D6EC5" w:rsidTr="003D6EC5">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2010</w:t>
            </w:r>
          </w:p>
        </w:tc>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24 June</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28 June</w:t>
            </w:r>
          </w:p>
        </w:tc>
        <w:tc>
          <w:tcPr>
            <w:tcW w:w="2464" w:type="dxa"/>
          </w:tcPr>
          <w:p w:rsidR="003D6EC5" w:rsidRDefault="003D6EC5" w:rsidP="003D6EC5">
            <w:pPr>
              <w:autoSpaceDE w:val="0"/>
              <w:autoSpaceDN w:val="0"/>
              <w:adjustRightInd w:val="0"/>
              <w:rPr>
                <w:rFonts w:ascii="Arial" w:hAnsi="Arial" w:cs="Arial"/>
                <w:sz w:val="20"/>
                <w:szCs w:val="20"/>
                <w:lang w:eastAsia="en-AU"/>
              </w:rPr>
            </w:pPr>
            <w:r w:rsidRPr="003D6EC5">
              <w:rPr>
                <w:rFonts w:ascii="Arial" w:hAnsi="Arial" w:cs="Arial"/>
                <w:sz w:val="20"/>
                <w:szCs w:val="20"/>
                <w:lang w:eastAsia="en-AU"/>
              </w:rPr>
              <w:t>1 July</w:t>
            </w:r>
          </w:p>
        </w:tc>
      </w:tr>
      <w:tr w:rsidR="003D6EC5" w:rsidTr="003D6EC5">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2011</w:t>
            </w:r>
          </w:p>
        </w:tc>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20 June </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22 June</w:t>
            </w:r>
          </w:p>
        </w:tc>
        <w:tc>
          <w:tcPr>
            <w:tcW w:w="2464" w:type="dxa"/>
          </w:tcPr>
          <w:p w:rsidR="003D6EC5" w:rsidRDefault="003D6EC5" w:rsidP="003D6EC5">
            <w:pPr>
              <w:autoSpaceDE w:val="0"/>
              <w:autoSpaceDN w:val="0"/>
              <w:adjustRightInd w:val="0"/>
              <w:rPr>
                <w:rFonts w:ascii="Arial" w:hAnsi="Arial" w:cs="Arial"/>
                <w:sz w:val="20"/>
                <w:szCs w:val="20"/>
                <w:lang w:eastAsia="en-AU"/>
              </w:rPr>
            </w:pPr>
            <w:r w:rsidRPr="003D6EC5">
              <w:rPr>
                <w:rFonts w:ascii="Arial" w:hAnsi="Arial" w:cs="Arial"/>
                <w:sz w:val="20"/>
                <w:szCs w:val="20"/>
                <w:lang w:eastAsia="en-AU"/>
              </w:rPr>
              <w:t>1 July</w:t>
            </w:r>
          </w:p>
        </w:tc>
      </w:tr>
      <w:tr w:rsidR="003D6EC5" w:rsidTr="003D6EC5">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2012</w:t>
            </w:r>
          </w:p>
        </w:tc>
        <w:tc>
          <w:tcPr>
            <w:tcW w:w="2463"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10 May </w:t>
            </w:r>
          </w:p>
        </w:tc>
        <w:tc>
          <w:tcPr>
            <w:tcW w:w="2464" w:type="dxa"/>
          </w:tcPr>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14 May </w:t>
            </w:r>
          </w:p>
        </w:tc>
        <w:tc>
          <w:tcPr>
            <w:tcW w:w="2464" w:type="dxa"/>
          </w:tcPr>
          <w:p w:rsidR="003D6EC5" w:rsidRDefault="003D6EC5" w:rsidP="003D6EC5">
            <w:pPr>
              <w:autoSpaceDE w:val="0"/>
              <w:autoSpaceDN w:val="0"/>
              <w:adjustRightInd w:val="0"/>
              <w:rPr>
                <w:rFonts w:ascii="Arial" w:hAnsi="Arial" w:cs="Arial"/>
                <w:sz w:val="20"/>
                <w:szCs w:val="20"/>
                <w:lang w:eastAsia="en-AU"/>
              </w:rPr>
            </w:pPr>
            <w:r w:rsidRPr="003D6EC5">
              <w:rPr>
                <w:rFonts w:ascii="Arial" w:hAnsi="Arial" w:cs="Arial"/>
                <w:sz w:val="20"/>
                <w:szCs w:val="20"/>
                <w:lang w:eastAsia="en-AU"/>
              </w:rPr>
              <w:t>1 July</w:t>
            </w:r>
          </w:p>
        </w:tc>
      </w:tr>
    </w:tbl>
    <w:p w:rsidR="003D6EC5" w:rsidRDefault="003D6EC5" w:rsidP="003D6EC5">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This practice causes difficulties for both the industry and the Australian Taxation Office.</w:t>
      </w:r>
    </w:p>
    <w:p w:rsidR="00F53D06" w:rsidRDefault="00F53D06" w:rsidP="003D6EC5">
      <w:pPr>
        <w:autoSpaceDE w:val="0"/>
        <w:autoSpaceDN w:val="0"/>
        <w:adjustRightInd w:val="0"/>
        <w:rPr>
          <w:rFonts w:ascii="Arial" w:hAnsi="Arial" w:cs="Arial"/>
          <w:sz w:val="20"/>
          <w:szCs w:val="20"/>
          <w:lang w:eastAsia="en-AU"/>
        </w:rPr>
      </w:pPr>
    </w:p>
    <w:p w:rsidR="003D6EC5" w:rsidRDefault="003D6EC5" w:rsidP="003D6EC5">
      <w:pPr>
        <w:autoSpaceDE w:val="0"/>
        <w:autoSpaceDN w:val="0"/>
        <w:adjustRightInd w:val="0"/>
        <w:rPr>
          <w:rFonts w:ascii="Arial" w:hAnsi="Arial" w:cs="Arial"/>
          <w:sz w:val="20"/>
          <w:szCs w:val="20"/>
          <w:lang w:eastAsia="en-AU"/>
        </w:rPr>
      </w:pPr>
      <w:r>
        <w:rPr>
          <w:rFonts w:ascii="Arial" w:hAnsi="Arial" w:cs="Arial"/>
          <w:sz w:val="20"/>
          <w:szCs w:val="20"/>
          <w:lang w:eastAsia="en-AU"/>
        </w:rPr>
        <w:t xml:space="preserve">It is easier for trucking operators to convince their customers of the merits </w:t>
      </w:r>
      <w:r w:rsidR="00F53D06">
        <w:rPr>
          <w:rFonts w:ascii="Arial" w:hAnsi="Arial" w:cs="Arial"/>
          <w:sz w:val="20"/>
          <w:szCs w:val="20"/>
          <w:lang w:eastAsia="en-AU"/>
        </w:rPr>
        <w:t xml:space="preserve">of a rate change when they have </w:t>
      </w:r>
      <w:r>
        <w:rPr>
          <w:rFonts w:ascii="Arial" w:hAnsi="Arial" w:cs="Arial"/>
          <w:sz w:val="20"/>
          <w:szCs w:val="20"/>
          <w:lang w:eastAsia="en-AU"/>
        </w:rPr>
        <w:t>an official instrument from the Government rather than a consultation figur</w:t>
      </w:r>
      <w:r w:rsidR="00F53D06">
        <w:rPr>
          <w:rFonts w:ascii="Arial" w:hAnsi="Arial" w:cs="Arial"/>
          <w:sz w:val="20"/>
          <w:szCs w:val="20"/>
          <w:lang w:eastAsia="en-AU"/>
        </w:rPr>
        <w:t xml:space="preserve">e. Many customers and operators </w:t>
      </w:r>
      <w:r>
        <w:rPr>
          <w:rFonts w:ascii="Arial" w:hAnsi="Arial" w:cs="Arial"/>
          <w:sz w:val="20"/>
          <w:szCs w:val="20"/>
          <w:lang w:eastAsia="en-AU"/>
        </w:rPr>
        <w:t xml:space="preserve">look for guidance about the fuel tax credit rate </w:t>
      </w:r>
      <w:r w:rsidR="00213A18">
        <w:rPr>
          <w:rFonts w:ascii="Arial" w:hAnsi="Arial" w:cs="Arial"/>
          <w:sz w:val="20"/>
          <w:szCs w:val="20"/>
          <w:lang w:eastAsia="en-AU"/>
        </w:rPr>
        <w:t>on</w:t>
      </w:r>
      <w:r>
        <w:rPr>
          <w:rFonts w:ascii="Arial" w:hAnsi="Arial" w:cs="Arial"/>
          <w:sz w:val="20"/>
          <w:szCs w:val="20"/>
          <w:lang w:eastAsia="en-AU"/>
        </w:rPr>
        <w:t xml:space="preserve"> the ATO website, but</w:t>
      </w:r>
      <w:r w:rsidR="00F53D06">
        <w:rPr>
          <w:rFonts w:ascii="Arial" w:hAnsi="Arial" w:cs="Arial"/>
          <w:sz w:val="20"/>
          <w:szCs w:val="20"/>
          <w:lang w:eastAsia="en-AU"/>
        </w:rPr>
        <w:t xml:space="preserve"> the ATO is unable to alter its </w:t>
      </w:r>
      <w:r>
        <w:rPr>
          <w:rFonts w:ascii="Arial" w:hAnsi="Arial" w:cs="Arial"/>
          <w:sz w:val="20"/>
          <w:szCs w:val="20"/>
          <w:lang w:eastAsia="en-AU"/>
        </w:rPr>
        <w:t>published information until the legislative instrument is issued.</w:t>
      </w:r>
    </w:p>
    <w:p w:rsidR="00F53D06" w:rsidRDefault="00F53D06" w:rsidP="003D6EC5">
      <w:pPr>
        <w:autoSpaceDE w:val="0"/>
        <w:autoSpaceDN w:val="0"/>
        <w:adjustRightInd w:val="0"/>
        <w:rPr>
          <w:rFonts w:ascii="Arial" w:hAnsi="Arial" w:cs="Arial"/>
          <w:sz w:val="20"/>
          <w:szCs w:val="20"/>
          <w:lang w:eastAsia="en-AU"/>
        </w:rPr>
      </w:pPr>
    </w:p>
    <w:p w:rsidR="00DF00EA" w:rsidRDefault="003D6EC5" w:rsidP="00210F1F">
      <w:pPr>
        <w:autoSpaceDE w:val="0"/>
        <w:autoSpaceDN w:val="0"/>
        <w:adjustRightInd w:val="0"/>
        <w:rPr>
          <w:rFonts w:ascii="Arial" w:hAnsi="Arial" w:cs="Arial"/>
          <w:sz w:val="20"/>
          <w:szCs w:val="20"/>
          <w:lang w:eastAsia="en-AU"/>
        </w:rPr>
      </w:pPr>
      <w:r>
        <w:rPr>
          <w:rFonts w:ascii="Arial" w:hAnsi="Arial" w:cs="Arial"/>
          <w:sz w:val="20"/>
          <w:szCs w:val="20"/>
          <w:lang w:eastAsia="en-AU"/>
        </w:rPr>
        <w:t>The introduction of a second adjustment to the fuel tax credit rate, the carb</w:t>
      </w:r>
      <w:r w:rsidR="00F53D06">
        <w:rPr>
          <w:rFonts w:ascii="Arial" w:hAnsi="Arial" w:cs="Arial"/>
          <w:sz w:val="20"/>
          <w:szCs w:val="20"/>
          <w:lang w:eastAsia="en-AU"/>
        </w:rPr>
        <w:t xml:space="preserve">on reduction amount, would </w:t>
      </w:r>
      <w:r w:rsidR="00DD26C2">
        <w:rPr>
          <w:rFonts w:ascii="Arial" w:hAnsi="Arial" w:cs="Arial"/>
          <w:sz w:val="20"/>
          <w:szCs w:val="20"/>
          <w:lang w:eastAsia="en-AU"/>
        </w:rPr>
        <w:t>have the</w:t>
      </w:r>
      <w:r>
        <w:rPr>
          <w:rFonts w:ascii="Arial" w:hAnsi="Arial" w:cs="Arial"/>
          <w:sz w:val="20"/>
          <w:szCs w:val="20"/>
          <w:lang w:eastAsia="en-AU"/>
        </w:rPr>
        <w:t xml:space="preserve"> potential to compound the confusion, particularly if the adjustment figures are available at different times.</w:t>
      </w:r>
    </w:p>
    <w:p w:rsidR="00F53D06" w:rsidRPr="00042D2E" w:rsidRDefault="00F53D06" w:rsidP="00042D2E">
      <w:pPr>
        <w:pStyle w:val="RecommendationStyle"/>
        <w:rPr>
          <w:color w:val="000000" w:themeColor="text1"/>
        </w:rPr>
      </w:pPr>
      <w:bookmarkStart w:id="52" w:name="_Toc353971998"/>
      <w:bookmarkStart w:id="53" w:name="_Toc353972176"/>
      <w:bookmarkStart w:id="54" w:name="_Toc353972480"/>
      <w:bookmarkStart w:id="55" w:name="_Toc354059381"/>
      <w:bookmarkStart w:id="56" w:name="_Toc354135023"/>
      <w:bookmarkStart w:id="57" w:name="_Toc354385108"/>
      <w:bookmarkStart w:id="58" w:name="_Toc354558535"/>
      <w:bookmarkStart w:id="59" w:name="_Toc354558937"/>
      <w:bookmarkEnd w:id="52"/>
      <w:bookmarkEnd w:id="53"/>
      <w:bookmarkEnd w:id="54"/>
      <w:bookmarkEnd w:id="55"/>
      <w:bookmarkEnd w:id="56"/>
      <w:bookmarkEnd w:id="57"/>
      <w:bookmarkEnd w:id="58"/>
      <w:bookmarkEnd w:id="59"/>
    </w:p>
    <w:p w:rsidR="00F45BF3" w:rsidRPr="004C155A" w:rsidRDefault="00F53D06" w:rsidP="00042D2E">
      <w:pPr>
        <w:pStyle w:val="RecommendationStyle"/>
        <w:numPr>
          <w:ilvl w:val="0"/>
          <w:numId w:val="0"/>
        </w:numPr>
        <w:rPr>
          <w:lang w:eastAsia="en-AU"/>
        </w:rPr>
      </w:pPr>
      <w:bookmarkStart w:id="60" w:name="_Toc353971999"/>
      <w:bookmarkStart w:id="61" w:name="_Toc353972177"/>
      <w:bookmarkStart w:id="62" w:name="_Toc353972481"/>
      <w:bookmarkStart w:id="63" w:name="_Toc354059382"/>
      <w:bookmarkStart w:id="64" w:name="_Toc354135024"/>
      <w:bookmarkStart w:id="65" w:name="_Toc354385109"/>
      <w:bookmarkStart w:id="66" w:name="_Toc354558536"/>
      <w:bookmarkStart w:id="67" w:name="_Toc354558938"/>
      <w:r w:rsidRPr="00042D2E">
        <w:rPr>
          <w:color w:val="000000" w:themeColor="text1"/>
        </w:rPr>
        <w:t xml:space="preserve">The Fuel Tax Act </w:t>
      </w:r>
      <w:r w:rsidR="007D7062">
        <w:rPr>
          <w:color w:val="000000" w:themeColor="text1"/>
        </w:rPr>
        <w:t>to</w:t>
      </w:r>
      <w:r w:rsidRPr="00042D2E">
        <w:rPr>
          <w:color w:val="000000" w:themeColor="text1"/>
        </w:rPr>
        <w:t xml:space="preserve"> </w:t>
      </w:r>
      <w:r w:rsidR="00311797">
        <w:rPr>
          <w:color w:val="000000" w:themeColor="text1"/>
        </w:rPr>
        <w:t xml:space="preserve">should </w:t>
      </w:r>
      <w:r w:rsidRPr="00042D2E">
        <w:rPr>
          <w:color w:val="000000" w:themeColor="text1"/>
        </w:rPr>
        <w:t>be amended to provide that:</w:t>
      </w:r>
      <w:bookmarkEnd w:id="60"/>
      <w:bookmarkEnd w:id="61"/>
      <w:bookmarkEnd w:id="62"/>
      <w:bookmarkEnd w:id="63"/>
      <w:bookmarkEnd w:id="64"/>
      <w:bookmarkEnd w:id="65"/>
      <w:bookmarkEnd w:id="66"/>
      <w:bookmarkEnd w:id="67"/>
      <w:r w:rsidR="004C155A" w:rsidRPr="004C155A">
        <w:rPr>
          <w:lang w:eastAsia="en-AU"/>
        </w:rPr>
        <w:t xml:space="preserve"> </w:t>
      </w:r>
    </w:p>
    <w:p w:rsidR="00F45BF3" w:rsidRPr="00042D2E" w:rsidRDefault="00F53D06" w:rsidP="00042D2E">
      <w:pPr>
        <w:pStyle w:val="RecommendationStyle"/>
        <w:numPr>
          <w:ilvl w:val="0"/>
          <w:numId w:val="25"/>
        </w:numPr>
        <w:rPr>
          <w:color w:val="000000" w:themeColor="text1"/>
        </w:rPr>
      </w:pPr>
      <w:bookmarkStart w:id="68" w:name="_Toc353972000"/>
      <w:bookmarkStart w:id="69" w:name="_Toc353972178"/>
      <w:bookmarkStart w:id="70" w:name="_Toc353972482"/>
      <w:bookmarkStart w:id="71" w:name="_Toc354059383"/>
      <w:bookmarkStart w:id="72" w:name="_Toc354135025"/>
      <w:bookmarkStart w:id="73" w:name="_Toc354385110"/>
      <w:bookmarkStart w:id="74" w:name="_Toc354558537"/>
      <w:bookmarkStart w:id="75" w:name="_Toc354558939"/>
      <w:r w:rsidRPr="00042D2E">
        <w:rPr>
          <w:color w:val="000000" w:themeColor="text1"/>
        </w:rPr>
        <w:t>adjustments to the road user charge take effect from 1 July each year</w:t>
      </w:r>
      <w:bookmarkEnd w:id="68"/>
      <w:bookmarkEnd w:id="69"/>
      <w:bookmarkEnd w:id="70"/>
      <w:bookmarkEnd w:id="71"/>
      <w:bookmarkEnd w:id="72"/>
      <w:bookmarkEnd w:id="73"/>
      <w:bookmarkEnd w:id="74"/>
      <w:bookmarkEnd w:id="75"/>
    </w:p>
    <w:p w:rsidR="004C155A" w:rsidRPr="004C155A" w:rsidRDefault="00F53D06" w:rsidP="004C155A">
      <w:pPr>
        <w:pStyle w:val="RecommendationStyle"/>
        <w:numPr>
          <w:ilvl w:val="0"/>
          <w:numId w:val="25"/>
        </w:numPr>
        <w:rPr>
          <w:color w:val="000000" w:themeColor="text1"/>
        </w:rPr>
      </w:pPr>
      <w:bookmarkStart w:id="76" w:name="_Toc353972001"/>
      <w:bookmarkStart w:id="77" w:name="_Toc353972179"/>
      <w:bookmarkStart w:id="78" w:name="_Toc353972483"/>
      <w:bookmarkStart w:id="79" w:name="_Toc354059384"/>
      <w:bookmarkStart w:id="80" w:name="_Toc354135026"/>
      <w:bookmarkStart w:id="81" w:name="_Toc354385111"/>
      <w:bookmarkStart w:id="82" w:name="_Toc354558538"/>
      <w:bookmarkStart w:id="83" w:name="_Toc354558940"/>
      <w:proofErr w:type="gramStart"/>
      <w:r w:rsidRPr="00042D2E">
        <w:rPr>
          <w:color w:val="000000" w:themeColor="text1"/>
        </w:rPr>
        <w:t>the</w:t>
      </w:r>
      <w:proofErr w:type="gramEnd"/>
      <w:r w:rsidRPr="00042D2E">
        <w:rPr>
          <w:color w:val="000000" w:themeColor="text1"/>
        </w:rPr>
        <w:t xml:space="preserve"> </w:t>
      </w:r>
      <w:r w:rsidR="007D7062">
        <w:rPr>
          <w:color w:val="000000" w:themeColor="text1"/>
        </w:rPr>
        <w:t>Minister for Transport</w:t>
      </w:r>
      <w:r w:rsidRPr="00042D2E">
        <w:rPr>
          <w:color w:val="000000" w:themeColor="text1"/>
        </w:rPr>
        <w:t xml:space="preserve"> shall issue the legislative instrument setting the amount of the </w:t>
      </w:r>
      <w:r w:rsidR="00F45BF3" w:rsidRPr="00042D2E">
        <w:rPr>
          <w:color w:val="000000" w:themeColor="text1"/>
        </w:rPr>
        <w:t xml:space="preserve">charge by the </w:t>
      </w:r>
      <w:r w:rsidRPr="00042D2E">
        <w:rPr>
          <w:color w:val="000000" w:themeColor="text1"/>
        </w:rPr>
        <w:t>same date the official carbon reduction figure is required to be announced.</w:t>
      </w:r>
      <w:bookmarkEnd w:id="76"/>
      <w:bookmarkEnd w:id="77"/>
      <w:bookmarkEnd w:id="78"/>
      <w:bookmarkEnd w:id="79"/>
      <w:bookmarkEnd w:id="80"/>
      <w:bookmarkEnd w:id="81"/>
      <w:bookmarkEnd w:id="82"/>
      <w:bookmarkEnd w:id="83"/>
    </w:p>
    <w:p w:rsidR="004C155A" w:rsidRPr="00010704" w:rsidRDefault="004C155A" w:rsidP="00010704">
      <w:pPr>
        <w:pStyle w:val="Heading1"/>
        <w:numPr>
          <w:ilvl w:val="0"/>
          <w:numId w:val="0"/>
        </w:numPr>
      </w:pPr>
      <w:bookmarkStart w:id="84" w:name="_Toc353972002"/>
      <w:bookmarkStart w:id="85" w:name="_Toc353972180"/>
      <w:bookmarkStart w:id="86" w:name="_Toc353972484"/>
      <w:bookmarkStart w:id="87" w:name="_Toc354059385"/>
      <w:bookmarkStart w:id="88" w:name="_Toc354135027"/>
      <w:bookmarkStart w:id="89" w:name="_Toc354385112"/>
      <w:bookmarkStart w:id="90" w:name="_Toc354558539"/>
      <w:bookmarkEnd w:id="84"/>
      <w:bookmarkEnd w:id="85"/>
      <w:bookmarkEnd w:id="86"/>
      <w:bookmarkEnd w:id="87"/>
      <w:bookmarkEnd w:id="88"/>
      <w:bookmarkEnd w:id="89"/>
      <w:bookmarkEnd w:id="90"/>
    </w:p>
    <w:p w:rsidR="00F45BF3" w:rsidRPr="00010704" w:rsidRDefault="00010704" w:rsidP="00010704">
      <w:pPr>
        <w:pStyle w:val="Heading1"/>
        <w:numPr>
          <w:ilvl w:val="0"/>
          <w:numId w:val="0"/>
        </w:numPr>
      </w:pPr>
      <w:bookmarkStart w:id="91" w:name="_Toc354564711"/>
      <w:r>
        <w:t>5.</w:t>
      </w:r>
      <w:r w:rsidR="005018B0">
        <w:t>3</w:t>
      </w:r>
      <w:r>
        <w:t xml:space="preserve"> </w:t>
      </w:r>
      <w:r w:rsidR="00F45BF3" w:rsidRPr="00010704">
        <w:t xml:space="preserve">Informing trucking operators and customers about </w:t>
      </w:r>
      <w:r w:rsidR="008E5C44">
        <w:t>the fuel tax credit rate</w:t>
      </w:r>
      <w:bookmarkEnd w:id="91"/>
    </w:p>
    <w:p w:rsidR="00F45BF3" w:rsidRDefault="00F45BF3" w:rsidP="00F45BF3">
      <w:pPr>
        <w:autoSpaceDE w:val="0"/>
        <w:autoSpaceDN w:val="0"/>
        <w:adjustRightInd w:val="0"/>
        <w:rPr>
          <w:rFonts w:ascii="Arial" w:hAnsi="Arial" w:cs="Arial"/>
          <w:color w:val="000000"/>
          <w:sz w:val="20"/>
          <w:szCs w:val="20"/>
          <w:lang w:eastAsia="en-AU"/>
        </w:rPr>
      </w:pPr>
    </w:p>
    <w:p w:rsidR="00F45BF3" w:rsidRDefault="00F45BF3" w:rsidP="00F45BF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Given the way contracts are determined in the trucking industry, it is particularly important for the</w:t>
      </w:r>
    </w:p>
    <w:p w:rsidR="00F45BF3" w:rsidRDefault="00F45BF3" w:rsidP="00F45BF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Government and industry associations to develop effective ways of notifying businesses of </w:t>
      </w:r>
      <w:r w:rsidR="007D7062">
        <w:rPr>
          <w:rFonts w:ascii="Arial" w:hAnsi="Arial" w:cs="Arial"/>
          <w:color w:val="000000"/>
          <w:sz w:val="20"/>
          <w:szCs w:val="20"/>
          <w:lang w:eastAsia="en-AU"/>
        </w:rPr>
        <w:t>any carbon price amount</w:t>
      </w:r>
      <w:r>
        <w:rPr>
          <w:rFonts w:ascii="Arial" w:hAnsi="Arial" w:cs="Arial"/>
          <w:color w:val="000000"/>
          <w:sz w:val="20"/>
          <w:szCs w:val="20"/>
          <w:lang w:eastAsia="en-AU"/>
        </w:rPr>
        <w:t xml:space="preserve"> as it changes over time.</w:t>
      </w:r>
    </w:p>
    <w:p w:rsidR="00F45BF3" w:rsidRDefault="00F45BF3" w:rsidP="00F45BF3">
      <w:pPr>
        <w:autoSpaceDE w:val="0"/>
        <w:autoSpaceDN w:val="0"/>
        <w:adjustRightInd w:val="0"/>
        <w:rPr>
          <w:rFonts w:ascii="Arial" w:hAnsi="Arial" w:cs="Arial"/>
          <w:color w:val="000000"/>
          <w:sz w:val="20"/>
          <w:szCs w:val="20"/>
          <w:lang w:eastAsia="en-AU"/>
        </w:rPr>
      </w:pPr>
    </w:p>
    <w:p w:rsidR="00F45BF3" w:rsidRDefault="00F45BF3" w:rsidP="00F45BF3">
      <w:pPr>
        <w:autoSpaceDE w:val="0"/>
        <w:autoSpaceDN w:val="0"/>
        <w:adjustRightInd w:val="0"/>
        <w:rPr>
          <w:rFonts w:ascii="Arial" w:hAnsi="Arial" w:cs="Arial"/>
          <w:color w:val="000000"/>
          <w:sz w:val="20"/>
          <w:szCs w:val="20"/>
          <w:lang w:eastAsia="en-AU"/>
        </w:rPr>
      </w:pPr>
      <w:r>
        <w:rPr>
          <w:rFonts w:ascii="Arial" w:hAnsi="Arial" w:cs="Arial"/>
          <w:color w:val="000000"/>
          <w:sz w:val="20"/>
          <w:szCs w:val="20"/>
          <w:lang w:eastAsia="en-AU"/>
        </w:rPr>
        <w:t xml:space="preserve">Because of the interaction between the road user charge and the carbon reduction amount, it would be particularly important for the ATO </w:t>
      </w:r>
      <w:r w:rsidR="00DD26C2">
        <w:rPr>
          <w:rFonts w:ascii="Arial" w:hAnsi="Arial" w:cs="Arial"/>
          <w:color w:val="000000"/>
          <w:sz w:val="20"/>
          <w:szCs w:val="20"/>
          <w:lang w:eastAsia="en-AU"/>
        </w:rPr>
        <w:t xml:space="preserve">to </w:t>
      </w:r>
      <w:r>
        <w:rPr>
          <w:rFonts w:ascii="Arial" w:hAnsi="Arial" w:cs="Arial"/>
          <w:color w:val="000000"/>
          <w:sz w:val="20"/>
          <w:szCs w:val="20"/>
          <w:lang w:eastAsia="en-AU"/>
        </w:rPr>
        <w:t>provide a consolidated figure for the fuel tax credits available to trucking operators as early as possible before they are adjusted.</w:t>
      </w:r>
    </w:p>
    <w:p w:rsidR="00F45BF3" w:rsidRDefault="00F45BF3" w:rsidP="00F45BF3">
      <w:pPr>
        <w:autoSpaceDE w:val="0"/>
        <w:autoSpaceDN w:val="0"/>
        <w:adjustRightInd w:val="0"/>
        <w:rPr>
          <w:rFonts w:ascii="Arial" w:hAnsi="Arial" w:cs="Arial"/>
          <w:color w:val="000000"/>
          <w:sz w:val="20"/>
          <w:szCs w:val="20"/>
          <w:lang w:eastAsia="en-AU"/>
        </w:rPr>
      </w:pPr>
    </w:p>
    <w:p w:rsidR="00F45BF3" w:rsidRDefault="00F45BF3" w:rsidP="00F45BF3">
      <w:pPr>
        <w:autoSpaceDE w:val="0"/>
        <w:autoSpaceDN w:val="0"/>
        <w:adjustRightInd w:val="0"/>
        <w:rPr>
          <w:rFonts w:ascii="Arial" w:hAnsi="Arial" w:cs="Arial"/>
          <w:color w:val="000000"/>
          <w:sz w:val="20"/>
          <w:szCs w:val="20"/>
          <w:lang w:eastAsia="en-AU"/>
        </w:rPr>
      </w:pPr>
    </w:p>
    <w:p w:rsidR="00F53D06" w:rsidRDefault="00F53D06" w:rsidP="00F53D06">
      <w:pPr>
        <w:autoSpaceDE w:val="0"/>
        <w:autoSpaceDN w:val="0"/>
        <w:adjustRightInd w:val="0"/>
        <w:rPr>
          <w:rFonts w:ascii="Arial" w:hAnsi="Arial" w:cs="Arial"/>
          <w:sz w:val="20"/>
          <w:szCs w:val="20"/>
          <w:lang w:eastAsia="en-AU"/>
        </w:rPr>
      </w:pPr>
      <w:bookmarkStart w:id="92" w:name="_Toc353972004"/>
      <w:bookmarkStart w:id="93" w:name="_Toc353972182"/>
      <w:bookmarkStart w:id="94" w:name="_Toc353972486"/>
      <w:bookmarkStart w:id="95" w:name="_Toc354059387"/>
      <w:bookmarkStart w:id="96" w:name="_Toc354135029"/>
      <w:bookmarkStart w:id="97" w:name="_Toc354385114"/>
      <w:bookmarkStart w:id="98" w:name="_Toc354558541"/>
      <w:bookmarkStart w:id="99" w:name="_Toc353972006"/>
      <w:bookmarkStart w:id="100" w:name="_Toc353972184"/>
      <w:bookmarkStart w:id="101" w:name="_Toc353972488"/>
      <w:bookmarkStart w:id="102" w:name="_Toc354059389"/>
      <w:bookmarkStart w:id="103" w:name="_Toc354135031"/>
      <w:bookmarkStart w:id="104" w:name="_Toc354385116"/>
      <w:bookmarkStart w:id="105" w:name="_Toc354558543"/>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45BF3" w:rsidRPr="00D425CD" w:rsidRDefault="00F45BF3" w:rsidP="00F53D06">
      <w:pPr>
        <w:autoSpaceDE w:val="0"/>
        <w:autoSpaceDN w:val="0"/>
        <w:adjustRightInd w:val="0"/>
        <w:rPr>
          <w:rFonts w:ascii="Arial" w:hAnsi="Arial" w:cs="Arial"/>
          <w:sz w:val="20"/>
          <w:szCs w:val="20"/>
          <w:lang w:eastAsia="en-AU"/>
        </w:rPr>
      </w:pPr>
    </w:p>
    <w:sectPr w:rsidR="00F45BF3" w:rsidRPr="00D425CD"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BD" w:rsidRDefault="001B7EBD" w:rsidP="000F3D9F">
      <w:r>
        <w:separator/>
      </w:r>
    </w:p>
  </w:endnote>
  <w:endnote w:type="continuationSeparator" w:id="0">
    <w:p w:rsidR="001B7EBD" w:rsidRDefault="001B7EBD" w:rsidP="000F3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852CAE" w:rsidRPr="00E8056B" w:rsidRDefault="00852CAE" w:rsidP="00E8056B">
    <w:pPr>
      <w:jc w:val="right"/>
      <w:rPr>
        <w:rFonts w:ascii="Arial" w:hAnsi="Arial" w:cs="Arial"/>
        <w:sz w:val="16"/>
        <w:szCs w:val="16"/>
      </w:rPr>
    </w:pPr>
  </w:p>
  <w:p w:rsidR="00852CAE" w:rsidRPr="00E8056B" w:rsidRDefault="00852CAE"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852CAE" w:rsidRPr="00E8056B" w:rsidRDefault="00852CAE"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00473000">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sidR="00473000">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D002A6">
    <w:pPr>
      <w:pStyle w:val="Footer"/>
      <w:jc w:val="right"/>
    </w:pPr>
    <w:fldSimple w:instr=" PAGE   \* MERGEFORMAT ">
      <w:r w:rsidR="00852CAE">
        <w:rPr>
          <w:noProof/>
        </w:rPr>
        <w:t>7</w:t>
      </w:r>
    </w:fldSimple>
  </w:p>
  <w:p w:rsidR="00852CAE" w:rsidRDefault="00852C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852CAE" w:rsidRPr="00A91411" w:rsidTr="00D735FF">
      <w:trPr>
        <w:trHeight w:val="278"/>
      </w:trPr>
      <w:tc>
        <w:tcPr>
          <w:tcW w:w="4927" w:type="dxa"/>
          <w:vAlign w:val="center"/>
        </w:tcPr>
        <w:p w:rsidR="00852CAE" w:rsidRPr="00A91411" w:rsidRDefault="00852CAE" w:rsidP="009D2BC0">
          <w:pPr>
            <w:pStyle w:val="Footer"/>
            <w:rPr>
              <w:rFonts w:ascii="Arial" w:hAnsi="Arial" w:cs="Arial"/>
              <w:sz w:val="14"/>
              <w:szCs w:val="14"/>
            </w:rPr>
          </w:pPr>
          <w:r w:rsidRPr="00A91411">
            <w:rPr>
              <w:rFonts w:ascii="Arial" w:hAnsi="Arial" w:cs="Arial"/>
              <w:sz w:val="14"/>
              <w:szCs w:val="14"/>
            </w:rPr>
            <w:t>Submission</w:t>
          </w:r>
          <w:r w:rsidR="00243A41">
            <w:rPr>
              <w:rFonts w:ascii="Arial" w:hAnsi="Arial" w:cs="Arial"/>
              <w:sz w:val="14"/>
              <w:szCs w:val="14"/>
            </w:rPr>
            <w:t>:</w:t>
          </w:r>
          <w:r w:rsidRPr="00A91411">
            <w:rPr>
              <w:rFonts w:ascii="Arial" w:hAnsi="Arial" w:cs="Arial"/>
              <w:sz w:val="14"/>
              <w:szCs w:val="14"/>
            </w:rPr>
            <w:t xml:space="preserve"> </w:t>
          </w:r>
          <w:r w:rsidR="00640BAE" w:rsidRPr="00640BAE">
            <w:rPr>
              <w:rFonts w:ascii="Arial" w:hAnsi="Arial" w:cs="Arial"/>
              <w:sz w:val="14"/>
              <w:szCs w:val="14"/>
            </w:rPr>
            <w:t xml:space="preserve">Department of Industry, Innovation, Climate Change, Science, Research and Tertiary Education  </w:t>
          </w:r>
        </w:p>
      </w:tc>
      <w:tc>
        <w:tcPr>
          <w:tcW w:w="4927" w:type="dxa"/>
          <w:vAlign w:val="center"/>
        </w:tcPr>
        <w:p w:rsidR="00852CAE" w:rsidRPr="00A91411" w:rsidRDefault="00852CAE" w:rsidP="00D735FF">
          <w:pPr>
            <w:pStyle w:val="Footer"/>
            <w:jc w:val="right"/>
            <w:rPr>
              <w:rFonts w:ascii="Arial" w:hAnsi="Arial" w:cs="Arial"/>
              <w:sz w:val="14"/>
              <w:szCs w:val="14"/>
            </w:rPr>
          </w:pPr>
          <w:r w:rsidRPr="00A91411">
            <w:rPr>
              <w:rFonts w:ascii="Arial" w:hAnsi="Arial" w:cs="Arial"/>
              <w:sz w:val="14"/>
              <w:szCs w:val="14"/>
            </w:rPr>
            <w:t xml:space="preserve">Page </w:t>
          </w:r>
          <w:r w:rsidR="00D002A6"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D002A6" w:rsidRPr="00A91411">
            <w:rPr>
              <w:rFonts w:ascii="Arial" w:hAnsi="Arial" w:cs="Arial"/>
              <w:sz w:val="14"/>
              <w:szCs w:val="14"/>
            </w:rPr>
            <w:fldChar w:fldCharType="separate"/>
          </w:r>
          <w:r w:rsidR="00344EB7">
            <w:rPr>
              <w:rFonts w:ascii="Arial" w:hAnsi="Arial" w:cs="Arial"/>
              <w:noProof/>
              <w:sz w:val="14"/>
              <w:szCs w:val="14"/>
            </w:rPr>
            <w:t>2</w:t>
          </w:r>
          <w:r w:rsidR="00D002A6" w:rsidRPr="00A91411">
            <w:rPr>
              <w:rFonts w:ascii="Arial" w:hAnsi="Arial" w:cs="Arial"/>
              <w:sz w:val="14"/>
              <w:szCs w:val="14"/>
            </w:rPr>
            <w:fldChar w:fldCharType="end"/>
          </w:r>
        </w:p>
      </w:tc>
    </w:tr>
  </w:tbl>
  <w:p w:rsidR="00852CAE" w:rsidRPr="00A91411" w:rsidRDefault="00852CAE">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BD" w:rsidRDefault="001B7EBD" w:rsidP="000F3D9F">
      <w:r>
        <w:separator/>
      </w:r>
    </w:p>
  </w:footnote>
  <w:footnote w:type="continuationSeparator" w:id="0">
    <w:p w:rsidR="001B7EBD" w:rsidRDefault="001B7EBD" w:rsidP="000F3D9F">
      <w:r>
        <w:continuationSeparator/>
      </w:r>
    </w:p>
  </w:footnote>
  <w:footnote w:id="1">
    <w:p w:rsidR="003D632D" w:rsidRPr="003D632D" w:rsidRDefault="003D632D" w:rsidP="003D632D">
      <w:pPr>
        <w:pStyle w:val="FootnoteText"/>
        <w:rPr>
          <w:sz w:val="16"/>
          <w:szCs w:val="16"/>
        </w:rPr>
      </w:pPr>
      <w:r w:rsidRPr="003D632D">
        <w:rPr>
          <w:rStyle w:val="FootnoteReference"/>
          <w:sz w:val="16"/>
          <w:szCs w:val="16"/>
        </w:rPr>
        <w:footnoteRef/>
      </w:r>
      <w:r w:rsidRPr="003D632D">
        <w:rPr>
          <w:sz w:val="16"/>
          <w:szCs w:val="16"/>
        </w:rPr>
        <w:t xml:space="preserve"> Environmental credentials of the Australian trucking industry - Cent</w:t>
      </w:r>
      <w:r>
        <w:rPr>
          <w:sz w:val="16"/>
          <w:szCs w:val="16"/>
        </w:rPr>
        <w:t xml:space="preserve">re for International Economics </w:t>
      </w:r>
      <w:r w:rsidRPr="003D632D">
        <w:rPr>
          <w:sz w:val="16"/>
          <w:szCs w:val="16"/>
        </w:rPr>
        <w:t>Canberra &amp; Sydney - 30 May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Pr="00E8056B" w:rsidRDefault="00852CAE"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852CAE" w:rsidRDefault="00852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D002A6">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Pr="0019542E" w:rsidRDefault="00852CAE"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D002A6">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B6"/>
    <w:multiLevelType w:val="hybridMultilevel"/>
    <w:tmpl w:val="EE0CC2E0"/>
    <w:lvl w:ilvl="0" w:tplc="3536E71E">
      <w:start w:val="2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A3427CA"/>
    <w:multiLevelType w:val="hybridMultilevel"/>
    <w:tmpl w:val="2F4C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31F4B"/>
    <w:multiLevelType w:val="hybridMultilevel"/>
    <w:tmpl w:val="90B6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155F75"/>
    <w:multiLevelType w:val="hybridMultilevel"/>
    <w:tmpl w:val="A1C4642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nsid w:val="3B7E078D"/>
    <w:multiLevelType w:val="hybridMultilevel"/>
    <w:tmpl w:val="CADE2AB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nsid w:val="3DA35423"/>
    <w:multiLevelType w:val="hybridMultilevel"/>
    <w:tmpl w:val="8ED4C190"/>
    <w:lvl w:ilvl="0" w:tplc="6C94C3F0">
      <w:start w:val="1"/>
      <w:numFmt w:val="decimal"/>
      <w:pStyle w:val="RecommendationStyle"/>
      <w:lvlText w:val="Recommendation %1"/>
      <w:lvlJc w:val="left"/>
      <w:pPr>
        <w:tabs>
          <w:tab w:val="num" w:pos="2752"/>
        </w:tabs>
      </w:pPr>
      <w:rPr>
        <w:rFonts w:ascii="Arial" w:hAnsi="Arial" w:cs="Times New Roman" w:hint="default"/>
        <w:b/>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3000"/>
        </w:tabs>
        <w:ind w:left="3000" w:hanging="360"/>
      </w:pPr>
      <w:rPr>
        <w:rFonts w:cs="Times New Roman"/>
      </w:rPr>
    </w:lvl>
    <w:lvl w:ilvl="2" w:tplc="0C09001B" w:tentative="1">
      <w:start w:val="1"/>
      <w:numFmt w:val="lowerRoman"/>
      <w:lvlText w:val="%3."/>
      <w:lvlJc w:val="right"/>
      <w:pPr>
        <w:tabs>
          <w:tab w:val="num" w:pos="3720"/>
        </w:tabs>
        <w:ind w:left="3720" w:hanging="180"/>
      </w:pPr>
      <w:rPr>
        <w:rFonts w:cs="Times New Roman"/>
      </w:rPr>
    </w:lvl>
    <w:lvl w:ilvl="3" w:tplc="0C09000F" w:tentative="1">
      <w:start w:val="1"/>
      <w:numFmt w:val="decimal"/>
      <w:lvlText w:val="%4."/>
      <w:lvlJc w:val="left"/>
      <w:pPr>
        <w:tabs>
          <w:tab w:val="num" w:pos="4440"/>
        </w:tabs>
        <w:ind w:left="4440" w:hanging="360"/>
      </w:pPr>
      <w:rPr>
        <w:rFonts w:cs="Times New Roman"/>
      </w:rPr>
    </w:lvl>
    <w:lvl w:ilvl="4" w:tplc="0C090019" w:tentative="1">
      <w:start w:val="1"/>
      <w:numFmt w:val="lowerLetter"/>
      <w:lvlText w:val="%5."/>
      <w:lvlJc w:val="left"/>
      <w:pPr>
        <w:tabs>
          <w:tab w:val="num" w:pos="5160"/>
        </w:tabs>
        <w:ind w:left="5160" w:hanging="360"/>
      </w:pPr>
      <w:rPr>
        <w:rFonts w:cs="Times New Roman"/>
      </w:rPr>
    </w:lvl>
    <w:lvl w:ilvl="5" w:tplc="0C09001B" w:tentative="1">
      <w:start w:val="1"/>
      <w:numFmt w:val="lowerRoman"/>
      <w:lvlText w:val="%6."/>
      <w:lvlJc w:val="right"/>
      <w:pPr>
        <w:tabs>
          <w:tab w:val="num" w:pos="5880"/>
        </w:tabs>
        <w:ind w:left="5880" w:hanging="180"/>
      </w:pPr>
      <w:rPr>
        <w:rFonts w:cs="Times New Roman"/>
      </w:rPr>
    </w:lvl>
    <w:lvl w:ilvl="6" w:tplc="0C09000F" w:tentative="1">
      <w:start w:val="1"/>
      <w:numFmt w:val="decimal"/>
      <w:lvlText w:val="%7."/>
      <w:lvlJc w:val="left"/>
      <w:pPr>
        <w:tabs>
          <w:tab w:val="num" w:pos="6600"/>
        </w:tabs>
        <w:ind w:left="6600" w:hanging="360"/>
      </w:pPr>
      <w:rPr>
        <w:rFonts w:cs="Times New Roman"/>
      </w:rPr>
    </w:lvl>
    <w:lvl w:ilvl="7" w:tplc="0C090019" w:tentative="1">
      <w:start w:val="1"/>
      <w:numFmt w:val="lowerLetter"/>
      <w:lvlText w:val="%8."/>
      <w:lvlJc w:val="left"/>
      <w:pPr>
        <w:tabs>
          <w:tab w:val="num" w:pos="7320"/>
        </w:tabs>
        <w:ind w:left="7320" w:hanging="360"/>
      </w:pPr>
      <w:rPr>
        <w:rFonts w:cs="Times New Roman"/>
      </w:rPr>
    </w:lvl>
    <w:lvl w:ilvl="8" w:tplc="0C09001B" w:tentative="1">
      <w:start w:val="1"/>
      <w:numFmt w:val="lowerRoman"/>
      <w:lvlText w:val="%9."/>
      <w:lvlJc w:val="right"/>
      <w:pPr>
        <w:tabs>
          <w:tab w:val="num" w:pos="8040"/>
        </w:tabs>
        <w:ind w:left="8040" w:hanging="180"/>
      </w:pPr>
      <w:rPr>
        <w:rFonts w:cs="Times New Roman"/>
      </w:rPr>
    </w:lvl>
  </w:abstractNum>
  <w:abstractNum w:abstractNumId="6">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72A27B62"/>
    <w:multiLevelType w:val="hybridMultilevel"/>
    <w:tmpl w:val="4BEC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5"/>
  </w:num>
  <w:num w:numId="5">
    <w:abstractNumId w:val="6"/>
  </w:num>
  <w:num w:numId="6">
    <w:abstractNumId w:val="6"/>
  </w:num>
  <w:num w:numId="7">
    <w:abstractNumId w:val="6"/>
  </w:num>
  <w:num w:numId="8">
    <w:abstractNumId w:val="6"/>
  </w:num>
  <w:num w:numId="9">
    <w:abstractNumId w:val="5"/>
  </w:num>
  <w:num w:numId="10">
    <w:abstractNumId w:val="5"/>
  </w:num>
  <w:num w:numId="11">
    <w:abstractNumId w:val="6"/>
  </w:num>
  <w:num w:numId="12">
    <w:abstractNumId w:val="6"/>
  </w:num>
  <w:num w:numId="13">
    <w:abstractNumId w:val="1"/>
  </w:num>
  <w:num w:numId="14">
    <w:abstractNumId w:val="2"/>
  </w:num>
  <w:num w:numId="15">
    <w:abstractNumId w:val="0"/>
  </w:num>
  <w:num w:numId="16">
    <w:abstractNumId w:val="6"/>
  </w:num>
  <w:num w:numId="17">
    <w:abstractNumId w:val="6"/>
  </w:num>
  <w:num w:numId="18">
    <w:abstractNumId w:val="6"/>
  </w:num>
  <w:num w:numId="19">
    <w:abstractNumId w:val="6"/>
  </w:num>
  <w:num w:numId="20">
    <w:abstractNumId w:val="6"/>
  </w:num>
  <w:num w:numId="21">
    <w:abstractNumId w:val="4"/>
  </w:num>
  <w:num w:numId="22">
    <w:abstractNumId w:val="5"/>
  </w:num>
  <w:num w:numId="23">
    <w:abstractNumId w:val="5"/>
  </w:num>
  <w:num w:numId="24">
    <w:abstractNumId w:val="5"/>
  </w:num>
  <w:num w:numId="25">
    <w:abstractNumId w:val="7"/>
  </w:num>
  <w:num w:numId="26">
    <w:abstractNumId w:val="6"/>
  </w:num>
  <w:num w:numId="27">
    <w:abstractNumId w:val="6"/>
  </w:num>
  <w:num w:numId="28">
    <w:abstractNumId w:val="6"/>
  </w:num>
  <w:num w:numId="29">
    <w:abstractNumId w:val="6"/>
  </w:num>
  <w:num w:numId="30">
    <w:abstractNumId w:val="5"/>
  </w:num>
  <w:num w:numId="31">
    <w:abstractNumId w:val="5"/>
  </w:num>
  <w:num w:numId="3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75778"/>
    <o:shapelayout v:ext="edit">
      <o:idmap v:ext="edit" data="2"/>
    </o:shapelayout>
  </w:hdrShapeDefaults>
  <w:footnotePr>
    <w:footnote w:id="-1"/>
    <w:footnote w:id="0"/>
  </w:footnotePr>
  <w:endnotePr>
    <w:endnote w:id="-1"/>
    <w:endnote w:id="0"/>
  </w:endnotePr>
  <w:compat/>
  <w:rsids>
    <w:rsidRoot w:val="00C1627A"/>
    <w:rsid w:val="00004DB4"/>
    <w:rsid w:val="00005E0D"/>
    <w:rsid w:val="00010704"/>
    <w:rsid w:val="000118F7"/>
    <w:rsid w:val="00011D52"/>
    <w:rsid w:val="000156D1"/>
    <w:rsid w:val="0002025F"/>
    <w:rsid w:val="00023B28"/>
    <w:rsid w:val="00035CFC"/>
    <w:rsid w:val="0004076B"/>
    <w:rsid w:val="00040876"/>
    <w:rsid w:val="00040D26"/>
    <w:rsid w:val="0004192B"/>
    <w:rsid w:val="00042D2E"/>
    <w:rsid w:val="00043AF0"/>
    <w:rsid w:val="00044533"/>
    <w:rsid w:val="00046042"/>
    <w:rsid w:val="00050881"/>
    <w:rsid w:val="00052E9C"/>
    <w:rsid w:val="0006283B"/>
    <w:rsid w:val="0007542B"/>
    <w:rsid w:val="00075E7B"/>
    <w:rsid w:val="00076C90"/>
    <w:rsid w:val="00077B50"/>
    <w:rsid w:val="00083C15"/>
    <w:rsid w:val="000848A1"/>
    <w:rsid w:val="000868C6"/>
    <w:rsid w:val="000875E7"/>
    <w:rsid w:val="000937DB"/>
    <w:rsid w:val="00095C3B"/>
    <w:rsid w:val="000A151F"/>
    <w:rsid w:val="000A2BCF"/>
    <w:rsid w:val="000A4EB0"/>
    <w:rsid w:val="000A62F7"/>
    <w:rsid w:val="000B069A"/>
    <w:rsid w:val="000B351D"/>
    <w:rsid w:val="000B4161"/>
    <w:rsid w:val="000B6D2A"/>
    <w:rsid w:val="000B773A"/>
    <w:rsid w:val="000C01AC"/>
    <w:rsid w:val="000C0C35"/>
    <w:rsid w:val="000C15B7"/>
    <w:rsid w:val="000C310A"/>
    <w:rsid w:val="000C594D"/>
    <w:rsid w:val="000D274C"/>
    <w:rsid w:val="000D528B"/>
    <w:rsid w:val="000D6381"/>
    <w:rsid w:val="000E408F"/>
    <w:rsid w:val="000E67CA"/>
    <w:rsid w:val="000E7B14"/>
    <w:rsid w:val="000E7C73"/>
    <w:rsid w:val="000F080E"/>
    <w:rsid w:val="000F0F7B"/>
    <w:rsid w:val="000F30FF"/>
    <w:rsid w:val="000F3D9F"/>
    <w:rsid w:val="000F53C2"/>
    <w:rsid w:val="000F566E"/>
    <w:rsid w:val="000F5D0B"/>
    <w:rsid w:val="000F7F6F"/>
    <w:rsid w:val="00100ED4"/>
    <w:rsid w:val="001019C0"/>
    <w:rsid w:val="00110610"/>
    <w:rsid w:val="001202C1"/>
    <w:rsid w:val="00121A53"/>
    <w:rsid w:val="00121A86"/>
    <w:rsid w:val="00125795"/>
    <w:rsid w:val="0013041A"/>
    <w:rsid w:val="001368EB"/>
    <w:rsid w:val="00141274"/>
    <w:rsid w:val="0014437E"/>
    <w:rsid w:val="00145022"/>
    <w:rsid w:val="001463C2"/>
    <w:rsid w:val="0014683D"/>
    <w:rsid w:val="00150065"/>
    <w:rsid w:val="00151950"/>
    <w:rsid w:val="00151F88"/>
    <w:rsid w:val="00152A71"/>
    <w:rsid w:val="001533EC"/>
    <w:rsid w:val="00160FE3"/>
    <w:rsid w:val="001611AB"/>
    <w:rsid w:val="00164A4D"/>
    <w:rsid w:val="00170107"/>
    <w:rsid w:val="00170FC2"/>
    <w:rsid w:val="001811B8"/>
    <w:rsid w:val="0018136A"/>
    <w:rsid w:val="001817F5"/>
    <w:rsid w:val="0019542E"/>
    <w:rsid w:val="001A024F"/>
    <w:rsid w:val="001A0DC3"/>
    <w:rsid w:val="001A5FE2"/>
    <w:rsid w:val="001A6510"/>
    <w:rsid w:val="001B3E52"/>
    <w:rsid w:val="001B46F6"/>
    <w:rsid w:val="001B7EBD"/>
    <w:rsid w:val="001C121B"/>
    <w:rsid w:val="001C125D"/>
    <w:rsid w:val="001C13A5"/>
    <w:rsid w:val="001C3659"/>
    <w:rsid w:val="001D038B"/>
    <w:rsid w:val="001D1836"/>
    <w:rsid w:val="001D50C7"/>
    <w:rsid w:val="001D77A8"/>
    <w:rsid w:val="001D7817"/>
    <w:rsid w:val="001E0A75"/>
    <w:rsid w:val="001E0C14"/>
    <w:rsid w:val="001E1665"/>
    <w:rsid w:val="001E232E"/>
    <w:rsid w:val="001E3126"/>
    <w:rsid w:val="001F187C"/>
    <w:rsid w:val="001F2FD4"/>
    <w:rsid w:val="001F32AB"/>
    <w:rsid w:val="001F5A9B"/>
    <w:rsid w:val="001F5CDF"/>
    <w:rsid w:val="002041FF"/>
    <w:rsid w:val="00210F1F"/>
    <w:rsid w:val="0021180A"/>
    <w:rsid w:val="00212936"/>
    <w:rsid w:val="00213A18"/>
    <w:rsid w:val="00213C59"/>
    <w:rsid w:val="002158C8"/>
    <w:rsid w:val="00216CE6"/>
    <w:rsid w:val="0023045E"/>
    <w:rsid w:val="00230DFC"/>
    <w:rsid w:val="002317DA"/>
    <w:rsid w:val="00241C15"/>
    <w:rsid w:val="00243A41"/>
    <w:rsid w:val="002502EF"/>
    <w:rsid w:val="00250E06"/>
    <w:rsid w:val="00252169"/>
    <w:rsid w:val="00252BD7"/>
    <w:rsid w:val="0025356A"/>
    <w:rsid w:val="00253E0B"/>
    <w:rsid w:val="002543DF"/>
    <w:rsid w:val="00261A34"/>
    <w:rsid w:val="00262C0A"/>
    <w:rsid w:val="002650CE"/>
    <w:rsid w:val="0026620C"/>
    <w:rsid w:val="00266915"/>
    <w:rsid w:val="002670B8"/>
    <w:rsid w:val="00267830"/>
    <w:rsid w:val="00294E3C"/>
    <w:rsid w:val="00296633"/>
    <w:rsid w:val="002A010F"/>
    <w:rsid w:val="002A237B"/>
    <w:rsid w:val="002A43F0"/>
    <w:rsid w:val="002A4859"/>
    <w:rsid w:val="002B1828"/>
    <w:rsid w:val="002B1F61"/>
    <w:rsid w:val="002B2136"/>
    <w:rsid w:val="002B381D"/>
    <w:rsid w:val="002B3AEF"/>
    <w:rsid w:val="002B618E"/>
    <w:rsid w:val="002B6CC2"/>
    <w:rsid w:val="002C1799"/>
    <w:rsid w:val="002C7D3E"/>
    <w:rsid w:val="002C7FF6"/>
    <w:rsid w:val="002D592D"/>
    <w:rsid w:val="002D5D45"/>
    <w:rsid w:val="002D7FDB"/>
    <w:rsid w:val="002E453E"/>
    <w:rsid w:val="002E5D82"/>
    <w:rsid w:val="002E782F"/>
    <w:rsid w:val="002E7897"/>
    <w:rsid w:val="002E7F28"/>
    <w:rsid w:val="002F0EBE"/>
    <w:rsid w:val="002F2F65"/>
    <w:rsid w:val="002F42BE"/>
    <w:rsid w:val="002F6212"/>
    <w:rsid w:val="002F632C"/>
    <w:rsid w:val="00306FBF"/>
    <w:rsid w:val="00311797"/>
    <w:rsid w:val="0031301A"/>
    <w:rsid w:val="00320AFE"/>
    <w:rsid w:val="00320F07"/>
    <w:rsid w:val="00321A43"/>
    <w:rsid w:val="0032308F"/>
    <w:rsid w:val="00325A6C"/>
    <w:rsid w:val="00334926"/>
    <w:rsid w:val="00336037"/>
    <w:rsid w:val="00336760"/>
    <w:rsid w:val="00341FEC"/>
    <w:rsid w:val="00342826"/>
    <w:rsid w:val="0034321B"/>
    <w:rsid w:val="0034469B"/>
    <w:rsid w:val="00344EB7"/>
    <w:rsid w:val="00352490"/>
    <w:rsid w:val="003533CA"/>
    <w:rsid w:val="00354394"/>
    <w:rsid w:val="0035493A"/>
    <w:rsid w:val="00360759"/>
    <w:rsid w:val="00372153"/>
    <w:rsid w:val="00374216"/>
    <w:rsid w:val="00374530"/>
    <w:rsid w:val="00384772"/>
    <w:rsid w:val="0039063B"/>
    <w:rsid w:val="003911E4"/>
    <w:rsid w:val="003958D9"/>
    <w:rsid w:val="003B0E35"/>
    <w:rsid w:val="003B1657"/>
    <w:rsid w:val="003B1937"/>
    <w:rsid w:val="003B6150"/>
    <w:rsid w:val="003B74E4"/>
    <w:rsid w:val="003C2311"/>
    <w:rsid w:val="003D632D"/>
    <w:rsid w:val="003D6EC5"/>
    <w:rsid w:val="003D6FA8"/>
    <w:rsid w:val="003E020A"/>
    <w:rsid w:val="003E022B"/>
    <w:rsid w:val="003E09AB"/>
    <w:rsid w:val="003E269D"/>
    <w:rsid w:val="003E2B20"/>
    <w:rsid w:val="003F6CA9"/>
    <w:rsid w:val="004008C7"/>
    <w:rsid w:val="00403823"/>
    <w:rsid w:val="00403AB5"/>
    <w:rsid w:val="00404731"/>
    <w:rsid w:val="004053D4"/>
    <w:rsid w:val="004115B6"/>
    <w:rsid w:val="00413868"/>
    <w:rsid w:val="00413F6B"/>
    <w:rsid w:val="00415126"/>
    <w:rsid w:val="004164B0"/>
    <w:rsid w:val="00417A6F"/>
    <w:rsid w:val="004205EF"/>
    <w:rsid w:val="00421306"/>
    <w:rsid w:val="00422BB7"/>
    <w:rsid w:val="00423CCC"/>
    <w:rsid w:val="00424D3E"/>
    <w:rsid w:val="0042557B"/>
    <w:rsid w:val="0043033F"/>
    <w:rsid w:val="004318DC"/>
    <w:rsid w:val="004353C2"/>
    <w:rsid w:val="00437271"/>
    <w:rsid w:val="00440231"/>
    <w:rsid w:val="00440F44"/>
    <w:rsid w:val="004456CC"/>
    <w:rsid w:val="00445CDC"/>
    <w:rsid w:val="00450702"/>
    <w:rsid w:val="00450FF8"/>
    <w:rsid w:val="00461C8E"/>
    <w:rsid w:val="00462D0A"/>
    <w:rsid w:val="004640D1"/>
    <w:rsid w:val="0047036B"/>
    <w:rsid w:val="00470608"/>
    <w:rsid w:val="00470721"/>
    <w:rsid w:val="00472115"/>
    <w:rsid w:val="00473000"/>
    <w:rsid w:val="00475C39"/>
    <w:rsid w:val="004803E5"/>
    <w:rsid w:val="00482A22"/>
    <w:rsid w:val="00484068"/>
    <w:rsid w:val="00487F0F"/>
    <w:rsid w:val="0049414B"/>
    <w:rsid w:val="00496486"/>
    <w:rsid w:val="004977DE"/>
    <w:rsid w:val="004A2F6F"/>
    <w:rsid w:val="004B26EB"/>
    <w:rsid w:val="004B6187"/>
    <w:rsid w:val="004B7FFA"/>
    <w:rsid w:val="004C155A"/>
    <w:rsid w:val="004C21BB"/>
    <w:rsid w:val="004C2EB3"/>
    <w:rsid w:val="004C3CC3"/>
    <w:rsid w:val="004C4418"/>
    <w:rsid w:val="004D0B01"/>
    <w:rsid w:val="004D43D2"/>
    <w:rsid w:val="004D652E"/>
    <w:rsid w:val="004E0CAD"/>
    <w:rsid w:val="004E1EBB"/>
    <w:rsid w:val="004E3959"/>
    <w:rsid w:val="004E5EA3"/>
    <w:rsid w:val="004F112A"/>
    <w:rsid w:val="004F1B89"/>
    <w:rsid w:val="004F3B07"/>
    <w:rsid w:val="004F42DC"/>
    <w:rsid w:val="004F5155"/>
    <w:rsid w:val="004F7647"/>
    <w:rsid w:val="005018B0"/>
    <w:rsid w:val="00510952"/>
    <w:rsid w:val="005223FD"/>
    <w:rsid w:val="00525303"/>
    <w:rsid w:val="00527304"/>
    <w:rsid w:val="0053137B"/>
    <w:rsid w:val="00532BFB"/>
    <w:rsid w:val="005365E0"/>
    <w:rsid w:val="00542479"/>
    <w:rsid w:val="00544362"/>
    <w:rsid w:val="00550256"/>
    <w:rsid w:val="0056179B"/>
    <w:rsid w:val="00565F92"/>
    <w:rsid w:val="00571E75"/>
    <w:rsid w:val="00573408"/>
    <w:rsid w:val="00576ED0"/>
    <w:rsid w:val="00576F0D"/>
    <w:rsid w:val="00580BDF"/>
    <w:rsid w:val="00580F20"/>
    <w:rsid w:val="00583EC7"/>
    <w:rsid w:val="00586C72"/>
    <w:rsid w:val="00587C8F"/>
    <w:rsid w:val="00593217"/>
    <w:rsid w:val="005A0D15"/>
    <w:rsid w:val="005A18D7"/>
    <w:rsid w:val="005A2A86"/>
    <w:rsid w:val="005A4466"/>
    <w:rsid w:val="005B3729"/>
    <w:rsid w:val="005B7DF0"/>
    <w:rsid w:val="005C154E"/>
    <w:rsid w:val="005C31A0"/>
    <w:rsid w:val="005C4952"/>
    <w:rsid w:val="005C63F7"/>
    <w:rsid w:val="005C74C9"/>
    <w:rsid w:val="005D2355"/>
    <w:rsid w:val="005D2565"/>
    <w:rsid w:val="005D6CD2"/>
    <w:rsid w:val="005D6E23"/>
    <w:rsid w:val="005E11FC"/>
    <w:rsid w:val="005E16F9"/>
    <w:rsid w:val="005E28FB"/>
    <w:rsid w:val="005E5130"/>
    <w:rsid w:val="005E6294"/>
    <w:rsid w:val="005E6D8B"/>
    <w:rsid w:val="005F1009"/>
    <w:rsid w:val="005F21D1"/>
    <w:rsid w:val="005F5ACC"/>
    <w:rsid w:val="005F6288"/>
    <w:rsid w:val="005F69CC"/>
    <w:rsid w:val="005F76B2"/>
    <w:rsid w:val="00605DDD"/>
    <w:rsid w:val="00605E06"/>
    <w:rsid w:val="00607663"/>
    <w:rsid w:val="006104D6"/>
    <w:rsid w:val="006109E9"/>
    <w:rsid w:val="00610CFE"/>
    <w:rsid w:val="006231E7"/>
    <w:rsid w:val="006244DA"/>
    <w:rsid w:val="00640940"/>
    <w:rsid w:val="00640AF8"/>
    <w:rsid w:val="00640BAE"/>
    <w:rsid w:val="00640DAD"/>
    <w:rsid w:val="00640EF1"/>
    <w:rsid w:val="0064190A"/>
    <w:rsid w:val="00646E3D"/>
    <w:rsid w:val="0066173F"/>
    <w:rsid w:val="00663584"/>
    <w:rsid w:val="006724CC"/>
    <w:rsid w:val="00674463"/>
    <w:rsid w:val="00683D7C"/>
    <w:rsid w:val="006859F7"/>
    <w:rsid w:val="0069019B"/>
    <w:rsid w:val="00693363"/>
    <w:rsid w:val="00696A94"/>
    <w:rsid w:val="006A41AF"/>
    <w:rsid w:val="006A797E"/>
    <w:rsid w:val="006B4380"/>
    <w:rsid w:val="006C38AD"/>
    <w:rsid w:val="006C6B74"/>
    <w:rsid w:val="006D09EF"/>
    <w:rsid w:val="006D4D41"/>
    <w:rsid w:val="006D5D21"/>
    <w:rsid w:val="006F050F"/>
    <w:rsid w:val="006F2940"/>
    <w:rsid w:val="006F2B0C"/>
    <w:rsid w:val="006F3537"/>
    <w:rsid w:val="006F513F"/>
    <w:rsid w:val="00703EBF"/>
    <w:rsid w:val="007055B2"/>
    <w:rsid w:val="007162A5"/>
    <w:rsid w:val="0071762D"/>
    <w:rsid w:val="00725BC0"/>
    <w:rsid w:val="00726797"/>
    <w:rsid w:val="00726CB4"/>
    <w:rsid w:val="00733700"/>
    <w:rsid w:val="00740005"/>
    <w:rsid w:val="00740DF8"/>
    <w:rsid w:val="00753381"/>
    <w:rsid w:val="0075427A"/>
    <w:rsid w:val="0076304F"/>
    <w:rsid w:val="0076700C"/>
    <w:rsid w:val="007823E0"/>
    <w:rsid w:val="00784B86"/>
    <w:rsid w:val="00791216"/>
    <w:rsid w:val="00792CEB"/>
    <w:rsid w:val="007A3E56"/>
    <w:rsid w:val="007A530A"/>
    <w:rsid w:val="007A5771"/>
    <w:rsid w:val="007A69C1"/>
    <w:rsid w:val="007B2559"/>
    <w:rsid w:val="007B3B54"/>
    <w:rsid w:val="007B3BE2"/>
    <w:rsid w:val="007B6890"/>
    <w:rsid w:val="007B6A76"/>
    <w:rsid w:val="007B711A"/>
    <w:rsid w:val="007C3F49"/>
    <w:rsid w:val="007C5B64"/>
    <w:rsid w:val="007C65D4"/>
    <w:rsid w:val="007C700A"/>
    <w:rsid w:val="007D0E21"/>
    <w:rsid w:val="007D3AA9"/>
    <w:rsid w:val="007D3C3E"/>
    <w:rsid w:val="007D608A"/>
    <w:rsid w:val="007D7062"/>
    <w:rsid w:val="007D7069"/>
    <w:rsid w:val="007E257F"/>
    <w:rsid w:val="007E4C70"/>
    <w:rsid w:val="007E68E9"/>
    <w:rsid w:val="007F4404"/>
    <w:rsid w:val="007F44BE"/>
    <w:rsid w:val="007F4C48"/>
    <w:rsid w:val="00802108"/>
    <w:rsid w:val="00802A51"/>
    <w:rsid w:val="00802CA7"/>
    <w:rsid w:val="0080371C"/>
    <w:rsid w:val="00806EFF"/>
    <w:rsid w:val="00821537"/>
    <w:rsid w:val="00825C08"/>
    <w:rsid w:val="0083058C"/>
    <w:rsid w:val="008344FF"/>
    <w:rsid w:val="00834ACA"/>
    <w:rsid w:val="00835DE7"/>
    <w:rsid w:val="00836304"/>
    <w:rsid w:val="0083631A"/>
    <w:rsid w:val="00840E08"/>
    <w:rsid w:val="0084540A"/>
    <w:rsid w:val="00852A83"/>
    <w:rsid w:val="00852CAE"/>
    <w:rsid w:val="00853473"/>
    <w:rsid w:val="00853E1F"/>
    <w:rsid w:val="00854D3E"/>
    <w:rsid w:val="008555C2"/>
    <w:rsid w:val="0086067F"/>
    <w:rsid w:val="00861D20"/>
    <w:rsid w:val="0086334C"/>
    <w:rsid w:val="00865F30"/>
    <w:rsid w:val="00872E19"/>
    <w:rsid w:val="00874AAE"/>
    <w:rsid w:val="00875BF1"/>
    <w:rsid w:val="00875E89"/>
    <w:rsid w:val="00877FD8"/>
    <w:rsid w:val="00881A97"/>
    <w:rsid w:val="00884504"/>
    <w:rsid w:val="00885F8A"/>
    <w:rsid w:val="00890346"/>
    <w:rsid w:val="00891979"/>
    <w:rsid w:val="008A2027"/>
    <w:rsid w:val="008A2B09"/>
    <w:rsid w:val="008A5088"/>
    <w:rsid w:val="008A61F2"/>
    <w:rsid w:val="008B0EEF"/>
    <w:rsid w:val="008B4B63"/>
    <w:rsid w:val="008B6B50"/>
    <w:rsid w:val="008B72CA"/>
    <w:rsid w:val="008B7312"/>
    <w:rsid w:val="008B7F9F"/>
    <w:rsid w:val="008C1818"/>
    <w:rsid w:val="008C3057"/>
    <w:rsid w:val="008C38B7"/>
    <w:rsid w:val="008D5426"/>
    <w:rsid w:val="008E1721"/>
    <w:rsid w:val="008E3865"/>
    <w:rsid w:val="008E3CD2"/>
    <w:rsid w:val="008E5C44"/>
    <w:rsid w:val="008F11A3"/>
    <w:rsid w:val="008F3744"/>
    <w:rsid w:val="0090183B"/>
    <w:rsid w:val="00905A43"/>
    <w:rsid w:val="00907060"/>
    <w:rsid w:val="00907971"/>
    <w:rsid w:val="00910C5A"/>
    <w:rsid w:val="009123A6"/>
    <w:rsid w:val="0091288A"/>
    <w:rsid w:val="009132E3"/>
    <w:rsid w:val="009148AC"/>
    <w:rsid w:val="00914C1D"/>
    <w:rsid w:val="0093244E"/>
    <w:rsid w:val="009333F1"/>
    <w:rsid w:val="0093720E"/>
    <w:rsid w:val="00940D05"/>
    <w:rsid w:val="00943829"/>
    <w:rsid w:val="00946E17"/>
    <w:rsid w:val="00955AD3"/>
    <w:rsid w:val="00960FE0"/>
    <w:rsid w:val="00964194"/>
    <w:rsid w:val="00964D25"/>
    <w:rsid w:val="00966A2E"/>
    <w:rsid w:val="00973AF4"/>
    <w:rsid w:val="0098465E"/>
    <w:rsid w:val="00986804"/>
    <w:rsid w:val="00990F9E"/>
    <w:rsid w:val="00993BAE"/>
    <w:rsid w:val="0099546D"/>
    <w:rsid w:val="009960F9"/>
    <w:rsid w:val="0099770C"/>
    <w:rsid w:val="009A3853"/>
    <w:rsid w:val="009A4534"/>
    <w:rsid w:val="009A6610"/>
    <w:rsid w:val="009B029F"/>
    <w:rsid w:val="009B0520"/>
    <w:rsid w:val="009B080B"/>
    <w:rsid w:val="009B19FF"/>
    <w:rsid w:val="009B4220"/>
    <w:rsid w:val="009C4CAC"/>
    <w:rsid w:val="009C5B87"/>
    <w:rsid w:val="009D04CD"/>
    <w:rsid w:val="009D07EF"/>
    <w:rsid w:val="009D23E9"/>
    <w:rsid w:val="009D2BC0"/>
    <w:rsid w:val="009D2F28"/>
    <w:rsid w:val="009D327F"/>
    <w:rsid w:val="009D3731"/>
    <w:rsid w:val="009D56D7"/>
    <w:rsid w:val="009D7F5D"/>
    <w:rsid w:val="009E300F"/>
    <w:rsid w:val="009E77F2"/>
    <w:rsid w:val="009F3DF5"/>
    <w:rsid w:val="00A0156A"/>
    <w:rsid w:val="00A02972"/>
    <w:rsid w:val="00A036CA"/>
    <w:rsid w:val="00A0493F"/>
    <w:rsid w:val="00A05C28"/>
    <w:rsid w:val="00A06C96"/>
    <w:rsid w:val="00A10889"/>
    <w:rsid w:val="00A109D4"/>
    <w:rsid w:val="00A11E5E"/>
    <w:rsid w:val="00A12D70"/>
    <w:rsid w:val="00A1430A"/>
    <w:rsid w:val="00A2215A"/>
    <w:rsid w:val="00A25AFB"/>
    <w:rsid w:val="00A300E2"/>
    <w:rsid w:val="00A31C8A"/>
    <w:rsid w:val="00A36B6F"/>
    <w:rsid w:val="00A36C35"/>
    <w:rsid w:val="00A37A93"/>
    <w:rsid w:val="00A43834"/>
    <w:rsid w:val="00A438B7"/>
    <w:rsid w:val="00A44995"/>
    <w:rsid w:val="00A44D65"/>
    <w:rsid w:val="00A54248"/>
    <w:rsid w:val="00A57D2F"/>
    <w:rsid w:val="00A6297F"/>
    <w:rsid w:val="00A65515"/>
    <w:rsid w:val="00A71876"/>
    <w:rsid w:val="00A76D9B"/>
    <w:rsid w:val="00A832A0"/>
    <w:rsid w:val="00A83403"/>
    <w:rsid w:val="00A87317"/>
    <w:rsid w:val="00A91411"/>
    <w:rsid w:val="00A91CFD"/>
    <w:rsid w:val="00A94647"/>
    <w:rsid w:val="00AA0612"/>
    <w:rsid w:val="00AA2D57"/>
    <w:rsid w:val="00AB29C7"/>
    <w:rsid w:val="00AB3AD5"/>
    <w:rsid w:val="00AB538B"/>
    <w:rsid w:val="00AB6D11"/>
    <w:rsid w:val="00AC2FD9"/>
    <w:rsid w:val="00AC5BED"/>
    <w:rsid w:val="00AC72F0"/>
    <w:rsid w:val="00AD0E7C"/>
    <w:rsid w:val="00AD29E4"/>
    <w:rsid w:val="00AD3A50"/>
    <w:rsid w:val="00AD51CE"/>
    <w:rsid w:val="00AD7650"/>
    <w:rsid w:val="00AE2628"/>
    <w:rsid w:val="00AE51CF"/>
    <w:rsid w:val="00AE565F"/>
    <w:rsid w:val="00AE7959"/>
    <w:rsid w:val="00AF76B9"/>
    <w:rsid w:val="00B01724"/>
    <w:rsid w:val="00B04623"/>
    <w:rsid w:val="00B05E3F"/>
    <w:rsid w:val="00B05F83"/>
    <w:rsid w:val="00B07BC7"/>
    <w:rsid w:val="00B11307"/>
    <w:rsid w:val="00B129CD"/>
    <w:rsid w:val="00B13B6B"/>
    <w:rsid w:val="00B15CA5"/>
    <w:rsid w:val="00B31461"/>
    <w:rsid w:val="00B31649"/>
    <w:rsid w:val="00B343A0"/>
    <w:rsid w:val="00B43E2A"/>
    <w:rsid w:val="00B50C38"/>
    <w:rsid w:val="00B53589"/>
    <w:rsid w:val="00B55488"/>
    <w:rsid w:val="00B556AC"/>
    <w:rsid w:val="00B56443"/>
    <w:rsid w:val="00B615F9"/>
    <w:rsid w:val="00B63232"/>
    <w:rsid w:val="00B636DC"/>
    <w:rsid w:val="00B64B1F"/>
    <w:rsid w:val="00B668E7"/>
    <w:rsid w:val="00B73CD8"/>
    <w:rsid w:val="00B751A7"/>
    <w:rsid w:val="00B75AB6"/>
    <w:rsid w:val="00B845F8"/>
    <w:rsid w:val="00B867DD"/>
    <w:rsid w:val="00B90EA0"/>
    <w:rsid w:val="00B914D3"/>
    <w:rsid w:val="00B96747"/>
    <w:rsid w:val="00BA0CE8"/>
    <w:rsid w:val="00BA18F3"/>
    <w:rsid w:val="00BA19BE"/>
    <w:rsid w:val="00BA6396"/>
    <w:rsid w:val="00BA7FAA"/>
    <w:rsid w:val="00BB5576"/>
    <w:rsid w:val="00BC0B49"/>
    <w:rsid w:val="00BC63F3"/>
    <w:rsid w:val="00BE46AC"/>
    <w:rsid w:val="00BE639D"/>
    <w:rsid w:val="00BF59CB"/>
    <w:rsid w:val="00BF5C66"/>
    <w:rsid w:val="00BF6BE2"/>
    <w:rsid w:val="00C02F16"/>
    <w:rsid w:val="00C04619"/>
    <w:rsid w:val="00C04F17"/>
    <w:rsid w:val="00C059C4"/>
    <w:rsid w:val="00C05E5B"/>
    <w:rsid w:val="00C061E3"/>
    <w:rsid w:val="00C119C2"/>
    <w:rsid w:val="00C122D5"/>
    <w:rsid w:val="00C12B1C"/>
    <w:rsid w:val="00C14967"/>
    <w:rsid w:val="00C1627A"/>
    <w:rsid w:val="00C23789"/>
    <w:rsid w:val="00C23DBC"/>
    <w:rsid w:val="00C26E47"/>
    <w:rsid w:val="00C2750C"/>
    <w:rsid w:val="00C3083F"/>
    <w:rsid w:val="00C33404"/>
    <w:rsid w:val="00C3453C"/>
    <w:rsid w:val="00C34A8C"/>
    <w:rsid w:val="00C42CE4"/>
    <w:rsid w:val="00C43BDE"/>
    <w:rsid w:val="00C468AD"/>
    <w:rsid w:val="00C502B8"/>
    <w:rsid w:val="00C62B08"/>
    <w:rsid w:val="00C676E5"/>
    <w:rsid w:val="00C71638"/>
    <w:rsid w:val="00C81D29"/>
    <w:rsid w:val="00C926AD"/>
    <w:rsid w:val="00C93193"/>
    <w:rsid w:val="00CA08D7"/>
    <w:rsid w:val="00CA0ADF"/>
    <w:rsid w:val="00CA5938"/>
    <w:rsid w:val="00CB04F8"/>
    <w:rsid w:val="00CB1DE0"/>
    <w:rsid w:val="00CB642F"/>
    <w:rsid w:val="00CB7F0D"/>
    <w:rsid w:val="00CC1189"/>
    <w:rsid w:val="00CC1DF7"/>
    <w:rsid w:val="00CC28C6"/>
    <w:rsid w:val="00CC4808"/>
    <w:rsid w:val="00CC4C0C"/>
    <w:rsid w:val="00CD30AA"/>
    <w:rsid w:val="00CD3D90"/>
    <w:rsid w:val="00CD44EB"/>
    <w:rsid w:val="00CD4A55"/>
    <w:rsid w:val="00CD56F8"/>
    <w:rsid w:val="00CD67E1"/>
    <w:rsid w:val="00CE0D2C"/>
    <w:rsid w:val="00CE0EFD"/>
    <w:rsid w:val="00CE1B8A"/>
    <w:rsid w:val="00CE4936"/>
    <w:rsid w:val="00CE5A65"/>
    <w:rsid w:val="00CF32F4"/>
    <w:rsid w:val="00CF65B7"/>
    <w:rsid w:val="00D002A6"/>
    <w:rsid w:val="00D06F27"/>
    <w:rsid w:val="00D17563"/>
    <w:rsid w:val="00D24520"/>
    <w:rsid w:val="00D262EA"/>
    <w:rsid w:val="00D31595"/>
    <w:rsid w:val="00D378A3"/>
    <w:rsid w:val="00D4023E"/>
    <w:rsid w:val="00D40AAD"/>
    <w:rsid w:val="00D40DEC"/>
    <w:rsid w:val="00D425CD"/>
    <w:rsid w:val="00D4526A"/>
    <w:rsid w:val="00D47ACC"/>
    <w:rsid w:val="00D51066"/>
    <w:rsid w:val="00D51FE7"/>
    <w:rsid w:val="00D52F32"/>
    <w:rsid w:val="00D60807"/>
    <w:rsid w:val="00D61332"/>
    <w:rsid w:val="00D64D1F"/>
    <w:rsid w:val="00D66519"/>
    <w:rsid w:val="00D7160E"/>
    <w:rsid w:val="00D73280"/>
    <w:rsid w:val="00D735FF"/>
    <w:rsid w:val="00D73A3C"/>
    <w:rsid w:val="00D82E72"/>
    <w:rsid w:val="00D903A6"/>
    <w:rsid w:val="00D9098B"/>
    <w:rsid w:val="00D91BC7"/>
    <w:rsid w:val="00D9288B"/>
    <w:rsid w:val="00D953AA"/>
    <w:rsid w:val="00DA0765"/>
    <w:rsid w:val="00DA3060"/>
    <w:rsid w:val="00DA6F20"/>
    <w:rsid w:val="00DB17ED"/>
    <w:rsid w:val="00DC2D7A"/>
    <w:rsid w:val="00DD26C2"/>
    <w:rsid w:val="00DE0959"/>
    <w:rsid w:val="00DE1245"/>
    <w:rsid w:val="00DE3A75"/>
    <w:rsid w:val="00DF00EA"/>
    <w:rsid w:val="00DF0CC5"/>
    <w:rsid w:val="00DF53D7"/>
    <w:rsid w:val="00DF54C2"/>
    <w:rsid w:val="00DF5787"/>
    <w:rsid w:val="00E019D5"/>
    <w:rsid w:val="00E02771"/>
    <w:rsid w:val="00E02DF9"/>
    <w:rsid w:val="00E03E14"/>
    <w:rsid w:val="00E06474"/>
    <w:rsid w:val="00E15FD6"/>
    <w:rsid w:val="00E1630A"/>
    <w:rsid w:val="00E16AED"/>
    <w:rsid w:val="00E205B3"/>
    <w:rsid w:val="00E23208"/>
    <w:rsid w:val="00E24A15"/>
    <w:rsid w:val="00E24F4E"/>
    <w:rsid w:val="00E275CC"/>
    <w:rsid w:val="00E3023E"/>
    <w:rsid w:val="00E338FA"/>
    <w:rsid w:val="00E33CB2"/>
    <w:rsid w:val="00E34B78"/>
    <w:rsid w:val="00E46F71"/>
    <w:rsid w:val="00E47019"/>
    <w:rsid w:val="00E51FE7"/>
    <w:rsid w:val="00E53AD3"/>
    <w:rsid w:val="00E7585E"/>
    <w:rsid w:val="00E760B6"/>
    <w:rsid w:val="00E7692F"/>
    <w:rsid w:val="00E8056B"/>
    <w:rsid w:val="00E8626D"/>
    <w:rsid w:val="00E96AA4"/>
    <w:rsid w:val="00EA1831"/>
    <w:rsid w:val="00EA2204"/>
    <w:rsid w:val="00EA3251"/>
    <w:rsid w:val="00EB0C47"/>
    <w:rsid w:val="00EB39FF"/>
    <w:rsid w:val="00EB52D8"/>
    <w:rsid w:val="00EC7FDA"/>
    <w:rsid w:val="00ED0B80"/>
    <w:rsid w:val="00ED1DB0"/>
    <w:rsid w:val="00ED2995"/>
    <w:rsid w:val="00ED41E0"/>
    <w:rsid w:val="00ED6530"/>
    <w:rsid w:val="00EE4129"/>
    <w:rsid w:val="00EF47AE"/>
    <w:rsid w:val="00F00BBD"/>
    <w:rsid w:val="00F06E9C"/>
    <w:rsid w:val="00F105BF"/>
    <w:rsid w:val="00F16C2D"/>
    <w:rsid w:val="00F17E6F"/>
    <w:rsid w:val="00F17EC7"/>
    <w:rsid w:val="00F20633"/>
    <w:rsid w:val="00F21CE8"/>
    <w:rsid w:val="00F23F7C"/>
    <w:rsid w:val="00F24101"/>
    <w:rsid w:val="00F26132"/>
    <w:rsid w:val="00F26CFA"/>
    <w:rsid w:val="00F26D5F"/>
    <w:rsid w:val="00F33008"/>
    <w:rsid w:val="00F37828"/>
    <w:rsid w:val="00F4060C"/>
    <w:rsid w:val="00F44D64"/>
    <w:rsid w:val="00F45BF3"/>
    <w:rsid w:val="00F51B8C"/>
    <w:rsid w:val="00F52310"/>
    <w:rsid w:val="00F53D06"/>
    <w:rsid w:val="00F637DB"/>
    <w:rsid w:val="00F66A3C"/>
    <w:rsid w:val="00F748B9"/>
    <w:rsid w:val="00F769BB"/>
    <w:rsid w:val="00F76BB7"/>
    <w:rsid w:val="00F80E00"/>
    <w:rsid w:val="00F83C66"/>
    <w:rsid w:val="00F83E5B"/>
    <w:rsid w:val="00F85530"/>
    <w:rsid w:val="00F91F03"/>
    <w:rsid w:val="00F971D6"/>
    <w:rsid w:val="00FA1054"/>
    <w:rsid w:val="00FA1E1F"/>
    <w:rsid w:val="00FB3029"/>
    <w:rsid w:val="00FB3E18"/>
    <w:rsid w:val="00FB5163"/>
    <w:rsid w:val="00FC3859"/>
    <w:rsid w:val="00FF4144"/>
    <w:rsid w:val="00FF4F15"/>
    <w:rsid w:val="00FF69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9A6610"/>
    <w:pPr>
      <w:tabs>
        <w:tab w:val="left" w:pos="442"/>
        <w:tab w:val="right" w:leader="dot" w:pos="9628"/>
      </w:tabs>
      <w:spacing w:before="360" w:after="100"/>
    </w:pPr>
    <w:rPr>
      <w:rFonts w:ascii="Arial" w:hAnsi="Arial"/>
      <w:noProof/>
      <w:color w:val="000000" w:themeColor="text1"/>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s>
</file>

<file path=word/webSettings.xml><?xml version="1.0" encoding="utf-8"?>
<w:webSettings xmlns:r="http://schemas.openxmlformats.org/officeDocument/2006/relationships" xmlns:w="http://schemas.openxmlformats.org/wordprocessingml/2006/main">
  <w:divs>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8801-F7F6-42D0-863B-E969DF1F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2</cp:revision>
  <cp:lastPrinted>2013-04-25T23:43:00Z</cp:lastPrinted>
  <dcterms:created xsi:type="dcterms:W3CDTF">2013-04-25T23:45:00Z</dcterms:created>
  <dcterms:modified xsi:type="dcterms:W3CDTF">2013-04-25T23:45:00Z</dcterms:modified>
</cp:coreProperties>
</file>