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9F0928" w:rsidTr="000156D1">
        <w:trPr>
          <w:trHeight w:val="756"/>
        </w:trPr>
        <w:tc>
          <w:tcPr>
            <w:tcW w:w="2660" w:type="dxa"/>
            <w:vAlign w:val="center"/>
          </w:tcPr>
          <w:p w:rsidR="00D735FF" w:rsidRPr="009F0928" w:rsidRDefault="00D735FF" w:rsidP="00D735FF">
            <w:pPr>
              <w:pStyle w:val="Header"/>
              <w:rPr>
                <w:rFonts w:ascii="Arial" w:hAnsi="Arial" w:cs="Arial"/>
                <w:sz w:val="28"/>
                <w:szCs w:val="28"/>
              </w:rPr>
            </w:pPr>
            <w:r w:rsidRPr="009F0928">
              <w:rPr>
                <w:rFonts w:ascii="Arial" w:hAnsi="Arial" w:cs="Arial"/>
                <w:sz w:val="28"/>
                <w:szCs w:val="28"/>
              </w:rPr>
              <w:t>Submission to:</w:t>
            </w:r>
          </w:p>
        </w:tc>
        <w:tc>
          <w:tcPr>
            <w:tcW w:w="6379" w:type="dxa"/>
            <w:vAlign w:val="center"/>
          </w:tcPr>
          <w:p w:rsidR="00D735FF" w:rsidRPr="009F0928" w:rsidRDefault="00A45ECC" w:rsidP="00D735FF">
            <w:pPr>
              <w:pStyle w:val="Header"/>
              <w:rPr>
                <w:rFonts w:ascii="Arial" w:hAnsi="Arial" w:cs="Arial"/>
                <w:sz w:val="28"/>
                <w:szCs w:val="28"/>
              </w:rPr>
            </w:pPr>
            <w:r>
              <w:rPr>
                <w:rFonts w:ascii="Arial" w:hAnsi="Arial" w:cs="Arial"/>
                <w:sz w:val="28"/>
                <w:szCs w:val="28"/>
              </w:rPr>
              <w:t xml:space="preserve">The </w:t>
            </w:r>
            <w:r w:rsidR="00ED0AB4" w:rsidRPr="009F0928">
              <w:rPr>
                <w:rFonts w:ascii="Arial" w:hAnsi="Arial" w:cs="Arial"/>
                <w:sz w:val="28"/>
                <w:szCs w:val="28"/>
              </w:rPr>
              <w:t xml:space="preserve">Productivity Commission </w:t>
            </w:r>
          </w:p>
        </w:tc>
      </w:tr>
      <w:tr w:rsidR="00D735FF" w:rsidRPr="009F0928" w:rsidTr="000156D1">
        <w:trPr>
          <w:trHeight w:val="756"/>
        </w:trPr>
        <w:tc>
          <w:tcPr>
            <w:tcW w:w="2660" w:type="dxa"/>
            <w:vAlign w:val="center"/>
          </w:tcPr>
          <w:p w:rsidR="00D735FF" w:rsidRPr="009F0928" w:rsidRDefault="00D735FF" w:rsidP="00D735FF">
            <w:pPr>
              <w:pStyle w:val="Header"/>
              <w:rPr>
                <w:rFonts w:ascii="Arial" w:hAnsi="Arial" w:cs="Arial"/>
                <w:sz w:val="28"/>
                <w:szCs w:val="28"/>
              </w:rPr>
            </w:pPr>
            <w:r w:rsidRPr="009F0928">
              <w:rPr>
                <w:rFonts w:ascii="Arial" w:hAnsi="Arial" w:cs="Arial"/>
                <w:sz w:val="28"/>
                <w:szCs w:val="28"/>
              </w:rPr>
              <w:t>Title:</w:t>
            </w:r>
          </w:p>
        </w:tc>
        <w:tc>
          <w:tcPr>
            <w:tcW w:w="6379" w:type="dxa"/>
            <w:vAlign w:val="center"/>
          </w:tcPr>
          <w:p w:rsidR="00D735FF" w:rsidRPr="009F0928" w:rsidRDefault="00ED0AB4" w:rsidP="000156D1">
            <w:pPr>
              <w:pStyle w:val="Header"/>
              <w:rPr>
                <w:rFonts w:ascii="Arial" w:hAnsi="Arial" w:cs="Arial"/>
                <w:sz w:val="28"/>
                <w:szCs w:val="28"/>
              </w:rPr>
            </w:pPr>
            <w:r w:rsidRPr="009F0928">
              <w:rPr>
                <w:rFonts w:ascii="Arial" w:hAnsi="Arial" w:cs="Arial"/>
                <w:sz w:val="28"/>
                <w:szCs w:val="28"/>
              </w:rPr>
              <w:t xml:space="preserve">Regulatory Impact Analysis: Benchmarking </w:t>
            </w:r>
          </w:p>
        </w:tc>
      </w:tr>
      <w:tr w:rsidR="00D735FF" w:rsidRPr="009F0928" w:rsidTr="000156D1">
        <w:trPr>
          <w:trHeight w:val="756"/>
        </w:trPr>
        <w:tc>
          <w:tcPr>
            <w:tcW w:w="2660" w:type="dxa"/>
            <w:vAlign w:val="center"/>
          </w:tcPr>
          <w:p w:rsidR="00D735FF" w:rsidRPr="009F0928" w:rsidRDefault="00D735FF" w:rsidP="00D735FF">
            <w:pPr>
              <w:pStyle w:val="Header"/>
              <w:rPr>
                <w:rFonts w:ascii="Arial" w:hAnsi="Arial" w:cs="Arial"/>
                <w:sz w:val="28"/>
                <w:szCs w:val="28"/>
              </w:rPr>
            </w:pPr>
            <w:r w:rsidRPr="009F0928">
              <w:rPr>
                <w:rFonts w:ascii="Arial" w:hAnsi="Arial" w:cs="Arial"/>
                <w:sz w:val="28"/>
                <w:szCs w:val="28"/>
              </w:rPr>
              <w:t>Date:</w:t>
            </w:r>
          </w:p>
        </w:tc>
        <w:tc>
          <w:tcPr>
            <w:tcW w:w="6379" w:type="dxa"/>
            <w:vAlign w:val="center"/>
          </w:tcPr>
          <w:p w:rsidR="00D735FF" w:rsidRPr="009F0928" w:rsidRDefault="0088485D" w:rsidP="000156D1">
            <w:pPr>
              <w:pStyle w:val="Header"/>
              <w:rPr>
                <w:rFonts w:ascii="Arial" w:hAnsi="Arial" w:cs="Arial"/>
                <w:sz w:val="28"/>
                <w:szCs w:val="28"/>
              </w:rPr>
            </w:pPr>
            <w:r>
              <w:rPr>
                <w:rFonts w:ascii="Arial" w:hAnsi="Arial" w:cs="Arial"/>
                <w:sz w:val="28"/>
                <w:szCs w:val="28"/>
              </w:rPr>
              <w:t>31</w:t>
            </w:r>
            <w:r w:rsidR="00A45ECC">
              <w:rPr>
                <w:rFonts w:ascii="Arial" w:hAnsi="Arial" w:cs="Arial"/>
                <w:sz w:val="28"/>
                <w:szCs w:val="28"/>
              </w:rPr>
              <w:t xml:space="preserve"> May 2012</w:t>
            </w:r>
          </w:p>
        </w:tc>
      </w:tr>
    </w:tbl>
    <w:p w:rsidR="00D735FF" w:rsidRPr="009F0928" w:rsidRDefault="00D735FF" w:rsidP="00D735FF">
      <w:pPr>
        <w:pStyle w:val="Header"/>
        <w:rPr>
          <w:rFonts w:ascii="Arial" w:hAnsi="Arial" w:cs="Arial"/>
          <w:sz w:val="16"/>
          <w:szCs w:val="16"/>
        </w:rPr>
      </w:pPr>
    </w:p>
    <w:p w:rsidR="00D735FF" w:rsidRPr="009F0928" w:rsidRDefault="00D735FF" w:rsidP="00D735FF">
      <w:pPr>
        <w:pStyle w:val="Header"/>
        <w:rPr>
          <w:rFonts w:ascii="Arial" w:hAnsi="Arial" w:cs="Arial"/>
          <w:sz w:val="16"/>
          <w:szCs w:val="16"/>
        </w:rPr>
      </w:pPr>
    </w:p>
    <w:p w:rsidR="00576ED0" w:rsidRPr="009F0928" w:rsidRDefault="00576ED0" w:rsidP="00EB0C47">
      <w:pPr>
        <w:pStyle w:val="Header"/>
        <w:rPr>
          <w:rFonts w:ascii="Arial" w:hAnsi="Arial" w:cs="Arial"/>
          <w:sz w:val="16"/>
          <w:szCs w:val="16"/>
        </w:rPr>
      </w:pPr>
    </w:p>
    <w:p w:rsidR="00576ED0" w:rsidRPr="009F0928" w:rsidRDefault="00576ED0" w:rsidP="00C1627A">
      <w:pPr>
        <w:rPr>
          <w:rFonts w:ascii="Arial" w:hAnsi="Arial" w:cs="Arial"/>
        </w:rPr>
        <w:sectPr w:rsidR="00576ED0" w:rsidRPr="009F0928"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9F0928" w:rsidRDefault="00576ED0">
      <w:pPr>
        <w:rPr>
          <w:rFonts w:ascii="Arial" w:hAnsi="Arial" w:cs="Arial"/>
          <w:sz w:val="20"/>
          <w:szCs w:val="20"/>
        </w:rPr>
      </w:pPr>
    </w:p>
    <w:p w:rsidR="0035493A" w:rsidRPr="009F0928" w:rsidRDefault="0035493A">
      <w:pPr>
        <w:rPr>
          <w:rFonts w:ascii="Arial" w:hAnsi="Arial" w:cs="Arial"/>
          <w:sz w:val="20"/>
          <w:szCs w:val="20"/>
        </w:rPr>
      </w:pPr>
    </w:p>
    <w:p w:rsidR="0035493A" w:rsidRPr="009F0928" w:rsidRDefault="0035493A">
      <w:pPr>
        <w:rPr>
          <w:rFonts w:ascii="Arial" w:hAnsi="Arial" w:cs="Arial"/>
          <w:sz w:val="20"/>
          <w:szCs w:val="20"/>
        </w:rPr>
      </w:pPr>
    </w:p>
    <w:p w:rsidR="0035493A" w:rsidRPr="009F0928" w:rsidRDefault="0035493A">
      <w:pPr>
        <w:rPr>
          <w:rFonts w:ascii="Arial" w:hAnsi="Arial" w:cs="Arial"/>
          <w:sz w:val="20"/>
          <w:szCs w:val="20"/>
        </w:rPr>
      </w:pPr>
    </w:p>
    <w:p w:rsidR="0035493A" w:rsidRPr="009F0928" w:rsidRDefault="0035493A">
      <w:pPr>
        <w:rPr>
          <w:rFonts w:ascii="Arial" w:hAnsi="Arial" w:cs="Arial"/>
          <w:sz w:val="20"/>
          <w:szCs w:val="20"/>
        </w:rPr>
      </w:pPr>
    </w:p>
    <w:p w:rsidR="0035493A" w:rsidRPr="009F0928" w:rsidRDefault="003B74E4" w:rsidP="003B74E4">
      <w:pPr>
        <w:rPr>
          <w:rFonts w:ascii="Arial" w:hAnsi="Arial" w:cs="Arial"/>
          <w:b/>
          <w:color w:val="000064"/>
          <w:sz w:val="32"/>
          <w:szCs w:val="32"/>
        </w:rPr>
      </w:pPr>
      <w:r w:rsidRPr="009F0928">
        <w:rPr>
          <w:rFonts w:ascii="Arial" w:hAnsi="Arial" w:cs="Arial"/>
          <w:b/>
          <w:color w:val="000064"/>
          <w:sz w:val="32"/>
          <w:szCs w:val="32"/>
        </w:rPr>
        <w:t>Contents</w:t>
      </w:r>
    </w:p>
    <w:p w:rsidR="00576ED0" w:rsidRPr="009F0928" w:rsidRDefault="00576ED0" w:rsidP="00420F75">
      <w:pPr>
        <w:spacing w:line="269" w:lineRule="auto"/>
        <w:rPr>
          <w:rFonts w:ascii="Arial" w:hAnsi="Arial" w:cs="Arial"/>
          <w:sz w:val="20"/>
          <w:szCs w:val="20"/>
        </w:rPr>
      </w:pPr>
    </w:p>
    <w:p w:rsidR="009B0520" w:rsidRPr="009F0928" w:rsidRDefault="009B0520" w:rsidP="00420F75">
      <w:pPr>
        <w:spacing w:line="269" w:lineRule="auto"/>
        <w:rPr>
          <w:rFonts w:ascii="Arial" w:hAnsi="Arial" w:cs="Arial"/>
          <w:sz w:val="20"/>
          <w:szCs w:val="20"/>
        </w:rPr>
      </w:pPr>
    </w:p>
    <w:p w:rsidR="00A45ECC" w:rsidRDefault="003160A5">
      <w:pPr>
        <w:pStyle w:val="TOC1"/>
        <w:tabs>
          <w:tab w:val="left" w:pos="442"/>
        </w:tabs>
        <w:rPr>
          <w:rFonts w:asciiTheme="minorHAnsi" w:eastAsiaTheme="minorEastAsia" w:hAnsiTheme="minorHAnsi" w:cstheme="minorBidi"/>
          <w:b w:val="0"/>
          <w:sz w:val="22"/>
          <w:szCs w:val="22"/>
          <w:lang w:eastAsia="en-AU"/>
        </w:rPr>
      </w:pPr>
      <w:r w:rsidRPr="003160A5">
        <w:fldChar w:fldCharType="begin"/>
      </w:r>
      <w:r w:rsidR="0035493A" w:rsidRPr="009F0928">
        <w:instrText xml:space="preserve"> TOC \o "1-2" \t "ATA Heading 2,2" </w:instrText>
      </w:r>
      <w:r w:rsidRPr="003160A5">
        <w:fldChar w:fldCharType="separate"/>
      </w:r>
      <w:r w:rsidR="00A45ECC" w:rsidRPr="003747B8">
        <w:rPr>
          <w:rFonts w:cs="Times New Roman"/>
        </w:rPr>
        <w:t>1.</w:t>
      </w:r>
      <w:r w:rsidR="00A45ECC">
        <w:rPr>
          <w:rFonts w:asciiTheme="minorHAnsi" w:eastAsiaTheme="minorEastAsia" w:hAnsiTheme="minorHAnsi" w:cstheme="minorBidi"/>
          <w:b w:val="0"/>
          <w:sz w:val="22"/>
          <w:szCs w:val="22"/>
          <w:lang w:eastAsia="en-AU"/>
        </w:rPr>
        <w:tab/>
      </w:r>
      <w:r w:rsidR="00A45ECC">
        <w:t>Introduction</w:t>
      </w:r>
      <w:r w:rsidR="00A45ECC">
        <w:tab/>
      </w:r>
      <w:r w:rsidR="00A45ECC">
        <w:fldChar w:fldCharType="begin"/>
      </w:r>
      <w:r w:rsidR="00A45ECC">
        <w:instrText xml:space="preserve"> PAGEREF _Toc326240351 \h </w:instrText>
      </w:r>
      <w:r w:rsidR="00A45ECC">
        <w:fldChar w:fldCharType="separate"/>
      </w:r>
      <w:r w:rsidR="006443F5">
        <w:t>3</w:t>
      </w:r>
      <w:r w:rsidR="00A45ECC">
        <w:fldChar w:fldCharType="end"/>
      </w:r>
    </w:p>
    <w:p w:rsidR="00A45ECC" w:rsidRDefault="00A45ECC">
      <w:pPr>
        <w:pStyle w:val="TOC1"/>
        <w:tabs>
          <w:tab w:val="left" w:pos="442"/>
        </w:tabs>
        <w:rPr>
          <w:rFonts w:asciiTheme="minorHAnsi" w:eastAsiaTheme="minorEastAsia" w:hAnsiTheme="minorHAnsi" w:cstheme="minorBidi"/>
          <w:b w:val="0"/>
          <w:sz w:val="22"/>
          <w:szCs w:val="22"/>
          <w:lang w:eastAsia="en-AU"/>
        </w:rPr>
      </w:pPr>
      <w:r w:rsidRPr="003747B8">
        <w:rPr>
          <w:rFonts w:cs="Times New Roman"/>
        </w:rPr>
        <w:t>2.</w:t>
      </w:r>
      <w:r>
        <w:rPr>
          <w:rFonts w:asciiTheme="minorHAnsi" w:eastAsiaTheme="minorEastAsia" w:hAnsiTheme="minorHAnsi" w:cstheme="minorBidi"/>
          <w:b w:val="0"/>
          <w:sz w:val="22"/>
          <w:szCs w:val="22"/>
          <w:lang w:eastAsia="en-AU"/>
        </w:rPr>
        <w:tab/>
      </w:r>
      <w:r>
        <w:t>Australian Trucking Association</w:t>
      </w:r>
      <w:r>
        <w:tab/>
      </w:r>
      <w:r>
        <w:fldChar w:fldCharType="begin"/>
      </w:r>
      <w:r>
        <w:instrText xml:space="preserve"> PAGEREF _Toc326240352 \h </w:instrText>
      </w:r>
      <w:r>
        <w:fldChar w:fldCharType="separate"/>
      </w:r>
      <w:r w:rsidR="006443F5">
        <w:t>4</w:t>
      </w:r>
      <w:r>
        <w:fldChar w:fldCharType="end"/>
      </w:r>
    </w:p>
    <w:p w:rsidR="00A45ECC" w:rsidRDefault="00A45ECC">
      <w:pPr>
        <w:pStyle w:val="TOC1"/>
        <w:tabs>
          <w:tab w:val="left" w:pos="442"/>
        </w:tabs>
        <w:rPr>
          <w:rFonts w:asciiTheme="minorHAnsi" w:eastAsiaTheme="minorEastAsia" w:hAnsiTheme="minorHAnsi" w:cstheme="minorBidi"/>
          <w:b w:val="0"/>
          <w:sz w:val="22"/>
          <w:szCs w:val="22"/>
          <w:lang w:eastAsia="en-AU"/>
        </w:rPr>
      </w:pPr>
      <w:r w:rsidRPr="003747B8">
        <w:rPr>
          <w:rFonts w:cs="Times New Roman"/>
        </w:rPr>
        <w:t>3.</w:t>
      </w:r>
      <w:r>
        <w:rPr>
          <w:rFonts w:asciiTheme="minorHAnsi" w:eastAsiaTheme="minorEastAsia" w:hAnsiTheme="minorHAnsi" w:cstheme="minorBidi"/>
          <w:b w:val="0"/>
          <w:sz w:val="22"/>
          <w:szCs w:val="22"/>
          <w:lang w:eastAsia="en-AU"/>
        </w:rPr>
        <w:tab/>
      </w:r>
      <w:r>
        <w:t>Recommendations</w:t>
      </w:r>
      <w:r>
        <w:tab/>
      </w:r>
      <w:r>
        <w:fldChar w:fldCharType="begin"/>
      </w:r>
      <w:r>
        <w:instrText xml:space="preserve"> PAGEREF _Toc326240353 \h </w:instrText>
      </w:r>
      <w:r>
        <w:fldChar w:fldCharType="separate"/>
      </w:r>
      <w:r w:rsidR="006443F5">
        <w:t>4</w:t>
      </w:r>
      <w:r>
        <w:fldChar w:fldCharType="end"/>
      </w:r>
    </w:p>
    <w:p w:rsidR="00A45ECC" w:rsidRDefault="00A45ECC">
      <w:pPr>
        <w:pStyle w:val="TOC1"/>
        <w:tabs>
          <w:tab w:val="left" w:pos="442"/>
        </w:tabs>
        <w:rPr>
          <w:rFonts w:asciiTheme="minorHAnsi" w:eastAsiaTheme="minorEastAsia" w:hAnsiTheme="minorHAnsi" w:cstheme="minorBidi"/>
          <w:b w:val="0"/>
          <w:sz w:val="22"/>
          <w:szCs w:val="22"/>
          <w:lang w:eastAsia="en-AU"/>
        </w:rPr>
      </w:pPr>
      <w:r w:rsidRPr="003747B8">
        <w:rPr>
          <w:rFonts w:cs="Times New Roman"/>
        </w:rPr>
        <w:t>4.</w:t>
      </w:r>
      <w:r>
        <w:rPr>
          <w:rFonts w:asciiTheme="minorHAnsi" w:eastAsiaTheme="minorEastAsia" w:hAnsiTheme="minorHAnsi" w:cstheme="minorBidi"/>
          <w:b w:val="0"/>
          <w:sz w:val="22"/>
          <w:szCs w:val="22"/>
          <w:lang w:eastAsia="en-AU"/>
        </w:rPr>
        <w:tab/>
      </w:r>
      <w:r>
        <w:t>Effects of inadequate consultation process and representation</w:t>
      </w:r>
      <w:r>
        <w:tab/>
      </w:r>
      <w:r>
        <w:fldChar w:fldCharType="begin"/>
      </w:r>
      <w:r>
        <w:instrText xml:space="preserve"> PAGEREF _Toc326240354 \h </w:instrText>
      </w:r>
      <w:r>
        <w:fldChar w:fldCharType="separate"/>
      </w:r>
      <w:r w:rsidR="006443F5">
        <w:t>5</w:t>
      </w:r>
      <w: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a)</w:t>
      </w:r>
      <w:r>
        <w:rPr>
          <w:rFonts w:asciiTheme="minorHAnsi" w:eastAsiaTheme="minorEastAsia" w:hAnsiTheme="minorHAnsi" w:cstheme="minorBidi"/>
          <w:noProof/>
          <w:sz w:val="22"/>
          <w:lang w:eastAsia="en-AU"/>
        </w:rPr>
        <w:tab/>
      </w:r>
      <w:r>
        <w:rPr>
          <w:noProof/>
        </w:rPr>
        <w:t>High level of industry engagement, low satisfaction</w:t>
      </w:r>
      <w:r>
        <w:rPr>
          <w:noProof/>
        </w:rPr>
        <w:tab/>
      </w:r>
      <w:r>
        <w:rPr>
          <w:noProof/>
        </w:rPr>
        <w:fldChar w:fldCharType="begin"/>
      </w:r>
      <w:r>
        <w:rPr>
          <w:noProof/>
        </w:rPr>
        <w:instrText xml:space="preserve"> PAGEREF _Toc326240355 \h </w:instrText>
      </w:r>
      <w:r>
        <w:rPr>
          <w:noProof/>
        </w:rPr>
      </w:r>
      <w:r>
        <w:rPr>
          <w:noProof/>
        </w:rPr>
        <w:fldChar w:fldCharType="separate"/>
      </w:r>
      <w:r w:rsidR="006443F5">
        <w:rPr>
          <w:noProof/>
        </w:rPr>
        <w:t>5</w:t>
      </w:r>
      <w:r>
        <w:rPr>
          <w:noProof/>
        </w:rP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b)</w:t>
      </w:r>
      <w:r>
        <w:rPr>
          <w:rFonts w:asciiTheme="minorHAnsi" w:eastAsiaTheme="minorEastAsia" w:hAnsiTheme="minorHAnsi" w:cstheme="minorBidi"/>
          <w:noProof/>
          <w:sz w:val="22"/>
          <w:lang w:eastAsia="en-AU"/>
        </w:rPr>
        <w:tab/>
      </w:r>
      <w:r>
        <w:rPr>
          <w:noProof/>
        </w:rPr>
        <w:t>Lack of transparency and consistency</w:t>
      </w:r>
      <w:r>
        <w:rPr>
          <w:noProof/>
        </w:rPr>
        <w:tab/>
      </w:r>
      <w:r>
        <w:rPr>
          <w:noProof/>
        </w:rPr>
        <w:fldChar w:fldCharType="begin"/>
      </w:r>
      <w:r>
        <w:rPr>
          <w:noProof/>
        </w:rPr>
        <w:instrText xml:space="preserve"> PAGEREF _Toc326240356 \h </w:instrText>
      </w:r>
      <w:r>
        <w:rPr>
          <w:noProof/>
        </w:rPr>
      </w:r>
      <w:r>
        <w:rPr>
          <w:noProof/>
        </w:rPr>
        <w:fldChar w:fldCharType="separate"/>
      </w:r>
      <w:r w:rsidR="006443F5">
        <w:rPr>
          <w:noProof/>
        </w:rPr>
        <w:t>6</w:t>
      </w:r>
      <w:r>
        <w:rPr>
          <w:noProof/>
        </w:rP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c)</w:t>
      </w:r>
      <w:r>
        <w:rPr>
          <w:rFonts w:asciiTheme="minorHAnsi" w:eastAsiaTheme="minorEastAsia" w:hAnsiTheme="minorHAnsi" w:cstheme="minorBidi"/>
          <w:noProof/>
          <w:sz w:val="22"/>
          <w:lang w:eastAsia="en-AU"/>
        </w:rPr>
        <w:tab/>
      </w:r>
      <w:r>
        <w:rPr>
          <w:noProof/>
        </w:rPr>
        <w:t>Seamless national economy objectives not prioritised</w:t>
      </w:r>
      <w:r>
        <w:rPr>
          <w:noProof/>
        </w:rPr>
        <w:tab/>
      </w:r>
      <w:r>
        <w:rPr>
          <w:noProof/>
        </w:rPr>
        <w:fldChar w:fldCharType="begin"/>
      </w:r>
      <w:r>
        <w:rPr>
          <w:noProof/>
        </w:rPr>
        <w:instrText xml:space="preserve"> PAGEREF _Toc326240357 \h </w:instrText>
      </w:r>
      <w:r>
        <w:rPr>
          <w:noProof/>
        </w:rPr>
      </w:r>
      <w:r>
        <w:rPr>
          <w:noProof/>
        </w:rPr>
        <w:fldChar w:fldCharType="separate"/>
      </w:r>
      <w:r w:rsidR="006443F5">
        <w:rPr>
          <w:noProof/>
        </w:rPr>
        <w:t>6</w:t>
      </w:r>
      <w:r>
        <w:rPr>
          <w:noProof/>
        </w:rP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d)</w:t>
      </w:r>
      <w:r>
        <w:rPr>
          <w:rFonts w:asciiTheme="minorHAnsi" w:eastAsiaTheme="minorEastAsia" w:hAnsiTheme="minorHAnsi" w:cstheme="minorBidi"/>
          <w:noProof/>
          <w:sz w:val="22"/>
          <w:lang w:eastAsia="en-AU"/>
        </w:rPr>
        <w:tab/>
      </w:r>
      <w:r>
        <w:rPr>
          <w:noProof/>
        </w:rPr>
        <w:t>Deadline for industry response</w:t>
      </w:r>
      <w:r>
        <w:rPr>
          <w:noProof/>
        </w:rPr>
        <w:tab/>
      </w:r>
      <w:r>
        <w:rPr>
          <w:noProof/>
        </w:rPr>
        <w:fldChar w:fldCharType="begin"/>
      </w:r>
      <w:r>
        <w:rPr>
          <w:noProof/>
        </w:rPr>
        <w:instrText xml:space="preserve"> PAGEREF _Toc326240358 \h </w:instrText>
      </w:r>
      <w:r>
        <w:rPr>
          <w:noProof/>
        </w:rPr>
      </w:r>
      <w:r>
        <w:rPr>
          <w:noProof/>
        </w:rPr>
        <w:fldChar w:fldCharType="separate"/>
      </w:r>
      <w:r w:rsidR="006443F5">
        <w:rPr>
          <w:noProof/>
        </w:rPr>
        <w:t>7</w:t>
      </w:r>
      <w:r>
        <w:rPr>
          <w:noProof/>
        </w:rP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e)</w:t>
      </w:r>
      <w:r>
        <w:rPr>
          <w:rFonts w:asciiTheme="minorHAnsi" w:eastAsiaTheme="minorEastAsia" w:hAnsiTheme="minorHAnsi" w:cstheme="minorBidi"/>
          <w:noProof/>
          <w:sz w:val="22"/>
          <w:lang w:eastAsia="en-AU"/>
        </w:rPr>
        <w:tab/>
      </w:r>
      <w:r>
        <w:rPr>
          <w:noProof/>
        </w:rPr>
        <w:t>Purpose of solving issue forgotten</w:t>
      </w:r>
      <w:r>
        <w:rPr>
          <w:noProof/>
        </w:rPr>
        <w:tab/>
      </w:r>
      <w:r>
        <w:rPr>
          <w:noProof/>
        </w:rPr>
        <w:fldChar w:fldCharType="begin"/>
      </w:r>
      <w:r>
        <w:rPr>
          <w:noProof/>
        </w:rPr>
        <w:instrText xml:space="preserve"> PAGEREF _Toc326240359 \h </w:instrText>
      </w:r>
      <w:r>
        <w:rPr>
          <w:noProof/>
        </w:rPr>
      </w:r>
      <w:r>
        <w:rPr>
          <w:noProof/>
        </w:rPr>
        <w:fldChar w:fldCharType="separate"/>
      </w:r>
      <w:r w:rsidR="006443F5">
        <w:rPr>
          <w:noProof/>
        </w:rPr>
        <w:t>7</w:t>
      </w:r>
      <w:r>
        <w:rPr>
          <w:noProof/>
        </w:rPr>
        <w:fldChar w:fldCharType="end"/>
      </w:r>
    </w:p>
    <w:p w:rsidR="00A45ECC" w:rsidRDefault="00A45ECC">
      <w:pPr>
        <w:pStyle w:val="TOC2"/>
        <w:tabs>
          <w:tab w:val="left" w:pos="660"/>
        </w:tabs>
        <w:rPr>
          <w:rFonts w:asciiTheme="minorHAnsi" w:eastAsiaTheme="minorEastAsia" w:hAnsiTheme="minorHAnsi" w:cstheme="minorBidi"/>
          <w:noProof/>
          <w:sz w:val="22"/>
          <w:lang w:eastAsia="en-AU"/>
        </w:rPr>
      </w:pPr>
      <w:r>
        <w:rPr>
          <w:noProof/>
        </w:rPr>
        <w:t>f)</w:t>
      </w:r>
      <w:r>
        <w:rPr>
          <w:rFonts w:asciiTheme="minorHAnsi" w:eastAsiaTheme="minorEastAsia" w:hAnsiTheme="minorHAnsi" w:cstheme="minorBidi"/>
          <w:noProof/>
          <w:sz w:val="22"/>
          <w:lang w:eastAsia="en-AU"/>
        </w:rPr>
        <w:tab/>
      </w:r>
      <w:r>
        <w:rPr>
          <w:noProof/>
        </w:rPr>
        <w:t>ATA provided methodology misused</w:t>
      </w:r>
      <w:r>
        <w:rPr>
          <w:noProof/>
        </w:rPr>
        <w:tab/>
      </w:r>
      <w:r>
        <w:rPr>
          <w:noProof/>
        </w:rPr>
        <w:fldChar w:fldCharType="begin"/>
      </w:r>
      <w:r>
        <w:rPr>
          <w:noProof/>
        </w:rPr>
        <w:instrText xml:space="preserve"> PAGEREF _Toc326240360 \h </w:instrText>
      </w:r>
      <w:r>
        <w:rPr>
          <w:noProof/>
        </w:rPr>
      </w:r>
      <w:r>
        <w:rPr>
          <w:noProof/>
        </w:rPr>
        <w:fldChar w:fldCharType="separate"/>
      </w:r>
      <w:r w:rsidR="006443F5">
        <w:rPr>
          <w:noProof/>
        </w:rPr>
        <w:t>8</w:t>
      </w:r>
      <w:r>
        <w:rPr>
          <w:noProof/>
        </w:rPr>
        <w:fldChar w:fldCharType="end"/>
      </w:r>
    </w:p>
    <w:p w:rsidR="00A45ECC" w:rsidRDefault="00A45ECC">
      <w:pPr>
        <w:pStyle w:val="TOC1"/>
        <w:tabs>
          <w:tab w:val="left" w:pos="442"/>
        </w:tabs>
        <w:rPr>
          <w:rFonts w:asciiTheme="minorHAnsi" w:eastAsiaTheme="minorEastAsia" w:hAnsiTheme="minorHAnsi" w:cstheme="minorBidi"/>
          <w:b w:val="0"/>
          <w:sz w:val="22"/>
          <w:szCs w:val="22"/>
          <w:lang w:eastAsia="en-AU"/>
        </w:rPr>
      </w:pPr>
      <w:r w:rsidRPr="003747B8">
        <w:rPr>
          <w:rFonts w:cs="Times New Roman"/>
        </w:rPr>
        <w:t>5.</w:t>
      </w:r>
      <w:r>
        <w:rPr>
          <w:rFonts w:asciiTheme="minorHAnsi" w:eastAsiaTheme="minorEastAsia" w:hAnsiTheme="minorHAnsi" w:cstheme="minorBidi"/>
          <w:b w:val="0"/>
          <w:sz w:val="22"/>
          <w:szCs w:val="22"/>
          <w:lang w:eastAsia="en-AU"/>
        </w:rPr>
        <w:tab/>
      </w:r>
      <w:r>
        <w:t>Independent scrutiny of RIS and RIS exemptions</w:t>
      </w:r>
      <w:r>
        <w:tab/>
      </w:r>
      <w:r>
        <w:fldChar w:fldCharType="begin"/>
      </w:r>
      <w:r>
        <w:instrText xml:space="preserve"> PAGEREF _Toc326240361 \h </w:instrText>
      </w:r>
      <w:r>
        <w:fldChar w:fldCharType="separate"/>
      </w:r>
      <w:r w:rsidR="006443F5">
        <w:t>8</w:t>
      </w:r>
      <w:r>
        <w:fldChar w:fldCharType="end"/>
      </w:r>
    </w:p>
    <w:p w:rsidR="00A45ECC" w:rsidRDefault="00A45ECC">
      <w:pPr>
        <w:pStyle w:val="TOC1"/>
        <w:tabs>
          <w:tab w:val="left" w:pos="442"/>
        </w:tabs>
        <w:rPr>
          <w:rFonts w:asciiTheme="minorHAnsi" w:eastAsiaTheme="minorEastAsia" w:hAnsiTheme="minorHAnsi" w:cstheme="minorBidi"/>
          <w:b w:val="0"/>
          <w:sz w:val="22"/>
          <w:szCs w:val="22"/>
          <w:lang w:eastAsia="en-AU"/>
        </w:rPr>
      </w:pPr>
      <w:r w:rsidRPr="003747B8">
        <w:rPr>
          <w:rFonts w:cs="Times New Roman"/>
        </w:rPr>
        <w:t>6.</w:t>
      </w:r>
      <w:r>
        <w:rPr>
          <w:rFonts w:asciiTheme="minorHAnsi" w:eastAsiaTheme="minorEastAsia" w:hAnsiTheme="minorHAnsi" w:cstheme="minorBidi"/>
          <w:b w:val="0"/>
          <w:sz w:val="22"/>
          <w:szCs w:val="22"/>
          <w:lang w:eastAsia="en-AU"/>
        </w:rPr>
        <w:tab/>
      </w:r>
      <w:r>
        <w:t>Concerns for the future</w:t>
      </w:r>
      <w:r>
        <w:tab/>
      </w:r>
      <w:r>
        <w:fldChar w:fldCharType="begin"/>
      </w:r>
      <w:r>
        <w:instrText xml:space="preserve"> PAGEREF _Toc326240362 \h </w:instrText>
      </w:r>
      <w:r>
        <w:fldChar w:fldCharType="separate"/>
      </w:r>
      <w:r w:rsidR="006443F5">
        <w:t>10</w:t>
      </w:r>
      <w:r>
        <w:fldChar w:fldCharType="end"/>
      </w:r>
    </w:p>
    <w:p w:rsidR="00A45ECC" w:rsidRDefault="00A45ECC">
      <w:pPr>
        <w:pStyle w:val="TOC1"/>
        <w:rPr>
          <w:rFonts w:asciiTheme="minorHAnsi" w:eastAsiaTheme="minorEastAsia" w:hAnsiTheme="minorHAnsi" w:cstheme="minorBidi"/>
          <w:b w:val="0"/>
          <w:sz w:val="22"/>
          <w:szCs w:val="22"/>
          <w:lang w:eastAsia="en-AU"/>
        </w:rPr>
      </w:pPr>
      <w:r>
        <w:t>Attachment A - The ATA and Barkwood Consulting Pty Ltd Truck Impact Chart</w:t>
      </w:r>
      <w:r>
        <w:tab/>
      </w:r>
      <w:r>
        <w:fldChar w:fldCharType="begin"/>
      </w:r>
      <w:r>
        <w:instrText xml:space="preserve"> PAGEREF _Toc326240363 \h </w:instrText>
      </w:r>
      <w:r>
        <w:fldChar w:fldCharType="separate"/>
      </w:r>
      <w:r w:rsidR="006443F5">
        <w:t>12</w:t>
      </w:r>
      <w:r>
        <w:fldChar w:fldCharType="end"/>
      </w:r>
    </w:p>
    <w:p w:rsidR="00A45ECC" w:rsidRDefault="00A45ECC">
      <w:pPr>
        <w:pStyle w:val="TOC1"/>
        <w:rPr>
          <w:rFonts w:asciiTheme="minorHAnsi" w:eastAsiaTheme="minorEastAsia" w:hAnsiTheme="minorHAnsi" w:cstheme="minorBidi"/>
          <w:b w:val="0"/>
          <w:sz w:val="22"/>
          <w:szCs w:val="22"/>
          <w:lang w:eastAsia="en-AU"/>
        </w:rPr>
      </w:pPr>
      <w:r>
        <w:t>Attachment B: - Work provided to NTC about Productivity, Safety and Environmental Credentials of the Industry.</w:t>
      </w:r>
      <w:r>
        <w:tab/>
      </w:r>
      <w:r>
        <w:fldChar w:fldCharType="begin"/>
      </w:r>
      <w:r>
        <w:instrText xml:space="preserve"> PAGEREF _Toc326240364 \h </w:instrText>
      </w:r>
      <w:r>
        <w:fldChar w:fldCharType="separate"/>
      </w:r>
      <w:r w:rsidR="006443F5">
        <w:t>14</w:t>
      </w:r>
      <w:r>
        <w:fldChar w:fldCharType="end"/>
      </w:r>
    </w:p>
    <w:p w:rsidR="00A45ECC" w:rsidRDefault="00A45ECC">
      <w:pPr>
        <w:pStyle w:val="TOC1"/>
        <w:rPr>
          <w:rFonts w:asciiTheme="minorHAnsi" w:eastAsiaTheme="minorEastAsia" w:hAnsiTheme="minorHAnsi" w:cstheme="minorBidi"/>
          <w:b w:val="0"/>
          <w:sz w:val="22"/>
          <w:szCs w:val="22"/>
          <w:lang w:eastAsia="en-AU"/>
        </w:rPr>
      </w:pPr>
      <w:r>
        <w:t>Attachment C:  Comparison of heavy vehicle charges 2011/12 – 2012/13</w:t>
      </w:r>
      <w:r>
        <w:tab/>
      </w:r>
      <w:r>
        <w:fldChar w:fldCharType="begin"/>
      </w:r>
      <w:r>
        <w:instrText xml:space="preserve"> PAGEREF _Toc326240365 \h </w:instrText>
      </w:r>
      <w:r>
        <w:fldChar w:fldCharType="separate"/>
      </w:r>
      <w:r w:rsidR="006443F5">
        <w:t>17</w:t>
      </w:r>
      <w:r>
        <w:fldChar w:fldCharType="end"/>
      </w:r>
    </w:p>
    <w:p w:rsidR="00A45ECC" w:rsidRDefault="00A45ECC">
      <w:pPr>
        <w:pStyle w:val="TOC1"/>
        <w:rPr>
          <w:rFonts w:asciiTheme="minorHAnsi" w:eastAsiaTheme="minorEastAsia" w:hAnsiTheme="minorHAnsi" w:cstheme="minorBidi"/>
          <w:b w:val="0"/>
          <w:sz w:val="22"/>
          <w:szCs w:val="22"/>
          <w:lang w:eastAsia="en-AU"/>
        </w:rPr>
      </w:pPr>
      <w:r>
        <w:t>Attachment D: - Case Studies of the new 2012-13 charges</w:t>
      </w:r>
      <w:r>
        <w:tab/>
      </w:r>
      <w:r>
        <w:fldChar w:fldCharType="begin"/>
      </w:r>
      <w:r>
        <w:instrText xml:space="preserve"> PAGEREF _Toc326240366 \h </w:instrText>
      </w:r>
      <w:r>
        <w:fldChar w:fldCharType="separate"/>
      </w:r>
      <w:r w:rsidR="006443F5">
        <w:t>19</w:t>
      </w:r>
      <w:r>
        <w:fldChar w:fldCharType="end"/>
      </w:r>
    </w:p>
    <w:p w:rsidR="00A45ECC" w:rsidRDefault="00A45ECC">
      <w:pPr>
        <w:pStyle w:val="TOC1"/>
        <w:rPr>
          <w:rFonts w:asciiTheme="minorHAnsi" w:eastAsiaTheme="minorEastAsia" w:hAnsiTheme="minorHAnsi" w:cstheme="minorBidi"/>
          <w:b w:val="0"/>
          <w:sz w:val="22"/>
          <w:szCs w:val="22"/>
          <w:lang w:eastAsia="en-AU"/>
        </w:rPr>
      </w:pPr>
      <w:r>
        <w:t>Attachment E: Email extracts from OBPR and NTC – from 10/11/2011 to 14/02/2012</w:t>
      </w:r>
      <w:r>
        <w:tab/>
      </w:r>
      <w:r>
        <w:fldChar w:fldCharType="begin"/>
      </w:r>
      <w:r>
        <w:instrText xml:space="preserve"> PAGEREF _Toc326240367 \h </w:instrText>
      </w:r>
      <w:r>
        <w:fldChar w:fldCharType="separate"/>
      </w:r>
      <w:r w:rsidR="006443F5">
        <w:t>22</w:t>
      </w:r>
      <w:r>
        <w:fldChar w:fldCharType="end"/>
      </w:r>
    </w:p>
    <w:p w:rsidR="00241C15" w:rsidRPr="009F0928" w:rsidRDefault="003160A5" w:rsidP="00241C15">
      <w:pPr>
        <w:tabs>
          <w:tab w:val="right" w:leader="dot" w:pos="9645"/>
        </w:tabs>
        <w:rPr>
          <w:rFonts w:ascii="Arial" w:hAnsi="Arial" w:cs="Arial"/>
        </w:rPr>
      </w:pPr>
      <w:r w:rsidRPr="009F0928">
        <w:rPr>
          <w:rFonts w:ascii="Arial" w:hAnsi="Arial" w:cs="Arial"/>
        </w:rPr>
        <w:fldChar w:fldCharType="end"/>
      </w:r>
    </w:p>
    <w:p w:rsidR="00576ED0" w:rsidRPr="009F0928" w:rsidRDefault="00576ED0" w:rsidP="005E6D8B">
      <w:pPr>
        <w:rPr>
          <w:rFonts w:ascii="Arial" w:hAnsi="Arial" w:cs="Arial"/>
          <w:sz w:val="20"/>
          <w:szCs w:val="20"/>
        </w:rPr>
      </w:pPr>
      <w:r w:rsidRPr="009F0928">
        <w:rPr>
          <w:rFonts w:ascii="Arial" w:hAnsi="Arial" w:cs="Arial"/>
          <w:sz w:val="20"/>
          <w:szCs w:val="20"/>
        </w:rPr>
        <w:br w:type="page"/>
      </w:r>
    </w:p>
    <w:p w:rsidR="00576ED0" w:rsidRPr="009F0928" w:rsidRDefault="00576ED0" w:rsidP="00693CE9">
      <w:pPr>
        <w:pStyle w:val="Heading1"/>
        <w:jc w:val="both"/>
      </w:pPr>
      <w:bookmarkStart w:id="0" w:name="_Toc326240351"/>
      <w:r w:rsidRPr="009F0928">
        <w:lastRenderedPageBreak/>
        <w:t>Introduction</w:t>
      </w:r>
      <w:bookmarkEnd w:id="0"/>
    </w:p>
    <w:p w:rsidR="00576ED0" w:rsidRPr="009F0928" w:rsidRDefault="00576ED0" w:rsidP="00693CE9">
      <w:pPr>
        <w:spacing w:line="269" w:lineRule="auto"/>
        <w:jc w:val="both"/>
        <w:rPr>
          <w:rFonts w:ascii="Arial" w:hAnsi="Arial" w:cs="Arial"/>
          <w:sz w:val="20"/>
          <w:szCs w:val="20"/>
        </w:rPr>
      </w:pPr>
    </w:p>
    <w:p w:rsidR="00655FA1" w:rsidRPr="00DF6C5D" w:rsidRDefault="00ED0AB4" w:rsidP="00EB0B2D">
      <w:pPr>
        <w:spacing w:line="269" w:lineRule="auto"/>
        <w:rPr>
          <w:rFonts w:ascii="Arial" w:hAnsi="Arial" w:cs="Arial"/>
          <w:sz w:val="20"/>
        </w:rPr>
      </w:pPr>
      <w:r w:rsidRPr="00DF6C5D">
        <w:rPr>
          <w:rFonts w:ascii="Arial" w:hAnsi="Arial" w:cs="Arial"/>
          <w:sz w:val="20"/>
        </w:rPr>
        <w:t xml:space="preserve">The Productivity Commission state </w:t>
      </w:r>
      <w:r w:rsidR="00655FA1" w:rsidRPr="00DF6C5D">
        <w:rPr>
          <w:rFonts w:ascii="Arial" w:hAnsi="Arial" w:cs="Arial"/>
          <w:sz w:val="20"/>
        </w:rPr>
        <w:t xml:space="preserve">that </w:t>
      </w:r>
      <w:r w:rsidRPr="00DF6C5D">
        <w:rPr>
          <w:rFonts w:ascii="Arial" w:hAnsi="Arial" w:cs="Arial"/>
          <w:sz w:val="20"/>
        </w:rPr>
        <w:t>the ‘Commonwealth has well established regulatory impact analysis (RIA) processes to guide decision makers in jurisdictions in considering proposals for new or amended regulation, with the broad objectives for ensuring that such regulation is efficient, effective and supports well functioning markets</w:t>
      </w:r>
      <w:r w:rsidRPr="0022195F">
        <w:rPr>
          <w:rStyle w:val="FootnoteReference"/>
          <w:rFonts w:ascii="Arial" w:hAnsi="Arial" w:cs="Arial"/>
          <w:sz w:val="20"/>
          <w:szCs w:val="20"/>
        </w:rPr>
        <w:footnoteReference w:id="1"/>
      </w:r>
      <w:r w:rsidRPr="0022195F">
        <w:rPr>
          <w:rFonts w:ascii="Arial" w:hAnsi="Arial" w:cs="Arial"/>
          <w:sz w:val="20"/>
          <w:szCs w:val="20"/>
          <w:vertAlign w:val="superscript"/>
        </w:rPr>
        <w:t>.</w:t>
      </w:r>
      <w:r w:rsidRPr="00DF6C5D">
        <w:rPr>
          <w:rFonts w:ascii="Arial" w:hAnsi="Arial" w:cs="Arial"/>
          <w:sz w:val="20"/>
        </w:rPr>
        <w:t>’</w:t>
      </w:r>
    </w:p>
    <w:p w:rsidR="00655FA1" w:rsidRPr="00DF6C5D" w:rsidRDefault="00655FA1" w:rsidP="00EB0B2D">
      <w:pPr>
        <w:spacing w:line="269" w:lineRule="auto"/>
        <w:rPr>
          <w:rFonts w:ascii="Arial" w:hAnsi="Arial" w:cs="Arial"/>
          <w:sz w:val="20"/>
        </w:rPr>
      </w:pPr>
    </w:p>
    <w:p w:rsidR="00ED0AB4" w:rsidRPr="00DF6C5D" w:rsidRDefault="00111F07" w:rsidP="00EB0B2D">
      <w:pPr>
        <w:spacing w:line="269" w:lineRule="auto"/>
        <w:rPr>
          <w:rFonts w:ascii="Arial" w:hAnsi="Arial" w:cs="Arial"/>
          <w:sz w:val="20"/>
        </w:rPr>
      </w:pPr>
      <w:r w:rsidRPr="00DF6C5D">
        <w:rPr>
          <w:rFonts w:ascii="Arial" w:hAnsi="Arial" w:cs="Arial"/>
          <w:sz w:val="20"/>
        </w:rPr>
        <w:t xml:space="preserve">The ATA believes that correctly applied these </w:t>
      </w:r>
      <w:r w:rsidR="004F6065" w:rsidRPr="00DF6C5D">
        <w:rPr>
          <w:rFonts w:ascii="Arial" w:hAnsi="Arial" w:cs="Arial"/>
          <w:sz w:val="20"/>
        </w:rPr>
        <w:t xml:space="preserve">RIA </w:t>
      </w:r>
      <w:r w:rsidRPr="00DF6C5D">
        <w:rPr>
          <w:rFonts w:ascii="Arial" w:hAnsi="Arial" w:cs="Arial"/>
          <w:sz w:val="20"/>
        </w:rPr>
        <w:t>standards will deliver useful R</w:t>
      </w:r>
      <w:r w:rsidR="004F6065" w:rsidRPr="00DF6C5D">
        <w:rPr>
          <w:rFonts w:ascii="Arial" w:hAnsi="Arial" w:cs="Arial"/>
          <w:sz w:val="20"/>
        </w:rPr>
        <w:t>egulatory Impact Statements (R</w:t>
      </w:r>
      <w:r w:rsidRPr="00DF6C5D">
        <w:rPr>
          <w:rFonts w:ascii="Arial" w:hAnsi="Arial" w:cs="Arial"/>
          <w:sz w:val="20"/>
        </w:rPr>
        <w:t>IS</w:t>
      </w:r>
      <w:r w:rsidR="004F6065" w:rsidRPr="00DF6C5D">
        <w:rPr>
          <w:rFonts w:ascii="Arial" w:hAnsi="Arial" w:cs="Arial"/>
          <w:sz w:val="20"/>
        </w:rPr>
        <w:t>)</w:t>
      </w:r>
      <w:r w:rsidRPr="00DF6C5D">
        <w:rPr>
          <w:rFonts w:ascii="Arial" w:hAnsi="Arial" w:cs="Arial"/>
          <w:sz w:val="20"/>
        </w:rPr>
        <w:t xml:space="preserve"> that will assist governments in making better decisions. However, if not followed or ignored or manipulated</w:t>
      </w:r>
      <w:r w:rsidR="00655FA1" w:rsidRPr="00DF6C5D">
        <w:rPr>
          <w:rFonts w:ascii="Arial" w:hAnsi="Arial" w:cs="Arial"/>
          <w:sz w:val="20"/>
        </w:rPr>
        <w:t>,</w:t>
      </w:r>
      <w:r w:rsidRPr="00DF6C5D">
        <w:rPr>
          <w:rFonts w:ascii="Arial" w:hAnsi="Arial" w:cs="Arial"/>
          <w:sz w:val="20"/>
        </w:rPr>
        <w:t xml:space="preserve"> the RIS process can result in decisions that disappoint stakeholders and governments alike. Therefor</w:t>
      </w:r>
      <w:r w:rsidR="005131CF" w:rsidRPr="00DF6C5D">
        <w:rPr>
          <w:rFonts w:ascii="Arial" w:hAnsi="Arial" w:cs="Arial"/>
          <w:sz w:val="20"/>
        </w:rPr>
        <w:t>e,</w:t>
      </w:r>
      <w:r w:rsidRPr="00DF6C5D">
        <w:rPr>
          <w:rFonts w:ascii="Arial" w:hAnsi="Arial" w:cs="Arial"/>
          <w:sz w:val="20"/>
        </w:rPr>
        <w:t xml:space="preserve"> the ATA believes increased accountability should be imposed on agencies to follow RIS processes and meet RIS guidelines. </w:t>
      </w:r>
    </w:p>
    <w:p w:rsidR="00ED0AB4" w:rsidRPr="00DF6C5D" w:rsidRDefault="00ED0AB4" w:rsidP="00EB0B2D">
      <w:pPr>
        <w:spacing w:line="269" w:lineRule="auto"/>
        <w:rPr>
          <w:rFonts w:ascii="Arial" w:hAnsi="Arial" w:cs="Arial"/>
          <w:sz w:val="20"/>
        </w:rPr>
      </w:pPr>
    </w:p>
    <w:p w:rsidR="00ED0AB4" w:rsidRPr="00DF6C5D" w:rsidRDefault="00655FA1" w:rsidP="00EB0B2D">
      <w:pPr>
        <w:spacing w:line="269" w:lineRule="auto"/>
        <w:rPr>
          <w:rFonts w:ascii="Arial" w:hAnsi="Arial" w:cs="Arial"/>
          <w:sz w:val="20"/>
        </w:rPr>
      </w:pPr>
      <w:r w:rsidRPr="00DF6C5D">
        <w:rPr>
          <w:rFonts w:ascii="Arial" w:hAnsi="Arial" w:cs="Arial"/>
          <w:sz w:val="20"/>
        </w:rPr>
        <w:t>T</w:t>
      </w:r>
      <w:r w:rsidR="00ED0AB4" w:rsidRPr="00DF6C5D">
        <w:rPr>
          <w:rFonts w:ascii="Arial" w:hAnsi="Arial" w:cs="Arial"/>
          <w:sz w:val="20"/>
        </w:rPr>
        <w:t xml:space="preserve">he process of RIA carried out by the National Transport Commission (NTC) in reference to heavy vehicles charges in </w:t>
      </w:r>
      <w:r w:rsidR="00D90322" w:rsidRPr="00DF6C5D">
        <w:rPr>
          <w:rFonts w:ascii="Arial" w:hAnsi="Arial" w:cs="Arial"/>
          <w:sz w:val="20"/>
        </w:rPr>
        <w:t xml:space="preserve">the heavy vehicle </w:t>
      </w:r>
      <w:r w:rsidR="00ED0AB4" w:rsidRPr="00DF6C5D">
        <w:rPr>
          <w:rFonts w:ascii="Arial" w:hAnsi="Arial" w:cs="Arial"/>
          <w:sz w:val="20"/>
        </w:rPr>
        <w:t>industry has not had these objectives in sight throughout the process</w:t>
      </w:r>
      <w:r w:rsidR="00B3377F" w:rsidRPr="00DF6C5D">
        <w:rPr>
          <w:rFonts w:ascii="Arial" w:hAnsi="Arial" w:cs="Arial"/>
          <w:sz w:val="20"/>
        </w:rPr>
        <w:t xml:space="preserve"> of review of charges</w:t>
      </w:r>
      <w:r w:rsidR="00ED0AB4" w:rsidRPr="00DF6C5D">
        <w:rPr>
          <w:rFonts w:ascii="Arial" w:hAnsi="Arial" w:cs="Arial"/>
          <w:sz w:val="20"/>
        </w:rPr>
        <w:t>. Best practice</w:t>
      </w:r>
      <w:r w:rsidR="00D90322" w:rsidRPr="00DF6C5D">
        <w:rPr>
          <w:rFonts w:ascii="Arial" w:hAnsi="Arial" w:cs="Arial"/>
          <w:sz w:val="20"/>
        </w:rPr>
        <w:t xml:space="preserve"> and meaningful consultation were</w:t>
      </w:r>
      <w:r w:rsidR="00ED0AB4" w:rsidRPr="00DF6C5D">
        <w:rPr>
          <w:rFonts w:ascii="Arial" w:hAnsi="Arial" w:cs="Arial"/>
          <w:sz w:val="20"/>
        </w:rPr>
        <w:t xml:space="preserve"> not achieved. </w:t>
      </w:r>
      <w:r w:rsidR="004F6065" w:rsidRPr="00DF6C5D">
        <w:rPr>
          <w:rFonts w:ascii="Arial" w:hAnsi="Arial" w:cs="Arial"/>
          <w:sz w:val="20"/>
        </w:rPr>
        <w:t>We will use this example as the basis of our submission as we believe it is a real-life example of bad practice</w:t>
      </w:r>
      <w:r w:rsidR="00F11F57" w:rsidRPr="00DF6C5D">
        <w:rPr>
          <w:rFonts w:ascii="Arial" w:hAnsi="Arial" w:cs="Arial"/>
          <w:sz w:val="20"/>
        </w:rPr>
        <w:t xml:space="preserve"> consultation that should have been conducted in accordance with RIA standards</w:t>
      </w:r>
      <w:r w:rsidR="004F6065" w:rsidRPr="00DF6C5D">
        <w:rPr>
          <w:rFonts w:ascii="Arial" w:hAnsi="Arial" w:cs="Arial"/>
          <w:sz w:val="20"/>
        </w:rPr>
        <w:t>.</w:t>
      </w:r>
      <w:r w:rsidR="00ED0AB4" w:rsidRPr="00DF6C5D">
        <w:rPr>
          <w:rFonts w:ascii="Arial" w:hAnsi="Arial" w:cs="Arial"/>
          <w:sz w:val="20"/>
        </w:rPr>
        <w:t xml:space="preserve"> </w:t>
      </w:r>
      <w:r w:rsidR="00F11F57" w:rsidRPr="00DF6C5D">
        <w:rPr>
          <w:rFonts w:ascii="Arial" w:hAnsi="Arial" w:cs="Arial"/>
          <w:sz w:val="20"/>
        </w:rPr>
        <w:t>It is our strong belief that had RIA standards been applied the outcomes would have been more favourable for industry.</w:t>
      </w:r>
    </w:p>
    <w:p w:rsidR="001D50C7" w:rsidRPr="00DF6C5D" w:rsidRDefault="001D50C7" w:rsidP="00EB0B2D">
      <w:pPr>
        <w:pStyle w:val="BodyText2"/>
        <w:spacing w:line="269" w:lineRule="auto"/>
        <w:rPr>
          <w:b w:val="0"/>
          <w:sz w:val="20"/>
          <w:szCs w:val="22"/>
        </w:rPr>
      </w:pPr>
    </w:p>
    <w:p w:rsidR="00804952" w:rsidRPr="00DF6C5D" w:rsidRDefault="00804952" w:rsidP="00EB0B2D">
      <w:pPr>
        <w:spacing w:line="269" w:lineRule="auto"/>
        <w:rPr>
          <w:rFonts w:ascii="Arial" w:hAnsi="Arial" w:cs="Arial"/>
          <w:sz w:val="20"/>
        </w:rPr>
      </w:pPr>
      <w:r w:rsidRPr="00DF6C5D">
        <w:rPr>
          <w:rFonts w:ascii="Arial" w:hAnsi="Arial" w:cs="Arial"/>
          <w:sz w:val="20"/>
        </w:rPr>
        <w:t xml:space="preserve">The industry lobbied the NTC to review its heavy vehicle charges, specifically charges for a component, the A-trailer. The A-trailer fits together to create high productivity vehicles that are relatively safer, more productive, </w:t>
      </w:r>
      <w:r w:rsidR="004F6065" w:rsidRPr="00DF6C5D">
        <w:rPr>
          <w:rFonts w:ascii="Arial" w:hAnsi="Arial" w:cs="Arial"/>
          <w:sz w:val="20"/>
        </w:rPr>
        <w:t xml:space="preserve">operated by </w:t>
      </w:r>
      <w:r w:rsidRPr="00DF6C5D">
        <w:rPr>
          <w:rFonts w:ascii="Arial" w:hAnsi="Arial" w:cs="Arial"/>
          <w:sz w:val="20"/>
        </w:rPr>
        <w:t>higher skilled drivers and have greater environmental credentials than traditional combinations</w:t>
      </w:r>
      <w:r w:rsidR="00B3377F" w:rsidRPr="00DF6C5D">
        <w:rPr>
          <w:rFonts w:ascii="Arial" w:hAnsi="Arial" w:cs="Arial"/>
          <w:sz w:val="20"/>
        </w:rPr>
        <w:t xml:space="preserve"> (semi-trailers and rigid trucks)</w:t>
      </w:r>
      <w:r w:rsidRPr="00DF6C5D">
        <w:rPr>
          <w:rFonts w:ascii="Arial" w:hAnsi="Arial" w:cs="Arial"/>
          <w:sz w:val="20"/>
        </w:rPr>
        <w:t>. For more detailed i</w:t>
      </w:r>
      <w:r w:rsidR="00A92272" w:rsidRPr="00DF6C5D">
        <w:rPr>
          <w:rFonts w:ascii="Arial" w:hAnsi="Arial" w:cs="Arial"/>
          <w:sz w:val="20"/>
        </w:rPr>
        <w:t xml:space="preserve">nformation see </w:t>
      </w:r>
      <w:r w:rsidR="00E131C9">
        <w:rPr>
          <w:rFonts w:ascii="Arial" w:hAnsi="Arial" w:cs="Arial"/>
          <w:sz w:val="20"/>
        </w:rPr>
        <w:t>A</w:t>
      </w:r>
      <w:r w:rsidR="00A92272" w:rsidRPr="00DF6C5D">
        <w:rPr>
          <w:rFonts w:ascii="Arial" w:hAnsi="Arial" w:cs="Arial"/>
          <w:sz w:val="20"/>
        </w:rPr>
        <w:t>ttachments A and B</w:t>
      </w:r>
      <w:r w:rsidRPr="00DF6C5D">
        <w:rPr>
          <w:rFonts w:ascii="Arial" w:hAnsi="Arial" w:cs="Arial"/>
          <w:sz w:val="20"/>
        </w:rPr>
        <w:t xml:space="preserve">. </w:t>
      </w:r>
    </w:p>
    <w:p w:rsidR="00804952" w:rsidRPr="00DF6C5D" w:rsidRDefault="00804952" w:rsidP="00EB0B2D">
      <w:pPr>
        <w:spacing w:line="269" w:lineRule="auto"/>
        <w:rPr>
          <w:rFonts w:ascii="Arial" w:hAnsi="Arial" w:cs="Arial"/>
          <w:sz w:val="20"/>
        </w:rPr>
      </w:pPr>
    </w:p>
    <w:p w:rsidR="00804952" w:rsidRPr="00DF6C5D" w:rsidRDefault="00804952" w:rsidP="00EB0B2D">
      <w:pPr>
        <w:spacing w:line="269" w:lineRule="auto"/>
        <w:rPr>
          <w:rFonts w:ascii="Arial" w:hAnsi="Arial" w:cs="Arial"/>
          <w:sz w:val="20"/>
        </w:rPr>
      </w:pPr>
      <w:r w:rsidRPr="00DF6C5D">
        <w:rPr>
          <w:rFonts w:ascii="Arial" w:hAnsi="Arial" w:cs="Arial"/>
          <w:sz w:val="20"/>
        </w:rPr>
        <w:t>The heavy vehicle industry pays a registration charge and a road user charge. The registration charge for A-trailer</w:t>
      </w:r>
      <w:r w:rsidR="00564629" w:rsidRPr="00DF6C5D">
        <w:rPr>
          <w:rFonts w:ascii="Arial" w:hAnsi="Arial" w:cs="Arial"/>
          <w:sz w:val="20"/>
        </w:rPr>
        <w:t>s</w:t>
      </w:r>
      <w:r w:rsidRPr="00DF6C5D">
        <w:rPr>
          <w:rFonts w:ascii="Arial" w:hAnsi="Arial" w:cs="Arial"/>
          <w:sz w:val="20"/>
        </w:rPr>
        <w:t xml:space="preserve">, which </w:t>
      </w:r>
      <w:r w:rsidR="00564629" w:rsidRPr="00DF6C5D">
        <w:rPr>
          <w:rFonts w:ascii="Arial" w:hAnsi="Arial" w:cs="Arial"/>
          <w:sz w:val="20"/>
        </w:rPr>
        <w:t xml:space="preserve">are used to </w:t>
      </w:r>
      <w:r w:rsidRPr="00DF6C5D">
        <w:rPr>
          <w:rFonts w:ascii="Arial" w:hAnsi="Arial" w:cs="Arial"/>
          <w:sz w:val="20"/>
        </w:rPr>
        <w:t>make up a number of high productivity vehicles the B-double</w:t>
      </w:r>
      <w:r w:rsidR="00564629" w:rsidRPr="00DF6C5D">
        <w:rPr>
          <w:rFonts w:ascii="Arial" w:hAnsi="Arial" w:cs="Arial"/>
          <w:sz w:val="20"/>
        </w:rPr>
        <w:t>,</w:t>
      </w:r>
      <w:r w:rsidRPr="00DF6C5D">
        <w:rPr>
          <w:rFonts w:ascii="Arial" w:hAnsi="Arial" w:cs="Arial"/>
          <w:sz w:val="20"/>
        </w:rPr>
        <w:t xml:space="preserve"> B-triple</w:t>
      </w:r>
      <w:r w:rsidR="00564629" w:rsidRPr="00DF6C5D">
        <w:rPr>
          <w:rFonts w:ascii="Arial" w:hAnsi="Arial" w:cs="Arial"/>
          <w:sz w:val="20"/>
        </w:rPr>
        <w:t>, AB-triple and ABB and BAB Quad combinations</w:t>
      </w:r>
      <w:r w:rsidRPr="00DF6C5D">
        <w:rPr>
          <w:rFonts w:ascii="Arial" w:hAnsi="Arial" w:cs="Arial"/>
          <w:sz w:val="20"/>
        </w:rPr>
        <w:t xml:space="preserve">, have increased significantly over the past 4 years.  </w:t>
      </w:r>
    </w:p>
    <w:p w:rsidR="00B3377F" w:rsidRPr="00DF6C5D" w:rsidRDefault="00B3377F" w:rsidP="00EB0B2D">
      <w:pPr>
        <w:spacing w:line="269" w:lineRule="auto"/>
        <w:rPr>
          <w:rFonts w:ascii="Arial" w:hAnsi="Arial" w:cs="Arial"/>
          <w:sz w:val="20"/>
        </w:rPr>
      </w:pPr>
    </w:p>
    <w:p w:rsidR="00564629" w:rsidRPr="00DF6C5D" w:rsidRDefault="009F0928" w:rsidP="00EB0B2D">
      <w:pPr>
        <w:spacing w:line="269" w:lineRule="auto"/>
        <w:rPr>
          <w:rFonts w:ascii="Arial" w:hAnsi="Arial" w:cs="Arial"/>
          <w:sz w:val="20"/>
        </w:rPr>
      </w:pPr>
      <w:r w:rsidRPr="00DF6C5D">
        <w:rPr>
          <w:rFonts w:ascii="Arial" w:hAnsi="Arial" w:cs="Arial"/>
          <w:sz w:val="20"/>
        </w:rPr>
        <w:t xml:space="preserve">B-double combinations have absorbed the entire freight task growth for the last 6 years. NTI states that B-doubles are the safest vehicle with them carrying 48% of the road freight but being involved in just over a quarter of all accidents.  </w:t>
      </w:r>
    </w:p>
    <w:p w:rsidR="00564629" w:rsidRPr="009F0928" w:rsidRDefault="00564629" w:rsidP="00EB0B2D">
      <w:pPr>
        <w:spacing w:line="269" w:lineRule="auto"/>
        <w:rPr>
          <w:rFonts w:ascii="Arial" w:hAnsi="Arial" w:cs="Arial"/>
          <w:sz w:val="20"/>
          <w:szCs w:val="20"/>
        </w:rPr>
      </w:pPr>
    </w:p>
    <w:tbl>
      <w:tblPr>
        <w:tblpPr w:leftFromText="180" w:rightFromText="180" w:vertAnchor="text" w:horzAnchor="margin" w:tblpY="43"/>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4322"/>
        <w:gridCol w:w="1073"/>
        <w:gridCol w:w="1073"/>
        <w:gridCol w:w="1073"/>
        <w:gridCol w:w="1142"/>
      </w:tblGrid>
      <w:tr w:rsidR="00717A65" w:rsidRPr="009F0928" w:rsidTr="00717A65">
        <w:trPr>
          <w:trHeight w:val="372"/>
        </w:trPr>
        <w:tc>
          <w:tcPr>
            <w:tcW w:w="0" w:type="auto"/>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object w:dxaOrig="411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05pt;height:28.2pt" o:ole="">
                  <v:imagedata r:id="rId11" o:title=""/>
                </v:shape>
                <o:OLEObject Type="Embed" ProgID="PBrush" ShapeID="_x0000_i1025" DrawAspect="Content" ObjectID="_1399986173" r:id="rId12"/>
              </w:object>
            </w:r>
          </w:p>
        </w:tc>
        <w:tc>
          <w:tcPr>
            <w:tcW w:w="0" w:type="auto"/>
            <w:vAlign w:val="center"/>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t>July 2008</w:t>
            </w:r>
          </w:p>
        </w:tc>
        <w:tc>
          <w:tcPr>
            <w:tcW w:w="0" w:type="auto"/>
            <w:vAlign w:val="center"/>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t>July 2009</w:t>
            </w:r>
          </w:p>
        </w:tc>
        <w:tc>
          <w:tcPr>
            <w:tcW w:w="0" w:type="auto"/>
            <w:vAlign w:val="center"/>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t>July 2010</w:t>
            </w:r>
          </w:p>
        </w:tc>
        <w:tc>
          <w:tcPr>
            <w:tcW w:w="1142" w:type="dxa"/>
            <w:vAlign w:val="center"/>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t>July 2011</w:t>
            </w:r>
          </w:p>
        </w:tc>
      </w:tr>
      <w:tr w:rsidR="00717A65" w:rsidRPr="009F0928" w:rsidTr="00717A65">
        <w:trPr>
          <w:trHeight w:val="372"/>
        </w:trPr>
        <w:tc>
          <w:tcPr>
            <w:tcW w:w="0" w:type="auto"/>
            <w:vAlign w:val="center"/>
          </w:tcPr>
          <w:p w:rsidR="00717A65" w:rsidRPr="009F0928" w:rsidRDefault="00717A65" w:rsidP="00717A65">
            <w:pPr>
              <w:spacing w:line="269" w:lineRule="auto"/>
              <w:rPr>
                <w:rFonts w:ascii="Arial" w:hAnsi="Arial" w:cs="Arial"/>
                <w:sz w:val="20"/>
                <w:szCs w:val="20"/>
              </w:rPr>
            </w:pPr>
            <w:r w:rsidRPr="009F0928">
              <w:rPr>
                <w:rFonts w:ascii="Arial" w:hAnsi="Arial" w:cs="Arial"/>
                <w:sz w:val="20"/>
                <w:szCs w:val="20"/>
              </w:rPr>
              <w:t>9 axle B-double registration cost</w:t>
            </w:r>
          </w:p>
        </w:tc>
        <w:tc>
          <w:tcPr>
            <w:tcW w:w="0" w:type="auto"/>
            <w:vAlign w:val="center"/>
          </w:tcPr>
          <w:p w:rsidR="00717A65" w:rsidRPr="009F0928" w:rsidRDefault="00717A65" w:rsidP="00717A65">
            <w:pPr>
              <w:spacing w:line="269" w:lineRule="auto"/>
              <w:jc w:val="center"/>
              <w:rPr>
                <w:rFonts w:ascii="Arial" w:hAnsi="Arial" w:cs="Arial"/>
                <w:sz w:val="20"/>
                <w:szCs w:val="20"/>
              </w:rPr>
            </w:pPr>
            <w:r w:rsidRPr="009F0928">
              <w:rPr>
                <w:rFonts w:ascii="Arial" w:hAnsi="Arial" w:cs="Arial"/>
                <w:sz w:val="20"/>
                <w:szCs w:val="20"/>
              </w:rPr>
              <w:t>$9,330</w:t>
            </w:r>
          </w:p>
        </w:tc>
        <w:tc>
          <w:tcPr>
            <w:tcW w:w="0" w:type="auto"/>
            <w:vAlign w:val="center"/>
          </w:tcPr>
          <w:p w:rsidR="00717A65" w:rsidRPr="009F0928" w:rsidRDefault="00717A65" w:rsidP="00717A65">
            <w:pPr>
              <w:spacing w:line="269" w:lineRule="auto"/>
              <w:jc w:val="center"/>
              <w:rPr>
                <w:rFonts w:ascii="Arial" w:hAnsi="Arial" w:cs="Arial"/>
                <w:sz w:val="20"/>
                <w:szCs w:val="20"/>
              </w:rPr>
            </w:pPr>
            <w:r w:rsidRPr="009F0928">
              <w:rPr>
                <w:rFonts w:ascii="Arial" w:hAnsi="Arial" w:cs="Arial"/>
                <w:sz w:val="20"/>
                <w:szCs w:val="20"/>
              </w:rPr>
              <w:t>$12,214</w:t>
            </w:r>
          </w:p>
        </w:tc>
        <w:tc>
          <w:tcPr>
            <w:tcW w:w="0" w:type="auto"/>
            <w:vAlign w:val="center"/>
          </w:tcPr>
          <w:p w:rsidR="00717A65" w:rsidRPr="009F0928" w:rsidRDefault="00717A65" w:rsidP="00717A65">
            <w:pPr>
              <w:spacing w:line="269" w:lineRule="auto"/>
              <w:jc w:val="center"/>
              <w:rPr>
                <w:rFonts w:ascii="Arial" w:hAnsi="Arial" w:cs="Arial"/>
                <w:sz w:val="20"/>
                <w:szCs w:val="20"/>
              </w:rPr>
            </w:pPr>
            <w:r w:rsidRPr="009F0928">
              <w:rPr>
                <w:rFonts w:ascii="Arial" w:hAnsi="Arial" w:cs="Arial"/>
                <w:sz w:val="20"/>
                <w:szCs w:val="20"/>
              </w:rPr>
              <w:t>$15,340</w:t>
            </w:r>
          </w:p>
        </w:tc>
        <w:tc>
          <w:tcPr>
            <w:tcW w:w="1142" w:type="dxa"/>
            <w:vAlign w:val="center"/>
          </w:tcPr>
          <w:p w:rsidR="00717A65" w:rsidRPr="009F0928" w:rsidRDefault="00717A65" w:rsidP="00717A65">
            <w:pPr>
              <w:spacing w:line="269" w:lineRule="auto"/>
              <w:jc w:val="center"/>
              <w:rPr>
                <w:rFonts w:ascii="Arial" w:hAnsi="Arial" w:cs="Arial"/>
                <w:sz w:val="20"/>
                <w:szCs w:val="20"/>
              </w:rPr>
            </w:pPr>
            <w:r w:rsidRPr="009F0928">
              <w:rPr>
                <w:rFonts w:ascii="Arial" w:hAnsi="Arial" w:cs="Arial"/>
                <w:sz w:val="20"/>
                <w:szCs w:val="20"/>
              </w:rPr>
              <w:t>$15,708</w:t>
            </w:r>
          </w:p>
        </w:tc>
      </w:tr>
    </w:tbl>
    <w:p w:rsidR="00AC3F73" w:rsidRPr="009F0928" w:rsidRDefault="00AC3F73" w:rsidP="00EB0B2D">
      <w:pPr>
        <w:spacing w:line="269" w:lineRule="auto"/>
        <w:rPr>
          <w:rFonts w:ascii="Arial" w:hAnsi="Arial" w:cs="Arial"/>
          <w:sz w:val="20"/>
          <w:szCs w:val="20"/>
        </w:rPr>
      </w:pPr>
    </w:p>
    <w:p w:rsidR="00717A65" w:rsidRDefault="00717A65" w:rsidP="00EB0B2D">
      <w:pPr>
        <w:spacing w:line="269" w:lineRule="auto"/>
        <w:rPr>
          <w:rFonts w:ascii="Arial" w:hAnsi="Arial" w:cs="Arial"/>
          <w:sz w:val="20"/>
          <w:szCs w:val="20"/>
        </w:rPr>
      </w:pPr>
    </w:p>
    <w:p w:rsidR="00717A65" w:rsidRDefault="00717A65" w:rsidP="00EB0B2D">
      <w:pPr>
        <w:spacing w:line="269" w:lineRule="auto"/>
        <w:rPr>
          <w:rFonts w:ascii="Arial" w:hAnsi="Arial" w:cs="Arial"/>
          <w:sz w:val="20"/>
          <w:szCs w:val="20"/>
        </w:rPr>
      </w:pPr>
    </w:p>
    <w:p w:rsidR="00717A65" w:rsidRDefault="00717A65" w:rsidP="00EB0B2D">
      <w:pPr>
        <w:spacing w:line="269" w:lineRule="auto"/>
        <w:rPr>
          <w:rFonts w:ascii="Arial" w:hAnsi="Arial" w:cs="Arial"/>
          <w:sz w:val="20"/>
          <w:szCs w:val="20"/>
        </w:rPr>
      </w:pPr>
    </w:p>
    <w:p w:rsidR="00717A65" w:rsidRDefault="00717A65" w:rsidP="00EB0B2D">
      <w:pPr>
        <w:spacing w:line="269" w:lineRule="auto"/>
        <w:rPr>
          <w:rFonts w:ascii="Arial" w:hAnsi="Arial" w:cs="Arial"/>
          <w:sz w:val="20"/>
          <w:szCs w:val="20"/>
        </w:rPr>
      </w:pPr>
    </w:p>
    <w:p w:rsidR="00804952" w:rsidRPr="00DF6C5D" w:rsidRDefault="00804952" w:rsidP="00EB0B2D">
      <w:pPr>
        <w:spacing w:line="269" w:lineRule="auto"/>
        <w:rPr>
          <w:rFonts w:ascii="Arial" w:hAnsi="Arial" w:cs="Arial"/>
          <w:sz w:val="20"/>
          <w:szCs w:val="20"/>
        </w:rPr>
      </w:pPr>
      <w:r w:rsidRPr="00DF6C5D">
        <w:rPr>
          <w:rFonts w:ascii="Arial" w:hAnsi="Arial" w:cs="Arial"/>
          <w:sz w:val="20"/>
          <w:szCs w:val="20"/>
        </w:rPr>
        <w:t>Industry stated that the high registration fees would lead to fewer B-doubles being used in the fleet; this has safety implications</w:t>
      </w:r>
      <w:r w:rsidR="00D90322" w:rsidRPr="00DF6C5D">
        <w:rPr>
          <w:rFonts w:ascii="Arial" w:hAnsi="Arial" w:cs="Arial"/>
          <w:sz w:val="20"/>
          <w:szCs w:val="20"/>
        </w:rPr>
        <w:t>,</w:t>
      </w:r>
      <w:r w:rsidRPr="00DF6C5D">
        <w:rPr>
          <w:rFonts w:ascii="Arial" w:hAnsi="Arial" w:cs="Arial"/>
          <w:sz w:val="20"/>
          <w:szCs w:val="20"/>
        </w:rPr>
        <w:t xml:space="preserve"> as moving away from one of the safest combinations to using </w:t>
      </w:r>
      <w:r w:rsidR="00655FA1" w:rsidRPr="00DF6C5D">
        <w:rPr>
          <w:rFonts w:ascii="Arial" w:hAnsi="Arial" w:cs="Arial"/>
          <w:sz w:val="20"/>
          <w:szCs w:val="20"/>
        </w:rPr>
        <w:t xml:space="preserve">greater numbers of </w:t>
      </w:r>
      <w:r w:rsidRPr="00DF6C5D">
        <w:rPr>
          <w:rFonts w:ascii="Arial" w:hAnsi="Arial" w:cs="Arial"/>
          <w:sz w:val="20"/>
          <w:szCs w:val="20"/>
        </w:rPr>
        <w:t xml:space="preserve">smaller trucks increases the incidence of </w:t>
      </w:r>
      <w:r w:rsidR="00655FA1" w:rsidRPr="00DF6C5D">
        <w:rPr>
          <w:rFonts w:ascii="Arial" w:hAnsi="Arial" w:cs="Arial"/>
          <w:sz w:val="20"/>
          <w:szCs w:val="20"/>
        </w:rPr>
        <w:t>accidents, and</w:t>
      </w:r>
      <w:r w:rsidRPr="00DF6C5D">
        <w:rPr>
          <w:rFonts w:ascii="Arial" w:hAnsi="Arial" w:cs="Arial"/>
          <w:sz w:val="20"/>
          <w:szCs w:val="20"/>
        </w:rPr>
        <w:t xml:space="preserve"> increase</w:t>
      </w:r>
      <w:r w:rsidR="00E131C9">
        <w:rPr>
          <w:rFonts w:ascii="Arial" w:hAnsi="Arial" w:cs="Arial"/>
          <w:sz w:val="20"/>
          <w:szCs w:val="20"/>
        </w:rPr>
        <w:t>s</w:t>
      </w:r>
      <w:r w:rsidRPr="00DF6C5D">
        <w:rPr>
          <w:rFonts w:ascii="Arial" w:hAnsi="Arial" w:cs="Arial"/>
          <w:sz w:val="20"/>
          <w:szCs w:val="20"/>
        </w:rPr>
        <w:t xml:space="preserve"> road wear to infrastructure. </w:t>
      </w:r>
      <w:r w:rsidR="00564629" w:rsidRPr="00DF6C5D">
        <w:rPr>
          <w:rFonts w:ascii="Arial" w:hAnsi="Arial" w:cs="Arial"/>
          <w:sz w:val="20"/>
          <w:szCs w:val="20"/>
        </w:rPr>
        <w:t xml:space="preserve">The evidence of impact of a change to smaller trucks is available in the </w:t>
      </w:r>
      <w:r w:rsidR="00E131C9">
        <w:rPr>
          <w:rFonts w:ascii="Arial" w:hAnsi="Arial" w:cs="Arial"/>
          <w:sz w:val="20"/>
          <w:szCs w:val="20"/>
        </w:rPr>
        <w:t>Truck Impact C</w:t>
      </w:r>
      <w:r w:rsidR="00564629" w:rsidRPr="00DF6C5D">
        <w:rPr>
          <w:rFonts w:ascii="Arial" w:hAnsi="Arial" w:cs="Arial"/>
          <w:sz w:val="20"/>
          <w:szCs w:val="20"/>
        </w:rPr>
        <w:t>hart at Attachment A.</w:t>
      </w:r>
    </w:p>
    <w:p w:rsidR="00804952" w:rsidRPr="00DF6C5D" w:rsidRDefault="00804952" w:rsidP="00EB0B2D">
      <w:pPr>
        <w:spacing w:line="269" w:lineRule="auto"/>
        <w:rPr>
          <w:rFonts w:ascii="Arial" w:hAnsi="Arial" w:cs="Arial"/>
          <w:sz w:val="20"/>
          <w:szCs w:val="20"/>
        </w:rPr>
      </w:pPr>
    </w:p>
    <w:p w:rsidR="00804952" w:rsidRPr="00DF6C5D" w:rsidRDefault="00804952" w:rsidP="00EB0B2D">
      <w:pPr>
        <w:spacing w:line="269" w:lineRule="auto"/>
        <w:rPr>
          <w:rFonts w:ascii="Arial" w:hAnsi="Arial" w:cs="Arial"/>
          <w:sz w:val="20"/>
          <w:szCs w:val="20"/>
        </w:rPr>
      </w:pPr>
      <w:r w:rsidRPr="00DF6C5D">
        <w:rPr>
          <w:rFonts w:ascii="Arial" w:hAnsi="Arial" w:cs="Arial"/>
          <w:sz w:val="20"/>
          <w:szCs w:val="20"/>
        </w:rPr>
        <w:t xml:space="preserve">The National Transport Commission </w:t>
      </w:r>
      <w:r w:rsidR="00A92272" w:rsidRPr="00DF6C5D">
        <w:rPr>
          <w:rFonts w:ascii="Arial" w:hAnsi="Arial" w:cs="Arial"/>
          <w:sz w:val="20"/>
          <w:szCs w:val="20"/>
        </w:rPr>
        <w:t>decided</w:t>
      </w:r>
      <w:r w:rsidRPr="00DF6C5D">
        <w:rPr>
          <w:rFonts w:ascii="Arial" w:hAnsi="Arial" w:cs="Arial"/>
          <w:sz w:val="20"/>
          <w:szCs w:val="20"/>
        </w:rPr>
        <w:t xml:space="preserve"> to discuss these issues with industry and agreed to find a satisfactory solution to the concerns of a decline in A-trailer use. </w:t>
      </w:r>
    </w:p>
    <w:p w:rsidR="00804952" w:rsidRPr="00DF6C5D" w:rsidRDefault="00804952" w:rsidP="00EB0B2D">
      <w:pPr>
        <w:spacing w:line="269" w:lineRule="auto"/>
        <w:rPr>
          <w:rFonts w:ascii="Arial" w:hAnsi="Arial" w:cs="Arial"/>
          <w:sz w:val="20"/>
          <w:szCs w:val="20"/>
        </w:rPr>
      </w:pPr>
    </w:p>
    <w:p w:rsidR="00804952" w:rsidRPr="00DF6C5D" w:rsidRDefault="00804952" w:rsidP="00EB0B2D">
      <w:pPr>
        <w:spacing w:line="269" w:lineRule="auto"/>
        <w:rPr>
          <w:rFonts w:ascii="Arial" w:hAnsi="Arial" w:cs="Arial"/>
          <w:sz w:val="20"/>
          <w:szCs w:val="20"/>
        </w:rPr>
      </w:pPr>
      <w:r w:rsidRPr="00DF6C5D">
        <w:rPr>
          <w:rFonts w:ascii="Arial" w:hAnsi="Arial" w:cs="Arial"/>
          <w:sz w:val="20"/>
          <w:szCs w:val="20"/>
        </w:rPr>
        <w:t xml:space="preserve">Since March 2011 industry has engaged with the NTC and has been as open and goal driven as possible. However, the performance and attitude of the NTC has been below the standard that is expected of a Commonwealth entity to perform in terms of RIA processes. </w:t>
      </w:r>
    </w:p>
    <w:p w:rsidR="00804952" w:rsidRPr="00DF6C5D" w:rsidRDefault="00804952" w:rsidP="00EB0B2D">
      <w:pPr>
        <w:spacing w:line="269" w:lineRule="auto"/>
        <w:rPr>
          <w:rFonts w:ascii="Arial" w:hAnsi="Arial" w:cs="Arial"/>
          <w:sz w:val="20"/>
          <w:szCs w:val="20"/>
        </w:rPr>
      </w:pPr>
    </w:p>
    <w:p w:rsidR="00DF6C5D" w:rsidRDefault="00D90322" w:rsidP="00EB0B2D">
      <w:pPr>
        <w:spacing w:line="269" w:lineRule="auto"/>
        <w:rPr>
          <w:rFonts w:ascii="Arial" w:hAnsi="Arial" w:cs="Arial"/>
          <w:sz w:val="20"/>
          <w:szCs w:val="20"/>
        </w:rPr>
      </w:pPr>
      <w:r w:rsidRPr="00DF6C5D">
        <w:rPr>
          <w:rFonts w:ascii="Arial" w:hAnsi="Arial" w:cs="Arial"/>
          <w:sz w:val="20"/>
          <w:szCs w:val="20"/>
        </w:rPr>
        <w:t>A</w:t>
      </w:r>
      <w:r w:rsidR="00804952" w:rsidRPr="00DF6C5D">
        <w:rPr>
          <w:rFonts w:ascii="Arial" w:hAnsi="Arial" w:cs="Arial"/>
          <w:sz w:val="20"/>
          <w:szCs w:val="20"/>
        </w:rPr>
        <w:t>ctions have severely affected the indust</w:t>
      </w:r>
      <w:r w:rsidRPr="00DF6C5D">
        <w:rPr>
          <w:rFonts w:ascii="Arial" w:hAnsi="Arial" w:cs="Arial"/>
          <w:sz w:val="20"/>
          <w:szCs w:val="20"/>
        </w:rPr>
        <w:t>ry’s trust in anything that the</w:t>
      </w:r>
      <w:r w:rsidR="009A6325" w:rsidRPr="00DF6C5D">
        <w:rPr>
          <w:rFonts w:ascii="Arial" w:hAnsi="Arial" w:cs="Arial"/>
          <w:sz w:val="20"/>
          <w:szCs w:val="20"/>
        </w:rPr>
        <w:t xml:space="preserve"> NTC have input </w:t>
      </w:r>
      <w:r w:rsidR="00564629" w:rsidRPr="00DF6C5D">
        <w:rPr>
          <w:rFonts w:ascii="Arial" w:hAnsi="Arial" w:cs="Arial"/>
          <w:sz w:val="20"/>
          <w:szCs w:val="20"/>
        </w:rPr>
        <w:t xml:space="preserve">to </w:t>
      </w:r>
      <w:r w:rsidR="009A6325" w:rsidRPr="00DF6C5D">
        <w:rPr>
          <w:rFonts w:ascii="Arial" w:hAnsi="Arial" w:cs="Arial"/>
          <w:sz w:val="20"/>
          <w:szCs w:val="20"/>
        </w:rPr>
        <w:t xml:space="preserve">and control over. </w:t>
      </w:r>
      <w:r w:rsidR="00564629" w:rsidRPr="00DF6C5D">
        <w:rPr>
          <w:rFonts w:ascii="Arial" w:hAnsi="Arial" w:cs="Arial"/>
          <w:sz w:val="20"/>
          <w:szCs w:val="20"/>
        </w:rPr>
        <w:t>In the case of the recent charges decision t</w:t>
      </w:r>
      <w:r w:rsidR="00804952" w:rsidRPr="00DF6C5D">
        <w:rPr>
          <w:rFonts w:ascii="Arial" w:hAnsi="Arial" w:cs="Arial"/>
          <w:sz w:val="20"/>
          <w:szCs w:val="20"/>
        </w:rPr>
        <w:t xml:space="preserve">he options that were presented to Ministers had no analysis of how they would affect the industry or the wider community. This failure to show appropriate impact has left industry and </w:t>
      </w:r>
      <w:r w:rsidR="00102C23" w:rsidRPr="00DF6C5D">
        <w:rPr>
          <w:rFonts w:ascii="Arial" w:hAnsi="Arial" w:cs="Arial"/>
          <w:sz w:val="20"/>
          <w:szCs w:val="20"/>
        </w:rPr>
        <w:t xml:space="preserve">Standing Council on Transport and Infrastructure (SCOTI) </w:t>
      </w:r>
      <w:r w:rsidR="00E131C9">
        <w:rPr>
          <w:rFonts w:ascii="Arial" w:hAnsi="Arial" w:cs="Arial"/>
          <w:sz w:val="20"/>
          <w:szCs w:val="20"/>
        </w:rPr>
        <w:t>m</w:t>
      </w:r>
      <w:r w:rsidR="00804952" w:rsidRPr="00DF6C5D">
        <w:rPr>
          <w:rFonts w:ascii="Arial" w:hAnsi="Arial" w:cs="Arial"/>
          <w:sz w:val="20"/>
          <w:szCs w:val="20"/>
        </w:rPr>
        <w:t>inisters confused by the actual affects of the proposals as the process has been rushed and non-transparent in a number of ways</w:t>
      </w:r>
      <w:r w:rsidR="00655FA1" w:rsidRPr="00DF6C5D">
        <w:rPr>
          <w:rFonts w:ascii="Arial" w:hAnsi="Arial" w:cs="Arial"/>
          <w:sz w:val="20"/>
          <w:szCs w:val="20"/>
        </w:rPr>
        <w:t xml:space="preserve">. </w:t>
      </w:r>
      <w:r w:rsidR="00DF6C5D">
        <w:rPr>
          <w:rFonts w:ascii="Arial" w:hAnsi="Arial" w:cs="Arial"/>
          <w:sz w:val="20"/>
          <w:szCs w:val="20"/>
        </w:rPr>
        <w:br w:type="page"/>
      </w:r>
    </w:p>
    <w:p w:rsidR="00804952" w:rsidRPr="009F0928" w:rsidRDefault="00804952" w:rsidP="00EB0B2D">
      <w:pPr>
        <w:spacing w:line="269" w:lineRule="auto"/>
        <w:rPr>
          <w:rFonts w:ascii="Arial" w:hAnsi="Arial" w:cs="Arial"/>
          <w:sz w:val="20"/>
          <w:szCs w:val="20"/>
        </w:rPr>
      </w:pPr>
    </w:p>
    <w:p w:rsidR="00576ED0" w:rsidRPr="009F0928" w:rsidRDefault="00576ED0" w:rsidP="00693CE9">
      <w:pPr>
        <w:pStyle w:val="Heading1"/>
        <w:jc w:val="both"/>
      </w:pPr>
      <w:bookmarkStart w:id="1" w:name="_Toc326240352"/>
      <w:r w:rsidRPr="009F0928">
        <w:t>Australian Trucking Association</w:t>
      </w:r>
      <w:bookmarkEnd w:id="1"/>
    </w:p>
    <w:p w:rsidR="004008C7" w:rsidRPr="00EB0B2D" w:rsidRDefault="004008C7" w:rsidP="004D58E8">
      <w:pPr>
        <w:spacing w:line="269" w:lineRule="auto"/>
        <w:rPr>
          <w:rFonts w:ascii="Arial" w:hAnsi="Arial" w:cs="Arial"/>
          <w:sz w:val="20"/>
          <w:szCs w:val="20"/>
        </w:rPr>
      </w:pPr>
    </w:p>
    <w:p w:rsidR="00ED0AB4" w:rsidRPr="00EB0B2D" w:rsidRDefault="00ED0AB4" w:rsidP="004D58E8">
      <w:pPr>
        <w:spacing w:line="269" w:lineRule="auto"/>
        <w:rPr>
          <w:rFonts w:ascii="Arial" w:hAnsi="Arial" w:cs="Arial"/>
          <w:sz w:val="20"/>
          <w:szCs w:val="20"/>
        </w:rPr>
      </w:pPr>
      <w:r w:rsidRPr="00EB0B2D">
        <w:rPr>
          <w:rFonts w:ascii="Arial" w:hAnsi="Arial" w:cs="Arial"/>
          <w:sz w:val="20"/>
          <w:szCs w:val="20"/>
        </w:rPr>
        <w:t>The Australian Trucking Association (ATA) is the peak body that represents the trucking industry. Its members include the state and sector based trucking associations, some of the nation’s largest transport companies, and businesses with leading expertise in truck technology.</w:t>
      </w:r>
    </w:p>
    <w:p w:rsidR="000B069A" w:rsidRDefault="000B069A" w:rsidP="004D58E8">
      <w:pPr>
        <w:spacing w:line="269" w:lineRule="auto"/>
        <w:rPr>
          <w:rFonts w:ascii="Arial" w:hAnsi="Arial" w:cs="Arial"/>
          <w:sz w:val="20"/>
          <w:szCs w:val="20"/>
        </w:rPr>
      </w:pPr>
    </w:p>
    <w:p w:rsidR="00EB0B2D" w:rsidRPr="00EB0B2D" w:rsidRDefault="00EB0B2D" w:rsidP="004D58E8">
      <w:pPr>
        <w:spacing w:line="269" w:lineRule="auto"/>
        <w:rPr>
          <w:rFonts w:ascii="Arial" w:hAnsi="Arial" w:cs="Arial"/>
          <w:sz w:val="20"/>
          <w:szCs w:val="20"/>
        </w:rPr>
      </w:pPr>
    </w:p>
    <w:p w:rsidR="00907971" w:rsidRPr="009F0928" w:rsidRDefault="00907971" w:rsidP="00693CE9">
      <w:pPr>
        <w:pStyle w:val="Heading1"/>
        <w:jc w:val="both"/>
      </w:pPr>
      <w:bookmarkStart w:id="2" w:name="_Toc326240353"/>
      <w:r w:rsidRPr="009F0928">
        <w:t>Recommendations</w:t>
      </w:r>
      <w:bookmarkEnd w:id="2"/>
    </w:p>
    <w:p w:rsidR="00735822" w:rsidRDefault="003160A5">
      <w:pPr>
        <w:pStyle w:val="TOC1"/>
        <w:rPr>
          <w:rFonts w:asciiTheme="minorHAnsi" w:eastAsiaTheme="minorEastAsia" w:hAnsiTheme="minorHAnsi" w:cstheme="minorBidi"/>
          <w:b w:val="0"/>
          <w:sz w:val="22"/>
          <w:szCs w:val="22"/>
          <w:lang w:eastAsia="en-AU"/>
        </w:rPr>
      </w:pPr>
      <w:r w:rsidRPr="003160A5">
        <w:fldChar w:fldCharType="begin"/>
      </w:r>
      <w:r w:rsidR="00907971" w:rsidRPr="009F0928">
        <w:instrText xml:space="preserve"> TOC \n \p " " \t "Recommendation Style,1,Recommendation Style 2,2,Recommendation Style 3,3" </w:instrText>
      </w:r>
      <w:r w:rsidRPr="003160A5">
        <w:fldChar w:fldCharType="separate"/>
      </w:r>
      <w:r w:rsidR="00735822" w:rsidRPr="00372B11">
        <w:rPr>
          <w:rFonts w:cs="Times New Roman"/>
        </w:rPr>
        <w:t>Recommendation 1</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In future consultations government agencies should be made aware of and held accountable to their obligations set down in the Australian Government best practice of consultation handbook in a RIA process.</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2</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Stakeholders experience with agencies should be reported to final policy makers.</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3</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Material used by the NTC to be utilised for ministerial decisions should mandatorily be made public. Impacts must be assessed and reported in this material.</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4</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In regulatory review COAG principles of a seamless national economy should be adhered to.</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5</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Stakeholders should have adequate time to comment on papers for review. Consultation papers should not be realised in December with submissions due for early January.</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6</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Changes to key impacts of agency reports once released should be limited and be explained to stakeholders.</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7</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Political spin and manipulation of the facts by agencies should be kept to a minimum.</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8</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If government agencies wish to consult with stakeholders there should be an understanding that documents are provided transparently, fairly and with no malice to interest groups.</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9</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OBPR should be contacted as soon as options may require a RIS in order to have an adequate regulatory impact assessment done.</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10</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The OBPR cost calculator should be used in order to work out the costs of compliance.</w:t>
      </w:r>
    </w:p>
    <w:p w:rsidR="00735822" w:rsidRDefault="00735822">
      <w:pPr>
        <w:pStyle w:val="TOC1"/>
        <w:rPr>
          <w:rFonts w:asciiTheme="minorHAnsi" w:eastAsiaTheme="minorEastAsia" w:hAnsiTheme="minorHAnsi" w:cstheme="minorBidi"/>
          <w:b w:val="0"/>
          <w:sz w:val="22"/>
          <w:szCs w:val="22"/>
          <w:lang w:eastAsia="en-AU"/>
        </w:rPr>
      </w:pPr>
      <w:r w:rsidRPr="00372B11">
        <w:rPr>
          <w:rFonts w:cs="Times New Roman"/>
        </w:rPr>
        <w:t>Recommendation 11</w:t>
      </w:r>
    </w:p>
    <w:p w:rsidR="00735822" w:rsidRDefault="00735822">
      <w:pPr>
        <w:pStyle w:val="TOC1"/>
        <w:rPr>
          <w:rFonts w:asciiTheme="minorHAnsi" w:eastAsiaTheme="minorEastAsia" w:hAnsiTheme="minorHAnsi" w:cstheme="minorBidi"/>
          <w:b w:val="0"/>
          <w:sz w:val="22"/>
          <w:szCs w:val="22"/>
          <w:lang w:eastAsia="en-AU"/>
        </w:rPr>
      </w:pPr>
      <w:r>
        <w:t>A post implementation RIS should be commissioned urgently to review the effects of the changes to charges.</w:t>
      </w:r>
    </w:p>
    <w:p w:rsidR="00735822" w:rsidRDefault="00735822">
      <w:pPr>
        <w:pStyle w:val="TOC1"/>
        <w:rPr>
          <w:rFonts w:asciiTheme="minorHAnsi" w:eastAsiaTheme="minorEastAsia" w:hAnsiTheme="minorHAnsi" w:cstheme="minorBidi"/>
          <w:b w:val="0"/>
          <w:sz w:val="22"/>
          <w:szCs w:val="22"/>
          <w:lang w:eastAsia="en-AU"/>
        </w:rPr>
      </w:pPr>
      <w:r>
        <w:lastRenderedPageBreak/>
        <w:t>Recommendation 12</w:t>
      </w:r>
    </w:p>
    <w:p w:rsidR="00735822" w:rsidRDefault="00735822">
      <w:pPr>
        <w:pStyle w:val="TOC2"/>
        <w:rPr>
          <w:rFonts w:asciiTheme="minorHAnsi" w:eastAsiaTheme="minorEastAsia" w:hAnsiTheme="minorHAnsi" w:cstheme="minorBidi"/>
          <w:noProof/>
          <w:sz w:val="22"/>
          <w:lang w:eastAsia="en-AU"/>
        </w:rPr>
      </w:pPr>
      <w:r w:rsidRPr="00372B11">
        <w:rPr>
          <w:noProof/>
          <w:color w:val="000000" w:themeColor="text1"/>
        </w:rPr>
        <w:t>The Productivity Commission should recommend stronger RIS requirements with meaningful obligations on CEOs of agencies to meet these obligations. CEOs must be publically accountable for compliance with RIS obligations.</w:t>
      </w:r>
    </w:p>
    <w:p w:rsidR="004D58E8" w:rsidRPr="004D58E8" w:rsidRDefault="003160A5" w:rsidP="004D58E8">
      <w:pPr>
        <w:spacing w:line="269" w:lineRule="auto"/>
        <w:rPr>
          <w:rFonts w:ascii="Arial" w:hAnsi="Arial" w:cs="Arial"/>
          <w:sz w:val="20"/>
          <w:szCs w:val="20"/>
        </w:rPr>
      </w:pPr>
      <w:r w:rsidRPr="009F0928">
        <w:rPr>
          <w:rFonts w:ascii="Arial" w:hAnsi="Arial" w:cs="Arial"/>
          <w:b/>
          <w:noProof/>
          <w:color w:val="000000" w:themeColor="text1"/>
          <w:sz w:val="20"/>
          <w:szCs w:val="20"/>
        </w:rPr>
        <w:fldChar w:fldCharType="end"/>
      </w:r>
    </w:p>
    <w:p w:rsidR="007006BF" w:rsidRPr="004D58E8" w:rsidRDefault="007006BF" w:rsidP="004D58E8">
      <w:pPr>
        <w:spacing w:line="269" w:lineRule="auto"/>
        <w:rPr>
          <w:rFonts w:ascii="Arial" w:hAnsi="Arial" w:cs="Arial"/>
          <w:sz w:val="20"/>
          <w:szCs w:val="20"/>
        </w:rPr>
      </w:pPr>
    </w:p>
    <w:p w:rsidR="009D2B2E" w:rsidRPr="009F0928" w:rsidRDefault="00102C23" w:rsidP="00EB0B2D">
      <w:pPr>
        <w:pStyle w:val="Heading1"/>
      </w:pPr>
      <w:bookmarkStart w:id="3" w:name="_Toc326240354"/>
      <w:r w:rsidRPr="009F0928">
        <w:t>Effects of i</w:t>
      </w:r>
      <w:r w:rsidR="004C4260" w:rsidRPr="009F0928">
        <w:t xml:space="preserve">nadequate consultation process </w:t>
      </w:r>
      <w:r w:rsidR="00B61CF2" w:rsidRPr="009F0928">
        <w:t>and representation</w:t>
      </w:r>
      <w:bookmarkEnd w:id="3"/>
      <w:r w:rsidR="00B61CF2" w:rsidRPr="009F0928">
        <w:t xml:space="preserve"> </w:t>
      </w:r>
    </w:p>
    <w:p w:rsidR="00C02535" w:rsidRPr="004D58E8" w:rsidRDefault="00C02535" w:rsidP="004D58E8">
      <w:pPr>
        <w:spacing w:line="269" w:lineRule="auto"/>
        <w:rPr>
          <w:rFonts w:ascii="Arial" w:hAnsi="Arial" w:cs="Arial"/>
          <w:sz w:val="20"/>
          <w:szCs w:val="20"/>
        </w:rPr>
      </w:pPr>
      <w:bookmarkStart w:id="4" w:name="_Toc325467709"/>
      <w:bookmarkEnd w:id="4"/>
    </w:p>
    <w:p w:rsidR="00474277" w:rsidRPr="00474277" w:rsidRDefault="00474277" w:rsidP="00474277">
      <w:pPr>
        <w:spacing w:line="269" w:lineRule="auto"/>
        <w:ind w:firstLine="360"/>
        <w:rPr>
          <w:rFonts w:ascii="Arial" w:hAnsi="Arial" w:cs="Arial"/>
          <w:sz w:val="20"/>
          <w:szCs w:val="20"/>
        </w:rPr>
      </w:pPr>
      <w:r w:rsidRPr="00474277">
        <w:rPr>
          <w:rFonts w:ascii="Arial" w:hAnsi="Arial" w:cs="Arial"/>
          <w:sz w:val="20"/>
          <w:szCs w:val="20"/>
        </w:rPr>
        <w:t>‘The single biggest problem in communication is the illusions that it has taken place’</w:t>
      </w:r>
    </w:p>
    <w:p w:rsidR="00474277" w:rsidRPr="00474277" w:rsidRDefault="00474277" w:rsidP="004D58E8">
      <w:pPr>
        <w:numPr>
          <w:ilvl w:val="0"/>
          <w:numId w:val="8"/>
        </w:numPr>
        <w:spacing w:line="269" w:lineRule="auto"/>
        <w:rPr>
          <w:rFonts w:ascii="Arial" w:hAnsi="Arial" w:cs="Arial"/>
          <w:sz w:val="20"/>
          <w:szCs w:val="20"/>
        </w:rPr>
      </w:pPr>
      <w:r w:rsidRPr="00474277">
        <w:rPr>
          <w:rFonts w:ascii="Arial" w:hAnsi="Arial" w:cs="Arial"/>
          <w:sz w:val="20"/>
          <w:szCs w:val="20"/>
        </w:rPr>
        <w:t xml:space="preserve">George Bernard Shaw </w:t>
      </w:r>
    </w:p>
    <w:p w:rsidR="00474277" w:rsidRDefault="00474277" w:rsidP="004D58E8">
      <w:pPr>
        <w:spacing w:line="269" w:lineRule="auto"/>
        <w:rPr>
          <w:rFonts w:ascii="Arial" w:hAnsi="Arial" w:cs="Arial"/>
          <w:sz w:val="20"/>
          <w:szCs w:val="20"/>
        </w:rPr>
      </w:pPr>
    </w:p>
    <w:p w:rsidR="00AB6BBB" w:rsidRPr="004D58E8" w:rsidRDefault="00AB6BBB" w:rsidP="004D58E8">
      <w:pPr>
        <w:spacing w:line="269" w:lineRule="auto"/>
        <w:rPr>
          <w:rFonts w:ascii="Arial" w:hAnsi="Arial" w:cs="Arial"/>
          <w:sz w:val="20"/>
          <w:szCs w:val="20"/>
        </w:rPr>
      </w:pPr>
      <w:r w:rsidRPr="004D58E8">
        <w:rPr>
          <w:rFonts w:ascii="Arial" w:hAnsi="Arial" w:cs="Arial"/>
          <w:sz w:val="20"/>
          <w:szCs w:val="20"/>
        </w:rPr>
        <w:t>The process to consult the heavy vehicle industry was not seen as constructive or adequate. It was unreported to the final policy makers</w:t>
      </w:r>
      <w:r w:rsidR="009374CC">
        <w:rPr>
          <w:rFonts w:ascii="Arial" w:hAnsi="Arial" w:cs="Arial"/>
          <w:sz w:val="20"/>
          <w:szCs w:val="20"/>
        </w:rPr>
        <w:t>,</w:t>
      </w:r>
      <w:r w:rsidRPr="004D58E8">
        <w:rPr>
          <w:rFonts w:ascii="Arial" w:hAnsi="Arial" w:cs="Arial"/>
          <w:sz w:val="20"/>
          <w:szCs w:val="20"/>
        </w:rPr>
        <w:t xml:space="preserve"> SCOTI </w:t>
      </w:r>
      <w:r w:rsidR="009374CC">
        <w:rPr>
          <w:rFonts w:ascii="Arial" w:hAnsi="Arial" w:cs="Arial"/>
          <w:sz w:val="20"/>
          <w:szCs w:val="20"/>
        </w:rPr>
        <w:t>m</w:t>
      </w:r>
      <w:r w:rsidRPr="004D58E8">
        <w:rPr>
          <w:rFonts w:ascii="Arial" w:hAnsi="Arial" w:cs="Arial"/>
          <w:sz w:val="20"/>
          <w:szCs w:val="20"/>
        </w:rPr>
        <w:t>inisters</w:t>
      </w:r>
      <w:r w:rsidR="009374CC">
        <w:rPr>
          <w:rFonts w:ascii="Arial" w:hAnsi="Arial" w:cs="Arial"/>
          <w:sz w:val="20"/>
          <w:szCs w:val="20"/>
        </w:rPr>
        <w:t>,</w:t>
      </w:r>
      <w:r w:rsidRPr="004D58E8">
        <w:rPr>
          <w:rFonts w:ascii="Arial" w:hAnsi="Arial" w:cs="Arial"/>
          <w:sz w:val="20"/>
          <w:szCs w:val="20"/>
        </w:rPr>
        <w:t xml:space="preserve"> that industry had a very low level of </w:t>
      </w:r>
      <w:proofErr w:type="gramStart"/>
      <w:r w:rsidRPr="004D58E8">
        <w:rPr>
          <w:rFonts w:ascii="Arial" w:hAnsi="Arial" w:cs="Arial"/>
          <w:sz w:val="20"/>
          <w:szCs w:val="20"/>
        </w:rPr>
        <w:t xml:space="preserve">satisfaction </w:t>
      </w:r>
      <w:r w:rsidR="00DE605B">
        <w:rPr>
          <w:rFonts w:ascii="Arial" w:hAnsi="Arial" w:cs="Arial"/>
          <w:sz w:val="20"/>
          <w:szCs w:val="20"/>
        </w:rPr>
        <w:t xml:space="preserve"> of</w:t>
      </w:r>
      <w:proofErr w:type="gramEnd"/>
      <w:r w:rsidR="00DE605B">
        <w:rPr>
          <w:rFonts w:ascii="Arial" w:hAnsi="Arial" w:cs="Arial"/>
          <w:sz w:val="20"/>
          <w:szCs w:val="20"/>
        </w:rPr>
        <w:t xml:space="preserve"> </w:t>
      </w:r>
      <w:r w:rsidRPr="004D58E8">
        <w:rPr>
          <w:rFonts w:ascii="Arial" w:hAnsi="Arial" w:cs="Arial"/>
          <w:sz w:val="20"/>
          <w:szCs w:val="20"/>
        </w:rPr>
        <w:t xml:space="preserve">the consultation. Despite the ATA and industry being heavily involved, our concerns and views were ignored or misreported and errors we identified in foundation inputs not corrected. </w:t>
      </w:r>
    </w:p>
    <w:p w:rsidR="00922F71" w:rsidRPr="004D58E8" w:rsidRDefault="00922F71" w:rsidP="004D58E8">
      <w:pPr>
        <w:spacing w:line="269" w:lineRule="auto"/>
        <w:rPr>
          <w:rFonts w:ascii="Arial" w:hAnsi="Arial" w:cs="Arial"/>
          <w:sz w:val="20"/>
          <w:szCs w:val="20"/>
        </w:rPr>
      </w:pPr>
    </w:p>
    <w:p w:rsidR="001872CD" w:rsidRPr="004D58E8" w:rsidRDefault="00922F71" w:rsidP="004D58E8">
      <w:pPr>
        <w:spacing w:line="269" w:lineRule="auto"/>
        <w:rPr>
          <w:rFonts w:ascii="Arial" w:hAnsi="Arial" w:cs="Arial"/>
          <w:sz w:val="20"/>
          <w:szCs w:val="20"/>
        </w:rPr>
      </w:pPr>
      <w:r w:rsidRPr="004D58E8">
        <w:rPr>
          <w:rFonts w:ascii="Arial" w:hAnsi="Arial" w:cs="Arial"/>
          <w:sz w:val="20"/>
          <w:szCs w:val="20"/>
        </w:rPr>
        <w:t xml:space="preserve">In the final report to SCOTI, </w:t>
      </w:r>
      <w:r w:rsidR="0072458A" w:rsidRPr="004D58E8">
        <w:rPr>
          <w:rFonts w:ascii="Arial" w:hAnsi="Arial" w:cs="Arial"/>
          <w:sz w:val="20"/>
          <w:szCs w:val="20"/>
        </w:rPr>
        <w:t xml:space="preserve">a methodology </w:t>
      </w:r>
      <w:r w:rsidR="00B53B17" w:rsidRPr="004D58E8">
        <w:rPr>
          <w:rFonts w:ascii="Arial" w:hAnsi="Arial" w:cs="Arial"/>
          <w:sz w:val="20"/>
          <w:szCs w:val="20"/>
        </w:rPr>
        <w:t xml:space="preserve">suggestion </w:t>
      </w:r>
      <w:r w:rsidR="0072458A" w:rsidRPr="004D58E8">
        <w:rPr>
          <w:rFonts w:ascii="Arial" w:hAnsi="Arial" w:cs="Arial"/>
          <w:sz w:val="20"/>
          <w:szCs w:val="20"/>
        </w:rPr>
        <w:t xml:space="preserve">the ATA had provided with some rough </w:t>
      </w:r>
      <w:r w:rsidR="00861EFE" w:rsidRPr="004D58E8">
        <w:rPr>
          <w:rFonts w:ascii="Arial" w:hAnsi="Arial" w:cs="Arial"/>
          <w:sz w:val="20"/>
          <w:szCs w:val="20"/>
        </w:rPr>
        <w:t xml:space="preserve">input </w:t>
      </w:r>
      <w:r w:rsidR="0072458A" w:rsidRPr="004D58E8">
        <w:rPr>
          <w:rFonts w:ascii="Arial" w:hAnsi="Arial" w:cs="Arial"/>
          <w:sz w:val="20"/>
          <w:szCs w:val="20"/>
        </w:rPr>
        <w:t xml:space="preserve">figures </w:t>
      </w:r>
      <w:r w:rsidR="00861EFE" w:rsidRPr="004D58E8">
        <w:rPr>
          <w:rFonts w:ascii="Arial" w:hAnsi="Arial" w:cs="Arial"/>
          <w:sz w:val="20"/>
          <w:szCs w:val="20"/>
        </w:rPr>
        <w:t>to demonstrate how the method might function</w:t>
      </w:r>
      <w:r w:rsidR="00DE605B">
        <w:rPr>
          <w:rFonts w:ascii="Arial" w:hAnsi="Arial" w:cs="Arial"/>
          <w:sz w:val="20"/>
          <w:szCs w:val="20"/>
        </w:rPr>
        <w:t>, a</w:t>
      </w:r>
      <w:r w:rsidR="00913B48" w:rsidRPr="004D58E8">
        <w:rPr>
          <w:rFonts w:ascii="Arial" w:hAnsi="Arial" w:cs="Arial"/>
          <w:sz w:val="20"/>
          <w:szCs w:val="20"/>
        </w:rPr>
        <w:t>long with a request to work together to determine a real result for such a methodology</w:t>
      </w:r>
      <w:r w:rsidR="009374CC">
        <w:rPr>
          <w:rFonts w:ascii="Arial" w:hAnsi="Arial" w:cs="Arial"/>
          <w:sz w:val="20"/>
          <w:szCs w:val="20"/>
        </w:rPr>
        <w:t>,</w:t>
      </w:r>
      <w:r w:rsidR="00913B48" w:rsidRPr="004D58E8">
        <w:rPr>
          <w:rFonts w:ascii="Arial" w:hAnsi="Arial" w:cs="Arial"/>
          <w:sz w:val="20"/>
          <w:szCs w:val="20"/>
        </w:rPr>
        <w:t xml:space="preserve"> </w:t>
      </w:r>
      <w:r w:rsidR="0072458A" w:rsidRPr="004D58E8">
        <w:rPr>
          <w:rFonts w:ascii="Arial" w:hAnsi="Arial" w:cs="Arial"/>
          <w:sz w:val="20"/>
          <w:szCs w:val="20"/>
        </w:rPr>
        <w:t>was</w:t>
      </w:r>
      <w:r w:rsidRPr="004D58E8">
        <w:rPr>
          <w:rFonts w:ascii="Arial" w:hAnsi="Arial" w:cs="Arial"/>
          <w:sz w:val="20"/>
          <w:szCs w:val="20"/>
        </w:rPr>
        <w:t xml:space="preserve"> presented </w:t>
      </w:r>
      <w:r w:rsidR="009374CC">
        <w:rPr>
          <w:rFonts w:ascii="Arial" w:hAnsi="Arial" w:cs="Arial"/>
          <w:sz w:val="20"/>
          <w:szCs w:val="20"/>
        </w:rPr>
        <w:t xml:space="preserve">by the NTC </w:t>
      </w:r>
      <w:r w:rsidR="0072458A" w:rsidRPr="004D58E8">
        <w:rPr>
          <w:rFonts w:ascii="Arial" w:hAnsi="Arial" w:cs="Arial"/>
          <w:sz w:val="20"/>
          <w:szCs w:val="20"/>
        </w:rPr>
        <w:t xml:space="preserve">as a </w:t>
      </w:r>
      <w:r w:rsidR="00861EFE" w:rsidRPr="004D58E8">
        <w:rPr>
          <w:rFonts w:ascii="Arial" w:hAnsi="Arial" w:cs="Arial"/>
          <w:sz w:val="20"/>
          <w:szCs w:val="20"/>
        </w:rPr>
        <w:t>“</w:t>
      </w:r>
      <w:r w:rsidR="0072458A" w:rsidRPr="004D58E8">
        <w:rPr>
          <w:rFonts w:ascii="Arial" w:hAnsi="Arial" w:cs="Arial"/>
          <w:sz w:val="20"/>
          <w:szCs w:val="20"/>
        </w:rPr>
        <w:t xml:space="preserve">true </w:t>
      </w:r>
      <w:r w:rsidR="00913B48" w:rsidRPr="004D58E8">
        <w:rPr>
          <w:rFonts w:ascii="Arial" w:hAnsi="Arial" w:cs="Arial"/>
          <w:sz w:val="20"/>
          <w:szCs w:val="20"/>
        </w:rPr>
        <w:t xml:space="preserve">industry </w:t>
      </w:r>
      <w:r w:rsidR="0072458A" w:rsidRPr="004D58E8">
        <w:rPr>
          <w:rFonts w:ascii="Arial" w:hAnsi="Arial" w:cs="Arial"/>
          <w:sz w:val="20"/>
          <w:szCs w:val="20"/>
        </w:rPr>
        <w:t>representation</w:t>
      </w:r>
      <w:r w:rsidR="00861EFE" w:rsidRPr="004D58E8">
        <w:rPr>
          <w:rFonts w:ascii="Arial" w:hAnsi="Arial" w:cs="Arial"/>
          <w:sz w:val="20"/>
          <w:szCs w:val="20"/>
        </w:rPr>
        <w:t>"</w:t>
      </w:r>
      <w:r w:rsidR="0072458A" w:rsidRPr="004D58E8">
        <w:rPr>
          <w:rFonts w:ascii="Arial" w:hAnsi="Arial" w:cs="Arial"/>
          <w:sz w:val="20"/>
          <w:szCs w:val="20"/>
        </w:rPr>
        <w:t xml:space="preserve"> of the effects of the </w:t>
      </w:r>
      <w:r w:rsidR="00913B48" w:rsidRPr="004D58E8">
        <w:rPr>
          <w:rFonts w:ascii="Arial" w:hAnsi="Arial" w:cs="Arial"/>
          <w:sz w:val="20"/>
          <w:szCs w:val="20"/>
        </w:rPr>
        <w:t xml:space="preserve">methodology to adjust </w:t>
      </w:r>
      <w:r w:rsidR="0072458A" w:rsidRPr="004D58E8">
        <w:rPr>
          <w:rFonts w:ascii="Arial" w:hAnsi="Arial" w:cs="Arial"/>
          <w:sz w:val="20"/>
          <w:szCs w:val="20"/>
        </w:rPr>
        <w:t xml:space="preserve">charges. It was disingenuous to </w:t>
      </w:r>
      <w:r w:rsidR="00913B48" w:rsidRPr="004D58E8">
        <w:rPr>
          <w:rFonts w:ascii="Arial" w:hAnsi="Arial" w:cs="Arial"/>
          <w:sz w:val="20"/>
          <w:szCs w:val="20"/>
        </w:rPr>
        <w:t xml:space="preserve">formally represent </w:t>
      </w:r>
      <w:r w:rsidR="0072458A" w:rsidRPr="004D58E8">
        <w:rPr>
          <w:rFonts w:ascii="Arial" w:hAnsi="Arial" w:cs="Arial"/>
          <w:sz w:val="20"/>
          <w:szCs w:val="20"/>
        </w:rPr>
        <w:t>this rough explanation of how the methodology was to be used</w:t>
      </w:r>
      <w:r w:rsidR="00913B48" w:rsidRPr="004D58E8">
        <w:rPr>
          <w:rFonts w:ascii="Arial" w:hAnsi="Arial" w:cs="Arial"/>
          <w:sz w:val="20"/>
          <w:szCs w:val="20"/>
        </w:rPr>
        <w:t xml:space="preserve"> as a flawed industry calculation</w:t>
      </w:r>
      <w:r w:rsidR="0072458A" w:rsidRPr="004D58E8">
        <w:rPr>
          <w:rFonts w:ascii="Arial" w:hAnsi="Arial" w:cs="Arial"/>
          <w:sz w:val="20"/>
          <w:szCs w:val="20"/>
        </w:rPr>
        <w:t xml:space="preserve">. </w:t>
      </w:r>
    </w:p>
    <w:p w:rsidR="0072458A" w:rsidRPr="004D58E8" w:rsidRDefault="0072458A" w:rsidP="004D58E8">
      <w:pPr>
        <w:spacing w:line="269" w:lineRule="auto"/>
        <w:rPr>
          <w:rFonts w:ascii="Arial" w:hAnsi="Arial" w:cs="Arial"/>
          <w:sz w:val="20"/>
          <w:szCs w:val="20"/>
        </w:rPr>
      </w:pPr>
    </w:p>
    <w:p w:rsidR="005B35D2" w:rsidRPr="004D58E8" w:rsidRDefault="00173B40" w:rsidP="004D58E8">
      <w:pPr>
        <w:spacing w:line="269" w:lineRule="auto"/>
        <w:rPr>
          <w:rFonts w:ascii="Arial" w:hAnsi="Arial" w:cs="Arial"/>
          <w:sz w:val="20"/>
          <w:szCs w:val="20"/>
        </w:rPr>
      </w:pPr>
      <w:r w:rsidRPr="004D58E8">
        <w:rPr>
          <w:rFonts w:ascii="Arial" w:hAnsi="Arial" w:cs="Arial"/>
          <w:sz w:val="20"/>
          <w:szCs w:val="20"/>
        </w:rPr>
        <w:t>In the Productivity Commission</w:t>
      </w:r>
      <w:r w:rsidR="0072458A" w:rsidRPr="004D58E8">
        <w:rPr>
          <w:rFonts w:ascii="Arial" w:hAnsi="Arial" w:cs="Arial"/>
          <w:sz w:val="20"/>
          <w:szCs w:val="20"/>
        </w:rPr>
        <w:t xml:space="preserve"> paper it is made clear that there is best practice in </w:t>
      </w:r>
      <w:r w:rsidR="00E62B03" w:rsidRPr="004D58E8">
        <w:rPr>
          <w:rFonts w:ascii="Arial" w:hAnsi="Arial" w:cs="Arial"/>
          <w:sz w:val="20"/>
          <w:szCs w:val="20"/>
        </w:rPr>
        <w:t xml:space="preserve">a </w:t>
      </w:r>
      <w:r w:rsidR="0072458A" w:rsidRPr="004D58E8">
        <w:rPr>
          <w:rFonts w:ascii="Arial" w:hAnsi="Arial" w:cs="Arial"/>
          <w:sz w:val="20"/>
          <w:szCs w:val="20"/>
        </w:rPr>
        <w:t xml:space="preserve">RIA process, including </w:t>
      </w:r>
      <w:r w:rsidR="00223B60" w:rsidRPr="004D58E8">
        <w:rPr>
          <w:rFonts w:ascii="Arial" w:hAnsi="Arial" w:cs="Arial"/>
          <w:sz w:val="20"/>
          <w:szCs w:val="20"/>
        </w:rPr>
        <w:t>providing</w:t>
      </w:r>
      <w:r w:rsidR="0072458A" w:rsidRPr="004D58E8">
        <w:rPr>
          <w:rFonts w:ascii="Arial" w:hAnsi="Arial" w:cs="Arial"/>
          <w:sz w:val="20"/>
          <w:szCs w:val="20"/>
        </w:rPr>
        <w:t xml:space="preserve"> </w:t>
      </w:r>
      <w:r w:rsidR="00223B60" w:rsidRPr="004D58E8">
        <w:rPr>
          <w:rFonts w:ascii="Arial" w:hAnsi="Arial" w:cs="Arial"/>
          <w:sz w:val="20"/>
          <w:szCs w:val="20"/>
        </w:rPr>
        <w:t xml:space="preserve">information, publicly, transparently, along with regulatory proposals, in a suitable </w:t>
      </w:r>
      <w:r w:rsidR="009374CC">
        <w:rPr>
          <w:rFonts w:ascii="Arial" w:hAnsi="Arial" w:cs="Arial"/>
          <w:sz w:val="20"/>
          <w:szCs w:val="20"/>
        </w:rPr>
        <w:t>form</w:t>
      </w:r>
      <w:r w:rsidR="009374CC" w:rsidRPr="004D58E8">
        <w:rPr>
          <w:rFonts w:ascii="Arial" w:hAnsi="Arial" w:cs="Arial"/>
          <w:sz w:val="20"/>
          <w:szCs w:val="20"/>
        </w:rPr>
        <w:t xml:space="preserve"> </w:t>
      </w:r>
      <w:r w:rsidR="00223B60" w:rsidRPr="004D58E8">
        <w:rPr>
          <w:rFonts w:ascii="Arial" w:hAnsi="Arial" w:cs="Arial"/>
          <w:sz w:val="20"/>
          <w:szCs w:val="20"/>
        </w:rPr>
        <w:t xml:space="preserve">and within adequate time to </w:t>
      </w:r>
      <w:r w:rsidR="00913B48" w:rsidRPr="004D58E8">
        <w:rPr>
          <w:rFonts w:ascii="Arial" w:hAnsi="Arial" w:cs="Arial"/>
          <w:sz w:val="20"/>
          <w:szCs w:val="20"/>
        </w:rPr>
        <w:t xml:space="preserve">allow stakeholder input and assessment of impacts to inform and </w:t>
      </w:r>
      <w:r w:rsidR="00223B60" w:rsidRPr="004D58E8">
        <w:rPr>
          <w:rFonts w:ascii="Arial" w:hAnsi="Arial" w:cs="Arial"/>
          <w:sz w:val="20"/>
          <w:szCs w:val="20"/>
        </w:rPr>
        <w:t>assist decision making. This was not accomplished in th</w:t>
      </w:r>
      <w:r w:rsidR="00913B48" w:rsidRPr="004D58E8">
        <w:rPr>
          <w:rFonts w:ascii="Arial" w:hAnsi="Arial" w:cs="Arial"/>
          <w:sz w:val="20"/>
          <w:szCs w:val="20"/>
        </w:rPr>
        <w:t>e NTC</w:t>
      </w:r>
      <w:r w:rsidR="00223B60" w:rsidRPr="004D58E8">
        <w:rPr>
          <w:rFonts w:ascii="Arial" w:hAnsi="Arial" w:cs="Arial"/>
          <w:sz w:val="20"/>
          <w:szCs w:val="20"/>
        </w:rPr>
        <w:t xml:space="preserve"> review</w:t>
      </w:r>
      <w:r w:rsidR="00913B48" w:rsidRPr="004D58E8">
        <w:rPr>
          <w:rFonts w:ascii="Arial" w:hAnsi="Arial" w:cs="Arial"/>
          <w:sz w:val="20"/>
          <w:szCs w:val="20"/>
        </w:rPr>
        <w:t xml:space="preserve"> of A-trailer charges</w:t>
      </w:r>
      <w:r w:rsidR="00223B60" w:rsidRPr="004D58E8">
        <w:rPr>
          <w:rFonts w:ascii="Arial" w:hAnsi="Arial" w:cs="Arial"/>
          <w:sz w:val="20"/>
          <w:szCs w:val="20"/>
        </w:rPr>
        <w:t xml:space="preserve">. </w:t>
      </w:r>
    </w:p>
    <w:p w:rsidR="005B35D2" w:rsidRPr="00655FA1" w:rsidRDefault="005B35D2" w:rsidP="00EB0B2D">
      <w:pPr>
        <w:pStyle w:val="RecommendationStyle"/>
        <w:tabs>
          <w:tab w:val="clear" w:pos="57"/>
        </w:tabs>
        <w:rPr>
          <w:sz w:val="22"/>
        </w:rPr>
      </w:pPr>
      <w:bookmarkStart w:id="5" w:name="_Toc326135031"/>
      <w:bookmarkStart w:id="6" w:name="_Toc326136525"/>
      <w:bookmarkStart w:id="7" w:name="_Toc326136995"/>
      <w:bookmarkStart w:id="8" w:name="_Toc326156171"/>
      <w:bookmarkStart w:id="9" w:name="_Toc326157468"/>
      <w:bookmarkStart w:id="10" w:name="_Toc326219468"/>
      <w:bookmarkStart w:id="11" w:name="_Toc326243408"/>
      <w:bookmarkEnd w:id="5"/>
      <w:bookmarkEnd w:id="6"/>
      <w:bookmarkEnd w:id="7"/>
      <w:bookmarkEnd w:id="8"/>
      <w:bookmarkEnd w:id="9"/>
      <w:bookmarkEnd w:id="10"/>
      <w:bookmarkEnd w:id="11"/>
    </w:p>
    <w:p w:rsidR="005B35D2" w:rsidRPr="006B26B3" w:rsidRDefault="005B35D2" w:rsidP="006B26B3">
      <w:pPr>
        <w:pStyle w:val="RecommendationStyle2"/>
        <w:spacing w:line="269" w:lineRule="auto"/>
        <w:jc w:val="left"/>
        <w:rPr>
          <w:color w:val="000000" w:themeColor="text1"/>
        </w:rPr>
      </w:pPr>
      <w:bookmarkStart w:id="12" w:name="_Toc325467710"/>
      <w:bookmarkStart w:id="13" w:name="_Toc325530351"/>
      <w:bookmarkStart w:id="14" w:name="_Toc325532638"/>
      <w:bookmarkStart w:id="15" w:name="_Toc325984597"/>
      <w:bookmarkStart w:id="16" w:name="_Toc326135032"/>
      <w:bookmarkStart w:id="17" w:name="_Toc326136526"/>
      <w:bookmarkStart w:id="18" w:name="_Toc326136996"/>
      <w:bookmarkStart w:id="19" w:name="_Toc326156172"/>
      <w:bookmarkStart w:id="20" w:name="_Toc326157469"/>
      <w:bookmarkStart w:id="21" w:name="_Toc326219469"/>
      <w:bookmarkStart w:id="22" w:name="_Toc326243409"/>
      <w:r w:rsidRPr="006B26B3">
        <w:rPr>
          <w:color w:val="000000" w:themeColor="text1"/>
        </w:rPr>
        <w:t>In future consultations government agencies should be made aware of and held accountable to their obligations set down in the Australian Government best practice of consultation handbook in a RIA process.</w:t>
      </w:r>
      <w:bookmarkEnd w:id="12"/>
      <w:bookmarkEnd w:id="13"/>
      <w:bookmarkEnd w:id="14"/>
      <w:bookmarkEnd w:id="15"/>
      <w:bookmarkEnd w:id="16"/>
      <w:bookmarkEnd w:id="17"/>
      <w:bookmarkEnd w:id="18"/>
      <w:bookmarkEnd w:id="19"/>
      <w:bookmarkEnd w:id="20"/>
      <w:bookmarkEnd w:id="21"/>
      <w:bookmarkEnd w:id="22"/>
    </w:p>
    <w:p w:rsidR="005B35D2" w:rsidRPr="004D58E8" w:rsidRDefault="005B35D2" w:rsidP="004D58E8">
      <w:pPr>
        <w:spacing w:line="269" w:lineRule="auto"/>
        <w:rPr>
          <w:rFonts w:ascii="Arial" w:hAnsi="Arial" w:cs="Arial"/>
          <w:sz w:val="20"/>
          <w:szCs w:val="20"/>
        </w:rPr>
      </w:pPr>
    </w:p>
    <w:p w:rsidR="00DF6C5D" w:rsidRPr="00DF6C5D" w:rsidRDefault="00DF6C5D" w:rsidP="00EB0B2D">
      <w:pPr>
        <w:pStyle w:val="ATAHeading2"/>
        <w:numPr>
          <w:ilvl w:val="0"/>
          <w:numId w:val="3"/>
        </w:numPr>
      </w:pPr>
      <w:bookmarkStart w:id="23" w:name="_Toc325530350"/>
      <w:bookmarkStart w:id="24" w:name="_Toc325532637"/>
      <w:bookmarkStart w:id="25" w:name="_Toc325984596"/>
      <w:bookmarkStart w:id="26" w:name="_Toc326240355"/>
      <w:bookmarkEnd w:id="23"/>
      <w:bookmarkEnd w:id="24"/>
      <w:bookmarkEnd w:id="25"/>
      <w:r w:rsidRPr="00DF6C5D">
        <w:t>High level of industry engagement, low satisfaction</w:t>
      </w:r>
      <w:bookmarkEnd w:id="26"/>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Industry engaged with the NTC since the beginning of the process in March 2011. The ATA</w:t>
      </w:r>
      <w:r w:rsidR="009374CC">
        <w:rPr>
          <w:rFonts w:ascii="Arial" w:hAnsi="Arial" w:cs="Arial"/>
          <w:sz w:val="20"/>
          <w:szCs w:val="20"/>
        </w:rPr>
        <w:t>,</w:t>
      </w:r>
      <w:r w:rsidRPr="004D58E8">
        <w:rPr>
          <w:rFonts w:ascii="Arial" w:hAnsi="Arial" w:cs="Arial"/>
          <w:sz w:val="20"/>
          <w:szCs w:val="20"/>
        </w:rPr>
        <w:t xml:space="preserve"> in particular, has provided a high level of analysis of inputs into the model</w:t>
      </w:r>
      <w:r w:rsidR="009374CC">
        <w:rPr>
          <w:rFonts w:ascii="Arial" w:hAnsi="Arial" w:cs="Arial"/>
          <w:sz w:val="20"/>
          <w:szCs w:val="20"/>
        </w:rPr>
        <w:t xml:space="preserve"> used to determine the charges</w:t>
      </w:r>
      <w:r w:rsidRPr="004D58E8">
        <w:rPr>
          <w:rFonts w:ascii="Arial" w:hAnsi="Arial" w:cs="Arial"/>
          <w:sz w:val="20"/>
          <w:szCs w:val="20"/>
        </w:rPr>
        <w:t xml:space="preserve">, while member associations have provided industry representation at meetings, forums and with </w:t>
      </w:r>
      <w:r w:rsidR="009374CC">
        <w:rPr>
          <w:rFonts w:ascii="Arial" w:hAnsi="Arial" w:cs="Arial"/>
          <w:sz w:val="20"/>
          <w:szCs w:val="20"/>
        </w:rPr>
        <w:t>m</w:t>
      </w:r>
      <w:r w:rsidRPr="004D58E8">
        <w:rPr>
          <w:rFonts w:ascii="Arial" w:hAnsi="Arial" w:cs="Arial"/>
          <w:sz w:val="20"/>
          <w:szCs w:val="20"/>
        </w:rPr>
        <w:t xml:space="preserve">inisters.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In 2007 during the last determination industry made it clear what the effect of increasing the price of A-trailers at such an accelerated rate would have on industry. The NTC have known about the issue since th</w:t>
      </w:r>
      <w:r w:rsidR="009374CC">
        <w:rPr>
          <w:rFonts w:ascii="Arial" w:hAnsi="Arial" w:cs="Arial"/>
          <w:sz w:val="20"/>
          <w:szCs w:val="20"/>
        </w:rPr>
        <w:t>is</w:t>
      </w:r>
      <w:r w:rsidRPr="004D58E8">
        <w:rPr>
          <w:rFonts w:ascii="Arial" w:hAnsi="Arial" w:cs="Arial"/>
          <w:sz w:val="20"/>
          <w:szCs w:val="20"/>
        </w:rPr>
        <w:t xml:space="preserve"> last determination.  </w:t>
      </w:r>
    </w:p>
    <w:p w:rsidR="0070157F" w:rsidRPr="004D58E8" w:rsidRDefault="0070157F" w:rsidP="0070157F">
      <w:pPr>
        <w:spacing w:line="269" w:lineRule="auto"/>
        <w:rPr>
          <w:rFonts w:ascii="Arial" w:hAnsi="Arial" w:cs="Arial"/>
          <w:sz w:val="20"/>
          <w:szCs w:val="20"/>
        </w:rPr>
      </w:pPr>
    </w:p>
    <w:p w:rsidR="0070157F" w:rsidRPr="004D58E8" w:rsidRDefault="0070157F" w:rsidP="0070157F">
      <w:pPr>
        <w:spacing w:line="269" w:lineRule="auto"/>
        <w:rPr>
          <w:rFonts w:ascii="Arial" w:hAnsi="Arial" w:cs="Arial"/>
          <w:sz w:val="20"/>
          <w:szCs w:val="20"/>
        </w:rPr>
      </w:pPr>
      <w:r w:rsidRPr="004D58E8">
        <w:rPr>
          <w:rFonts w:ascii="Arial" w:hAnsi="Arial" w:cs="Arial"/>
          <w:sz w:val="20"/>
          <w:szCs w:val="20"/>
        </w:rPr>
        <w:t>When public forums with the NTC were held</w:t>
      </w:r>
      <w:r>
        <w:rPr>
          <w:rFonts w:ascii="Arial" w:hAnsi="Arial" w:cs="Arial"/>
          <w:sz w:val="20"/>
          <w:szCs w:val="20"/>
        </w:rPr>
        <w:t>,</w:t>
      </w:r>
      <w:r w:rsidRPr="004D58E8">
        <w:rPr>
          <w:rFonts w:ascii="Arial" w:hAnsi="Arial" w:cs="Arial"/>
          <w:sz w:val="20"/>
          <w:szCs w:val="20"/>
        </w:rPr>
        <w:t xml:space="preserve"> </w:t>
      </w:r>
      <w:r>
        <w:rPr>
          <w:rFonts w:ascii="Arial" w:hAnsi="Arial" w:cs="Arial"/>
          <w:sz w:val="20"/>
          <w:szCs w:val="20"/>
        </w:rPr>
        <w:t>advance notices</w:t>
      </w:r>
      <w:r w:rsidR="00F425F2">
        <w:rPr>
          <w:rFonts w:ascii="Arial" w:hAnsi="Arial" w:cs="Arial"/>
          <w:sz w:val="20"/>
          <w:szCs w:val="20"/>
        </w:rPr>
        <w:t xml:space="preserve"> were</w:t>
      </w:r>
      <w:r w:rsidRPr="004D58E8">
        <w:rPr>
          <w:rFonts w:ascii="Arial" w:hAnsi="Arial" w:cs="Arial"/>
          <w:sz w:val="20"/>
          <w:szCs w:val="20"/>
        </w:rPr>
        <w:t xml:space="preserve"> not publicised beyond the state associations, the </w:t>
      </w:r>
      <w:r>
        <w:rPr>
          <w:rFonts w:ascii="Arial" w:hAnsi="Arial" w:cs="Arial"/>
          <w:sz w:val="20"/>
          <w:szCs w:val="20"/>
        </w:rPr>
        <w:t xml:space="preserve">forums </w:t>
      </w:r>
      <w:r w:rsidRPr="004D58E8">
        <w:rPr>
          <w:rFonts w:ascii="Arial" w:hAnsi="Arial" w:cs="Arial"/>
          <w:sz w:val="20"/>
          <w:szCs w:val="20"/>
        </w:rPr>
        <w:t>were</w:t>
      </w:r>
      <w:r>
        <w:rPr>
          <w:rFonts w:ascii="Arial" w:hAnsi="Arial" w:cs="Arial"/>
          <w:sz w:val="20"/>
          <w:szCs w:val="20"/>
        </w:rPr>
        <w:t xml:space="preserve"> by</w:t>
      </w:r>
      <w:r w:rsidRPr="004D58E8">
        <w:rPr>
          <w:rFonts w:ascii="Arial" w:hAnsi="Arial" w:cs="Arial"/>
          <w:sz w:val="20"/>
          <w:szCs w:val="20"/>
        </w:rPr>
        <w:t xml:space="preserve"> invit</w:t>
      </w:r>
      <w:r>
        <w:rPr>
          <w:rFonts w:ascii="Arial" w:hAnsi="Arial" w:cs="Arial"/>
          <w:sz w:val="20"/>
          <w:szCs w:val="20"/>
        </w:rPr>
        <w:t>ation</w:t>
      </w:r>
      <w:r w:rsidRPr="004D58E8">
        <w:rPr>
          <w:rFonts w:ascii="Arial" w:hAnsi="Arial" w:cs="Arial"/>
          <w:sz w:val="20"/>
          <w:szCs w:val="20"/>
        </w:rPr>
        <w:t xml:space="preserve"> only. The addition of rail interest groups</w:t>
      </w:r>
      <w:r>
        <w:rPr>
          <w:rFonts w:ascii="Arial" w:hAnsi="Arial" w:cs="Arial"/>
          <w:sz w:val="20"/>
          <w:szCs w:val="20"/>
        </w:rPr>
        <w:t xml:space="preserve"> at the forums (at the </w:t>
      </w:r>
      <w:r w:rsidRPr="004D58E8">
        <w:rPr>
          <w:rFonts w:ascii="Arial" w:hAnsi="Arial" w:cs="Arial"/>
          <w:sz w:val="20"/>
          <w:szCs w:val="20"/>
        </w:rPr>
        <w:t>invit</w:t>
      </w:r>
      <w:r>
        <w:rPr>
          <w:rFonts w:ascii="Arial" w:hAnsi="Arial" w:cs="Arial"/>
          <w:sz w:val="20"/>
          <w:szCs w:val="20"/>
        </w:rPr>
        <w:t>ation</w:t>
      </w:r>
      <w:r w:rsidRPr="004D58E8">
        <w:rPr>
          <w:rFonts w:ascii="Arial" w:hAnsi="Arial" w:cs="Arial"/>
          <w:sz w:val="20"/>
          <w:szCs w:val="20"/>
        </w:rPr>
        <w:t xml:space="preserve"> </w:t>
      </w:r>
      <w:r>
        <w:rPr>
          <w:rFonts w:ascii="Arial" w:hAnsi="Arial" w:cs="Arial"/>
          <w:sz w:val="20"/>
          <w:szCs w:val="20"/>
        </w:rPr>
        <w:t xml:space="preserve">of the NTC) </w:t>
      </w:r>
      <w:r w:rsidRPr="004D58E8">
        <w:rPr>
          <w:rFonts w:ascii="Arial" w:hAnsi="Arial" w:cs="Arial"/>
          <w:sz w:val="20"/>
          <w:szCs w:val="20"/>
        </w:rPr>
        <w:t xml:space="preserve">to </w:t>
      </w:r>
      <w:r>
        <w:rPr>
          <w:rFonts w:ascii="Arial" w:hAnsi="Arial" w:cs="Arial"/>
          <w:sz w:val="20"/>
          <w:szCs w:val="20"/>
        </w:rPr>
        <w:t xml:space="preserve">discuss </w:t>
      </w:r>
      <w:r w:rsidRPr="004D58E8">
        <w:rPr>
          <w:rFonts w:ascii="Arial" w:hAnsi="Arial" w:cs="Arial"/>
          <w:sz w:val="20"/>
          <w:szCs w:val="20"/>
        </w:rPr>
        <w:t xml:space="preserve">a solely road freight issue was not targeting the audience which were affected by the issue. Many </w:t>
      </w:r>
      <w:r>
        <w:rPr>
          <w:rFonts w:ascii="Arial" w:hAnsi="Arial" w:cs="Arial"/>
          <w:sz w:val="20"/>
          <w:szCs w:val="20"/>
        </w:rPr>
        <w:t xml:space="preserve">road freight attendees </w:t>
      </w:r>
      <w:r w:rsidRPr="004D58E8">
        <w:rPr>
          <w:rFonts w:ascii="Arial" w:hAnsi="Arial" w:cs="Arial"/>
          <w:sz w:val="20"/>
          <w:szCs w:val="20"/>
        </w:rPr>
        <w:t xml:space="preserve">felt </w:t>
      </w:r>
      <w:r>
        <w:rPr>
          <w:rFonts w:ascii="Arial" w:hAnsi="Arial" w:cs="Arial"/>
          <w:sz w:val="20"/>
          <w:szCs w:val="20"/>
        </w:rPr>
        <w:t>intimidated</w:t>
      </w:r>
      <w:r w:rsidRPr="004D58E8">
        <w:rPr>
          <w:rFonts w:ascii="Arial" w:hAnsi="Arial" w:cs="Arial"/>
          <w:sz w:val="20"/>
          <w:szCs w:val="20"/>
        </w:rPr>
        <w:t xml:space="preserve"> by the presence of rail groups. This disadvantaged the consultation, as it </w:t>
      </w:r>
      <w:r>
        <w:rPr>
          <w:rFonts w:ascii="Arial" w:hAnsi="Arial" w:cs="Arial"/>
          <w:sz w:val="20"/>
          <w:szCs w:val="20"/>
        </w:rPr>
        <w:t>a</w:t>
      </w:r>
      <w:r w:rsidRPr="004D58E8">
        <w:rPr>
          <w:rFonts w:ascii="Arial" w:hAnsi="Arial" w:cs="Arial"/>
          <w:sz w:val="20"/>
          <w:szCs w:val="20"/>
        </w:rPr>
        <w:t xml:space="preserve">ffected how open </w:t>
      </w:r>
      <w:r>
        <w:rPr>
          <w:rFonts w:ascii="Arial" w:hAnsi="Arial" w:cs="Arial"/>
          <w:sz w:val="20"/>
          <w:szCs w:val="20"/>
        </w:rPr>
        <w:t xml:space="preserve">and transparent the </w:t>
      </w:r>
      <w:r w:rsidRPr="004D58E8">
        <w:rPr>
          <w:rFonts w:ascii="Arial" w:hAnsi="Arial" w:cs="Arial"/>
          <w:sz w:val="20"/>
          <w:szCs w:val="20"/>
        </w:rPr>
        <w:t xml:space="preserve">discussion could be about prices, behaviour and </w:t>
      </w:r>
      <w:r>
        <w:rPr>
          <w:rFonts w:ascii="Arial" w:hAnsi="Arial" w:cs="Arial"/>
          <w:sz w:val="20"/>
          <w:szCs w:val="20"/>
        </w:rPr>
        <w:t xml:space="preserve">the </w:t>
      </w:r>
      <w:r w:rsidRPr="004D58E8">
        <w:rPr>
          <w:rFonts w:ascii="Arial" w:hAnsi="Arial" w:cs="Arial"/>
          <w:sz w:val="20"/>
          <w:szCs w:val="20"/>
        </w:rPr>
        <w:t xml:space="preserve">impact </w:t>
      </w:r>
      <w:r>
        <w:rPr>
          <w:rFonts w:ascii="Arial" w:hAnsi="Arial" w:cs="Arial"/>
          <w:sz w:val="20"/>
          <w:szCs w:val="20"/>
        </w:rPr>
        <w:t>the proposed</w:t>
      </w:r>
      <w:r w:rsidRPr="004D58E8">
        <w:rPr>
          <w:rFonts w:ascii="Arial" w:hAnsi="Arial" w:cs="Arial"/>
          <w:sz w:val="20"/>
          <w:szCs w:val="20"/>
        </w:rPr>
        <w:t xml:space="preserve"> charges would have </w:t>
      </w:r>
      <w:r>
        <w:rPr>
          <w:rFonts w:ascii="Arial" w:hAnsi="Arial" w:cs="Arial"/>
          <w:sz w:val="20"/>
          <w:szCs w:val="20"/>
        </w:rPr>
        <w:t xml:space="preserve">on </w:t>
      </w:r>
      <w:r w:rsidRPr="004D58E8">
        <w:rPr>
          <w:rFonts w:ascii="Arial" w:hAnsi="Arial" w:cs="Arial"/>
          <w:sz w:val="20"/>
          <w:szCs w:val="20"/>
        </w:rPr>
        <w:t xml:space="preserve">operators and the industry. </w:t>
      </w:r>
    </w:p>
    <w:p w:rsidR="0070157F" w:rsidRPr="004D58E8" w:rsidRDefault="0070157F" w:rsidP="0070157F">
      <w:pPr>
        <w:spacing w:line="269" w:lineRule="auto"/>
        <w:rPr>
          <w:rFonts w:ascii="Arial" w:hAnsi="Arial" w:cs="Arial"/>
          <w:sz w:val="20"/>
          <w:szCs w:val="20"/>
        </w:rPr>
      </w:pPr>
    </w:p>
    <w:p w:rsidR="0070157F" w:rsidRPr="004D58E8" w:rsidRDefault="0070157F" w:rsidP="0070157F">
      <w:pPr>
        <w:spacing w:line="269" w:lineRule="auto"/>
        <w:rPr>
          <w:rFonts w:ascii="Arial" w:hAnsi="Arial" w:cs="Arial"/>
          <w:sz w:val="20"/>
          <w:szCs w:val="20"/>
        </w:rPr>
      </w:pPr>
      <w:r w:rsidRPr="004D58E8">
        <w:rPr>
          <w:rFonts w:ascii="Arial" w:hAnsi="Arial" w:cs="Arial"/>
          <w:sz w:val="20"/>
          <w:szCs w:val="20"/>
        </w:rPr>
        <w:t>The NTC’s determination to avoid single point broad scale consultation</w:t>
      </w:r>
      <w:r>
        <w:rPr>
          <w:rFonts w:ascii="Arial" w:hAnsi="Arial" w:cs="Arial"/>
          <w:sz w:val="20"/>
          <w:szCs w:val="20"/>
        </w:rPr>
        <w:t>,</w:t>
      </w:r>
      <w:r w:rsidRPr="004D58E8">
        <w:rPr>
          <w:rFonts w:ascii="Arial" w:hAnsi="Arial" w:cs="Arial"/>
          <w:sz w:val="20"/>
          <w:szCs w:val="20"/>
        </w:rPr>
        <w:t xml:space="preserve"> and to divide the industry through multiple small group meetings with inconsistent material</w:t>
      </w:r>
      <w:r>
        <w:rPr>
          <w:rFonts w:ascii="Arial" w:hAnsi="Arial" w:cs="Arial"/>
          <w:sz w:val="20"/>
          <w:szCs w:val="20"/>
        </w:rPr>
        <w:t>,</w:t>
      </w:r>
      <w:r w:rsidRPr="004D58E8">
        <w:rPr>
          <w:rFonts w:ascii="Arial" w:hAnsi="Arial" w:cs="Arial"/>
          <w:sz w:val="20"/>
          <w:szCs w:val="20"/>
        </w:rPr>
        <w:t xml:space="preserve"> was an adverse and inappropriate consultation methodology.   </w:t>
      </w:r>
    </w:p>
    <w:p w:rsidR="0070157F" w:rsidRDefault="0070157F" w:rsidP="0070157F">
      <w:pPr>
        <w:pStyle w:val="RecommendationStyle"/>
        <w:tabs>
          <w:tab w:val="clear" w:pos="57"/>
        </w:tabs>
      </w:pPr>
      <w:bookmarkStart w:id="27" w:name="_Toc326219470"/>
      <w:bookmarkStart w:id="28" w:name="_Toc326243410"/>
      <w:bookmarkEnd w:id="27"/>
      <w:bookmarkEnd w:id="28"/>
    </w:p>
    <w:p w:rsidR="00753FA4" w:rsidRDefault="00753FA4" w:rsidP="00753FA4">
      <w:pPr>
        <w:pStyle w:val="RecommendationStyle2"/>
        <w:spacing w:line="269" w:lineRule="auto"/>
        <w:jc w:val="left"/>
        <w:rPr>
          <w:color w:val="000000" w:themeColor="text1"/>
        </w:rPr>
      </w:pPr>
      <w:bookmarkStart w:id="29" w:name="_Toc326219471"/>
      <w:bookmarkStart w:id="30" w:name="_Toc326243411"/>
      <w:r>
        <w:rPr>
          <w:color w:val="000000" w:themeColor="text1"/>
        </w:rPr>
        <w:t>Stakeholders e</w:t>
      </w:r>
      <w:r w:rsidR="0070157F" w:rsidRPr="006B26B3">
        <w:rPr>
          <w:color w:val="000000" w:themeColor="text1"/>
        </w:rPr>
        <w:t>xperience with agencies should be reported to final policy makers.</w:t>
      </w:r>
      <w:bookmarkEnd w:id="29"/>
      <w:bookmarkEnd w:id="30"/>
    </w:p>
    <w:p w:rsidR="004D58E8" w:rsidRPr="00753FA4" w:rsidRDefault="00753FA4" w:rsidP="00753FA4">
      <w:pPr>
        <w:rPr>
          <w:rFonts w:ascii="Arial" w:hAnsi="Arial" w:cs="Arial"/>
          <w:b/>
          <w:color w:val="000000" w:themeColor="text1"/>
          <w:sz w:val="20"/>
          <w:szCs w:val="20"/>
        </w:rPr>
      </w:pPr>
      <w:r>
        <w:rPr>
          <w:color w:val="000000" w:themeColor="text1"/>
        </w:rPr>
        <w:br w:type="page"/>
      </w:r>
    </w:p>
    <w:p w:rsidR="00DF6C5D" w:rsidRPr="00DF6C5D" w:rsidRDefault="00DF6C5D" w:rsidP="00EB0B2D">
      <w:pPr>
        <w:pStyle w:val="ATAHeading2"/>
        <w:numPr>
          <w:ilvl w:val="0"/>
          <w:numId w:val="3"/>
        </w:numPr>
      </w:pPr>
      <w:bookmarkStart w:id="31" w:name="_Toc325530353"/>
      <w:bookmarkStart w:id="32" w:name="_Toc325532640"/>
      <w:bookmarkStart w:id="33" w:name="_Toc325984599"/>
      <w:bookmarkStart w:id="34" w:name="_Toc325467713"/>
      <w:bookmarkStart w:id="35" w:name="_Toc325530355"/>
      <w:bookmarkStart w:id="36" w:name="_Toc325532642"/>
      <w:bookmarkStart w:id="37" w:name="_Toc325984601"/>
      <w:bookmarkStart w:id="38" w:name="_Toc326136527"/>
      <w:bookmarkStart w:id="39" w:name="_Toc326136997"/>
      <w:bookmarkStart w:id="40" w:name="_Toc326156173"/>
      <w:bookmarkStart w:id="41" w:name="_Toc326157470"/>
      <w:bookmarkStart w:id="42" w:name="_Toc326240356"/>
      <w:bookmarkEnd w:id="31"/>
      <w:bookmarkEnd w:id="32"/>
      <w:bookmarkEnd w:id="33"/>
      <w:bookmarkEnd w:id="34"/>
      <w:bookmarkEnd w:id="35"/>
      <w:bookmarkEnd w:id="36"/>
      <w:bookmarkEnd w:id="37"/>
      <w:bookmarkEnd w:id="38"/>
      <w:bookmarkEnd w:id="39"/>
      <w:bookmarkEnd w:id="40"/>
      <w:bookmarkEnd w:id="41"/>
      <w:r w:rsidRPr="00DF6C5D">
        <w:lastRenderedPageBreak/>
        <w:t>Lack of transparency and consistency</w:t>
      </w:r>
      <w:bookmarkEnd w:id="42"/>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Prior to 2007, there was full and open exchange of information, and both organisations had spreadsheets which operated the charges model. In this situation we were able to verify the models outputs with the NTC. This openness has not progresse</w:t>
      </w:r>
      <w:r w:rsidR="009374CC">
        <w:rPr>
          <w:rFonts w:ascii="Arial" w:hAnsi="Arial" w:cs="Arial"/>
          <w:sz w:val="20"/>
          <w:szCs w:val="20"/>
        </w:rPr>
        <w:t>d</w:t>
      </w:r>
      <w:r w:rsidRPr="004D58E8">
        <w:rPr>
          <w:rFonts w:ascii="Arial" w:hAnsi="Arial" w:cs="Arial"/>
          <w:sz w:val="20"/>
          <w:szCs w:val="20"/>
        </w:rPr>
        <w:t xml:space="preserve"> and </w:t>
      </w:r>
      <w:r w:rsidR="009374CC">
        <w:rPr>
          <w:rFonts w:ascii="Arial" w:hAnsi="Arial" w:cs="Arial"/>
          <w:sz w:val="20"/>
          <w:szCs w:val="20"/>
        </w:rPr>
        <w:t xml:space="preserve">has </w:t>
      </w:r>
      <w:r w:rsidR="00F873EA">
        <w:rPr>
          <w:rFonts w:ascii="Arial" w:hAnsi="Arial" w:cs="Arial"/>
          <w:sz w:val="20"/>
          <w:szCs w:val="20"/>
        </w:rPr>
        <w:t xml:space="preserve">lead to perceptions of distrust </w:t>
      </w:r>
      <w:r w:rsidRPr="004D58E8">
        <w:rPr>
          <w:rFonts w:ascii="Arial" w:hAnsi="Arial" w:cs="Arial"/>
          <w:sz w:val="20"/>
          <w:szCs w:val="20"/>
        </w:rPr>
        <w:t xml:space="preserve">and secrecy.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The many updates to inputs, resulting charges, way forward options and methodology included in the consultation process did not make comprehension of the impact easy. On the day stakeholder submissions were due</w:t>
      </w:r>
      <w:r w:rsidR="009374CC">
        <w:rPr>
          <w:rFonts w:ascii="Arial" w:hAnsi="Arial" w:cs="Arial"/>
          <w:sz w:val="20"/>
          <w:szCs w:val="20"/>
        </w:rPr>
        <w:t>,</w:t>
      </w:r>
      <w:r w:rsidRPr="004D58E8">
        <w:rPr>
          <w:rFonts w:ascii="Arial" w:hAnsi="Arial" w:cs="Arial"/>
          <w:sz w:val="20"/>
          <w:szCs w:val="20"/>
        </w:rPr>
        <w:t xml:space="preserve"> the projected </w:t>
      </w:r>
      <w:r w:rsidR="009374CC">
        <w:rPr>
          <w:rFonts w:ascii="Arial" w:hAnsi="Arial" w:cs="Arial"/>
          <w:sz w:val="20"/>
          <w:szCs w:val="20"/>
        </w:rPr>
        <w:t>charges</w:t>
      </w:r>
      <w:r w:rsidR="009374CC" w:rsidRPr="004D58E8">
        <w:rPr>
          <w:rFonts w:ascii="Arial" w:hAnsi="Arial" w:cs="Arial"/>
          <w:sz w:val="20"/>
          <w:szCs w:val="20"/>
        </w:rPr>
        <w:t xml:space="preserve"> </w:t>
      </w:r>
      <w:r w:rsidRPr="004D58E8">
        <w:rPr>
          <w:rFonts w:ascii="Arial" w:hAnsi="Arial" w:cs="Arial"/>
          <w:sz w:val="20"/>
          <w:szCs w:val="20"/>
        </w:rPr>
        <w:t>changed again</w:t>
      </w:r>
      <w:r w:rsidR="009374CC">
        <w:rPr>
          <w:rFonts w:ascii="Arial" w:hAnsi="Arial" w:cs="Arial"/>
          <w:sz w:val="20"/>
          <w:szCs w:val="20"/>
        </w:rPr>
        <w:t>,</w:t>
      </w:r>
      <w:r w:rsidRPr="004D58E8">
        <w:rPr>
          <w:rFonts w:ascii="Arial" w:hAnsi="Arial" w:cs="Arial"/>
          <w:sz w:val="20"/>
          <w:szCs w:val="20"/>
        </w:rPr>
        <w:t xml:space="preserve"> making analysis of the previous </w:t>
      </w:r>
      <w:r w:rsidR="009374CC">
        <w:rPr>
          <w:rFonts w:ascii="Arial" w:hAnsi="Arial" w:cs="Arial"/>
          <w:sz w:val="20"/>
          <w:szCs w:val="20"/>
        </w:rPr>
        <w:t>charges</w:t>
      </w:r>
      <w:r w:rsidR="009374CC" w:rsidRPr="004D58E8">
        <w:rPr>
          <w:rFonts w:ascii="Arial" w:hAnsi="Arial" w:cs="Arial"/>
          <w:sz w:val="20"/>
          <w:szCs w:val="20"/>
        </w:rPr>
        <w:t xml:space="preserve"> </w:t>
      </w:r>
      <w:r w:rsidRPr="004D58E8">
        <w:rPr>
          <w:rFonts w:ascii="Arial" w:hAnsi="Arial" w:cs="Arial"/>
          <w:sz w:val="20"/>
          <w:szCs w:val="20"/>
        </w:rPr>
        <w:t xml:space="preserve">redundant. The NTC’s refusal to publish the charging model limited what analysis could be made. The ATA helped considerably to identify incorrect facts and assessment method in the first </w:t>
      </w:r>
      <w:r w:rsidR="009374CC">
        <w:rPr>
          <w:rFonts w:ascii="Arial" w:hAnsi="Arial" w:cs="Arial"/>
          <w:sz w:val="20"/>
          <w:szCs w:val="20"/>
        </w:rPr>
        <w:t>release of</w:t>
      </w:r>
      <w:r w:rsidR="009374CC" w:rsidRPr="004D58E8">
        <w:rPr>
          <w:rFonts w:ascii="Arial" w:hAnsi="Arial" w:cs="Arial"/>
          <w:sz w:val="20"/>
          <w:szCs w:val="20"/>
        </w:rPr>
        <w:t xml:space="preserve"> </w:t>
      </w:r>
      <w:r w:rsidRPr="004D58E8">
        <w:rPr>
          <w:rFonts w:ascii="Arial" w:hAnsi="Arial" w:cs="Arial"/>
          <w:sz w:val="20"/>
          <w:szCs w:val="20"/>
        </w:rPr>
        <w:t>ESA figures</w:t>
      </w:r>
      <w:r w:rsidR="009374CC">
        <w:rPr>
          <w:rFonts w:ascii="Arial" w:hAnsi="Arial" w:cs="Arial"/>
          <w:sz w:val="20"/>
          <w:szCs w:val="20"/>
        </w:rPr>
        <w:t>,</w:t>
      </w:r>
      <w:r w:rsidRPr="004D58E8">
        <w:rPr>
          <w:rFonts w:ascii="Arial" w:hAnsi="Arial" w:cs="Arial"/>
          <w:sz w:val="20"/>
          <w:szCs w:val="20"/>
        </w:rPr>
        <w:t xml:space="preserve"> which had many failings. However, these were altered again without consultation. We have not seen the altered ESA methodology and justifications</w:t>
      </w:r>
      <w:r w:rsidR="009374CC">
        <w:rPr>
          <w:rFonts w:ascii="Arial" w:hAnsi="Arial" w:cs="Arial"/>
          <w:sz w:val="20"/>
          <w:szCs w:val="20"/>
        </w:rPr>
        <w:t>, and therefore</w:t>
      </w:r>
      <w:r w:rsidRPr="004D58E8">
        <w:rPr>
          <w:rFonts w:ascii="Arial" w:hAnsi="Arial" w:cs="Arial"/>
          <w:sz w:val="20"/>
          <w:szCs w:val="20"/>
        </w:rPr>
        <w:t xml:space="preserve"> we </w:t>
      </w:r>
      <w:r w:rsidR="009374CC">
        <w:rPr>
          <w:rFonts w:ascii="Arial" w:hAnsi="Arial" w:cs="Arial"/>
          <w:sz w:val="20"/>
          <w:szCs w:val="20"/>
        </w:rPr>
        <w:t>were not able to</w:t>
      </w:r>
      <w:r w:rsidR="009374CC" w:rsidRPr="004D58E8">
        <w:rPr>
          <w:rFonts w:ascii="Arial" w:hAnsi="Arial" w:cs="Arial"/>
          <w:sz w:val="20"/>
          <w:szCs w:val="20"/>
        </w:rPr>
        <w:t xml:space="preserve"> </w:t>
      </w:r>
      <w:r w:rsidRPr="004D58E8">
        <w:rPr>
          <w:rFonts w:ascii="Arial" w:hAnsi="Arial" w:cs="Arial"/>
          <w:sz w:val="20"/>
          <w:szCs w:val="20"/>
        </w:rPr>
        <w:t>endorse an</w:t>
      </w:r>
      <w:r w:rsidR="00F425F2">
        <w:rPr>
          <w:rFonts w:ascii="Arial" w:hAnsi="Arial" w:cs="Arial"/>
          <w:sz w:val="20"/>
          <w:szCs w:val="20"/>
        </w:rPr>
        <w:t>y</w:t>
      </w:r>
      <w:r w:rsidRPr="004D58E8">
        <w:rPr>
          <w:rFonts w:ascii="Arial" w:hAnsi="Arial" w:cs="Arial"/>
          <w:sz w:val="20"/>
          <w:szCs w:val="20"/>
        </w:rPr>
        <w:t xml:space="preserve"> option that </w:t>
      </w:r>
      <w:r w:rsidR="009374CC">
        <w:rPr>
          <w:rFonts w:ascii="Arial" w:hAnsi="Arial" w:cs="Arial"/>
          <w:sz w:val="20"/>
          <w:szCs w:val="20"/>
        </w:rPr>
        <w:t>relies on</w:t>
      </w:r>
      <w:r w:rsidR="009374CC" w:rsidRPr="004D58E8">
        <w:rPr>
          <w:rFonts w:ascii="Arial" w:hAnsi="Arial" w:cs="Arial"/>
          <w:sz w:val="20"/>
          <w:szCs w:val="20"/>
        </w:rPr>
        <w:t xml:space="preserve"> </w:t>
      </w:r>
      <w:r w:rsidRPr="004D58E8">
        <w:rPr>
          <w:rFonts w:ascii="Arial" w:hAnsi="Arial" w:cs="Arial"/>
          <w:sz w:val="20"/>
          <w:szCs w:val="20"/>
        </w:rPr>
        <w:t>th</w:t>
      </w:r>
      <w:r w:rsidR="009374CC">
        <w:rPr>
          <w:rFonts w:ascii="Arial" w:hAnsi="Arial" w:cs="Arial"/>
          <w:sz w:val="20"/>
          <w:szCs w:val="20"/>
        </w:rPr>
        <w:t>is</w:t>
      </w:r>
      <w:r w:rsidRPr="004D58E8">
        <w:rPr>
          <w:rFonts w:ascii="Arial" w:hAnsi="Arial" w:cs="Arial"/>
          <w:sz w:val="20"/>
          <w:szCs w:val="20"/>
        </w:rPr>
        <w:t xml:space="preserve"> </w:t>
      </w:r>
      <w:r w:rsidR="009374CC">
        <w:rPr>
          <w:rFonts w:ascii="Arial" w:hAnsi="Arial" w:cs="Arial"/>
          <w:sz w:val="20"/>
          <w:szCs w:val="20"/>
        </w:rPr>
        <w:t xml:space="preserve">data </w:t>
      </w:r>
      <w:r w:rsidRPr="004D58E8">
        <w:rPr>
          <w:rFonts w:ascii="Arial" w:hAnsi="Arial" w:cs="Arial"/>
          <w:sz w:val="20"/>
          <w:szCs w:val="20"/>
        </w:rPr>
        <w:t>without scrutinising the inputs.</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As the charges model was not </w:t>
      </w:r>
      <w:r w:rsidR="0040102E" w:rsidRPr="004D58E8">
        <w:rPr>
          <w:rFonts w:ascii="Arial" w:hAnsi="Arial" w:cs="Arial"/>
          <w:sz w:val="20"/>
          <w:szCs w:val="20"/>
        </w:rPr>
        <w:t>released</w:t>
      </w:r>
      <w:r w:rsidRPr="004D58E8">
        <w:rPr>
          <w:rFonts w:ascii="Arial" w:hAnsi="Arial" w:cs="Arial"/>
          <w:sz w:val="20"/>
          <w:szCs w:val="20"/>
        </w:rPr>
        <w:t xml:space="preserve"> to the public prior to an ATA </w:t>
      </w:r>
      <w:r w:rsidR="001F437B">
        <w:rPr>
          <w:rFonts w:ascii="Arial" w:hAnsi="Arial" w:cs="Arial"/>
          <w:sz w:val="20"/>
          <w:szCs w:val="20"/>
        </w:rPr>
        <w:t>F</w:t>
      </w:r>
      <w:r w:rsidRPr="004D58E8">
        <w:rPr>
          <w:rFonts w:ascii="Arial" w:hAnsi="Arial" w:cs="Arial"/>
          <w:sz w:val="20"/>
          <w:szCs w:val="20"/>
        </w:rPr>
        <w:t xml:space="preserve">reedom of </w:t>
      </w:r>
      <w:r w:rsidR="001F437B">
        <w:rPr>
          <w:rFonts w:ascii="Arial" w:hAnsi="Arial" w:cs="Arial"/>
          <w:sz w:val="20"/>
          <w:szCs w:val="20"/>
        </w:rPr>
        <w:t>I</w:t>
      </w:r>
      <w:r w:rsidRPr="004D58E8">
        <w:rPr>
          <w:rFonts w:ascii="Arial" w:hAnsi="Arial" w:cs="Arial"/>
          <w:sz w:val="20"/>
          <w:szCs w:val="20"/>
        </w:rPr>
        <w:t>nformation (FOI) request, it was impossible to know the validity of any NTC recommendations</w:t>
      </w:r>
      <w:r w:rsidR="001F437B">
        <w:rPr>
          <w:rFonts w:ascii="Arial" w:hAnsi="Arial" w:cs="Arial"/>
          <w:sz w:val="20"/>
          <w:szCs w:val="20"/>
        </w:rPr>
        <w:t>,</w:t>
      </w:r>
      <w:r w:rsidRPr="004D58E8">
        <w:rPr>
          <w:rFonts w:ascii="Arial" w:hAnsi="Arial" w:cs="Arial"/>
          <w:sz w:val="20"/>
          <w:szCs w:val="20"/>
        </w:rPr>
        <w:t xml:space="preserve"> or even those that it was recommending to ministers.</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bookmarkStart w:id="43" w:name="_Toc325467711"/>
      <w:bookmarkEnd w:id="43"/>
      <w:r w:rsidRPr="004D58E8">
        <w:rPr>
          <w:rFonts w:ascii="Arial" w:hAnsi="Arial" w:cs="Arial"/>
          <w:sz w:val="20"/>
          <w:szCs w:val="20"/>
        </w:rPr>
        <w:t xml:space="preserve">When industry set about informing </w:t>
      </w:r>
      <w:r w:rsidR="001F437B">
        <w:rPr>
          <w:rFonts w:ascii="Arial" w:hAnsi="Arial" w:cs="Arial"/>
          <w:sz w:val="20"/>
          <w:szCs w:val="20"/>
        </w:rPr>
        <w:t>m</w:t>
      </w:r>
      <w:r w:rsidRPr="004D58E8">
        <w:rPr>
          <w:rFonts w:ascii="Arial" w:hAnsi="Arial" w:cs="Arial"/>
          <w:sz w:val="20"/>
          <w:szCs w:val="20"/>
        </w:rPr>
        <w:t>inisters of the view</w:t>
      </w:r>
      <w:r w:rsidR="001F437B">
        <w:rPr>
          <w:rFonts w:ascii="Arial" w:hAnsi="Arial" w:cs="Arial"/>
          <w:sz w:val="20"/>
          <w:szCs w:val="20"/>
        </w:rPr>
        <w:t>s</w:t>
      </w:r>
      <w:r w:rsidRPr="004D58E8">
        <w:rPr>
          <w:rFonts w:ascii="Arial" w:hAnsi="Arial" w:cs="Arial"/>
          <w:sz w:val="20"/>
          <w:szCs w:val="20"/>
        </w:rPr>
        <w:t xml:space="preserve"> of industry, to have any integrity, the ATA and its members had to reject all the NTC options as we could not say with any faith that the calculations were </w:t>
      </w:r>
      <w:r w:rsidR="00F425F2">
        <w:rPr>
          <w:rFonts w:ascii="Arial" w:hAnsi="Arial" w:cs="Arial"/>
          <w:sz w:val="20"/>
          <w:szCs w:val="20"/>
        </w:rPr>
        <w:t>valid. N</w:t>
      </w:r>
      <w:r w:rsidRPr="004D58E8">
        <w:rPr>
          <w:rFonts w:ascii="Arial" w:hAnsi="Arial" w:cs="Arial"/>
          <w:sz w:val="20"/>
          <w:szCs w:val="20"/>
        </w:rPr>
        <w:t>or coul</w:t>
      </w:r>
      <w:r w:rsidR="00F425F2">
        <w:rPr>
          <w:rFonts w:ascii="Arial" w:hAnsi="Arial" w:cs="Arial"/>
          <w:sz w:val="20"/>
          <w:szCs w:val="20"/>
        </w:rPr>
        <w:t>d we say what the effect of the</w:t>
      </w:r>
      <w:r w:rsidRPr="004D58E8">
        <w:rPr>
          <w:rFonts w:ascii="Arial" w:hAnsi="Arial" w:cs="Arial"/>
          <w:sz w:val="20"/>
          <w:szCs w:val="20"/>
        </w:rPr>
        <w:t xml:space="preserve"> options would be, as the NTC closed out industry feedback on recommendations and alterations to the model and its outcomes.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The release </w:t>
      </w:r>
      <w:r w:rsidR="001F437B">
        <w:rPr>
          <w:rFonts w:ascii="Arial" w:hAnsi="Arial" w:cs="Arial"/>
          <w:sz w:val="20"/>
          <w:szCs w:val="20"/>
        </w:rPr>
        <w:t xml:space="preserve">of the charges model </w:t>
      </w:r>
      <w:r w:rsidRPr="004D58E8">
        <w:rPr>
          <w:rFonts w:ascii="Arial" w:hAnsi="Arial" w:cs="Arial"/>
          <w:sz w:val="20"/>
          <w:szCs w:val="20"/>
        </w:rPr>
        <w:t xml:space="preserve">showed our </w:t>
      </w:r>
      <w:r w:rsidR="00F425F2">
        <w:rPr>
          <w:rFonts w:ascii="Arial" w:hAnsi="Arial" w:cs="Arial"/>
          <w:sz w:val="20"/>
          <w:szCs w:val="20"/>
        </w:rPr>
        <w:t>concerns were valid</w:t>
      </w:r>
      <w:r w:rsidR="001F437B">
        <w:rPr>
          <w:rFonts w:ascii="Arial" w:hAnsi="Arial" w:cs="Arial"/>
          <w:sz w:val="20"/>
          <w:szCs w:val="20"/>
        </w:rPr>
        <w:t>.</w:t>
      </w:r>
      <w:r w:rsidRPr="004D58E8">
        <w:rPr>
          <w:rFonts w:ascii="Arial" w:hAnsi="Arial" w:cs="Arial"/>
          <w:sz w:val="20"/>
          <w:szCs w:val="20"/>
        </w:rPr>
        <w:t xml:space="preserve"> </w:t>
      </w:r>
      <w:r w:rsidR="001F437B">
        <w:rPr>
          <w:rFonts w:ascii="Arial" w:hAnsi="Arial" w:cs="Arial"/>
          <w:sz w:val="20"/>
          <w:szCs w:val="20"/>
        </w:rPr>
        <w:t>H</w:t>
      </w:r>
      <w:r w:rsidRPr="004D58E8">
        <w:rPr>
          <w:rFonts w:ascii="Arial" w:hAnsi="Arial" w:cs="Arial"/>
          <w:sz w:val="20"/>
          <w:szCs w:val="20"/>
        </w:rPr>
        <w:t>ad transparency been provided</w:t>
      </w:r>
      <w:r w:rsidR="001F437B">
        <w:rPr>
          <w:rFonts w:ascii="Arial" w:hAnsi="Arial" w:cs="Arial"/>
          <w:sz w:val="20"/>
          <w:szCs w:val="20"/>
        </w:rPr>
        <w:t>,</w:t>
      </w:r>
      <w:r w:rsidRPr="004D58E8">
        <w:rPr>
          <w:rFonts w:ascii="Arial" w:hAnsi="Arial" w:cs="Arial"/>
          <w:sz w:val="20"/>
          <w:szCs w:val="20"/>
        </w:rPr>
        <w:t xml:space="preserve"> many challenges to inputs and assumptions would have been lodged. Even if only some of issues were </w:t>
      </w:r>
      <w:r w:rsidR="001F437B">
        <w:rPr>
          <w:rFonts w:ascii="Arial" w:hAnsi="Arial" w:cs="Arial"/>
          <w:sz w:val="20"/>
          <w:szCs w:val="20"/>
        </w:rPr>
        <w:t>addressed</w:t>
      </w:r>
      <w:r w:rsidRPr="004D58E8">
        <w:rPr>
          <w:rFonts w:ascii="Arial" w:hAnsi="Arial" w:cs="Arial"/>
          <w:sz w:val="20"/>
          <w:szCs w:val="20"/>
        </w:rPr>
        <w:t xml:space="preserve">, the result would have been </w:t>
      </w:r>
      <w:r w:rsidR="001F437B">
        <w:rPr>
          <w:rFonts w:ascii="Arial" w:hAnsi="Arial" w:cs="Arial"/>
          <w:sz w:val="20"/>
          <w:szCs w:val="20"/>
        </w:rPr>
        <w:t>a reduced</w:t>
      </w:r>
      <w:r w:rsidRPr="004D58E8">
        <w:rPr>
          <w:rFonts w:ascii="Arial" w:hAnsi="Arial" w:cs="Arial"/>
          <w:sz w:val="20"/>
          <w:szCs w:val="20"/>
        </w:rPr>
        <w:t xml:space="preserve"> impact (less over-recovery) and more acceptable</w:t>
      </w:r>
      <w:r w:rsidR="001F437B">
        <w:rPr>
          <w:rFonts w:ascii="Arial" w:hAnsi="Arial" w:cs="Arial"/>
          <w:sz w:val="20"/>
          <w:szCs w:val="20"/>
        </w:rPr>
        <w:t xml:space="preserve"> to industry</w:t>
      </w:r>
      <w:r w:rsidRPr="004D58E8">
        <w:rPr>
          <w:rFonts w:ascii="Arial" w:hAnsi="Arial" w:cs="Arial"/>
          <w:sz w:val="20"/>
          <w:szCs w:val="20"/>
        </w:rPr>
        <w:t>. As it stands</w:t>
      </w:r>
      <w:r w:rsidR="001F437B">
        <w:rPr>
          <w:rFonts w:ascii="Arial" w:hAnsi="Arial" w:cs="Arial"/>
          <w:sz w:val="20"/>
          <w:szCs w:val="20"/>
        </w:rPr>
        <w:t>,</w:t>
      </w:r>
      <w:r w:rsidRPr="004D58E8">
        <w:rPr>
          <w:rFonts w:ascii="Arial" w:hAnsi="Arial" w:cs="Arial"/>
          <w:sz w:val="20"/>
          <w:szCs w:val="20"/>
        </w:rPr>
        <w:t xml:space="preserve"> the industry has no confidence in the charge</w:t>
      </w:r>
      <w:r w:rsidR="001F437B">
        <w:rPr>
          <w:rFonts w:ascii="Arial" w:hAnsi="Arial" w:cs="Arial"/>
          <w:sz w:val="20"/>
          <w:szCs w:val="20"/>
        </w:rPr>
        <w:t>s</w:t>
      </w:r>
      <w:r w:rsidR="00F425F2">
        <w:rPr>
          <w:rFonts w:ascii="Arial" w:hAnsi="Arial" w:cs="Arial"/>
          <w:sz w:val="20"/>
          <w:szCs w:val="20"/>
        </w:rPr>
        <w:t xml:space="preserve"> determinations</w:t>
      </w:r>
      <w:r w:rsidRPr="004D58E8">
        <w:rPr>
          <w:rFonts w:ascii="Arial" w:hAnsi="Arial" w:cs="Arial"/>
          <w:sz w:val="20"/>
          <w:szCs w:val="20"/>
        </w:rPr>
        <w:t xml:space="preserve">.   </w:t>
      </w:r>
    </w:p>
    <w:p w:rsidR="00DF6C5D" w:rsidRPr="004D58E8" w:rsidRDefault="00DF6C5D" w:rsidP="004D58E8">
      <w:pPr>
        <w:spacing w:line="269" w:lineRule="auto"/>
        <w:rPr>
          <w:rFonts w:ascii="Arial" w:hAnsi="Arial" w:cs="Arial"/>
          <w:sz w:val="20"/>
          <w:szCs w:val="20"/>
        </w:rPr>
      </w:pPr>
    </w:p>
    <w:p w:rsidR="005B35D2"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When a decision is made on government regulatory decisions it is vital that </w:t>
      </w:r>
      <w:r w:rsidR="001F437B">
        <w:rPr>
          <w:rFonts w:ascii="Arial" w:hAnsi="Arial" w:cs="Arial"/>
          <w:sz w:val="20"/>
          <w:szCs w:val="20"/>
        </w:rPr>
        <w:t xml:space="preserve">those </w:t>
      </w:r>
      <w:r w:rsidRPr="004D58E8">
        <w:rPr>
          <w:rFonts w:ascii="Arial" w:hAnsi="Arial" w:cs="Arial"/>
          <w:sz w:val="20"/>
          <w:szCs w:val="20"/>
        </w:rPr>
        <w:t>decisions are based on publically available information. Limited information was made available public</w:t>
      </w:r>
      <w:r w:rsidR="001F437B">
        <w:rPr>
          <w:rFonts w:ascii="Arial" w:hAnsi="Arial" w:cs="Arial"/>
          <w:sz w:val="20"/>
          <w:szCs w:val="20"/>
        </w:rPr>
        <w:t>ly</w:t>
      </w:r>
      <w:r w:rsidRPr="004D58E8">
        <w:rPr>
          <w:rFonts w:ascii="Arial" w:hAnsi="Arial" w:cs="Arial"/>
          <w:sz w:val="20"/>
          <w:szCs w:val="20"/>
        </w:rPr>
        <w:t xml:space="preserve">. The </w:t>
      </w:r>
      <w:r w:rsidR="001F437B">
        <w:rPr>
          <w:rFonts w:ascii="Arial" w:hAnsi="Arial" w:cs="Arial"/>
          <w:sz w:val="20"/>
          <w:szCs w:val="20"/>
        </w:rPr>
        <w:t xml:space="preserve">charges </w:t>
      </w:r>
      <w:r w:rsidRPr="004D58E8">
        <w:rPr>
          <w:rFonts w:ascii="Arial" w:hAnsi="Arial" w:cs="Arial"/>
          <w:sz w:val="20"/>
          <w:szCs w:val="20"/>
        </w:rPr>
        <w:t>model was not released for general review</w:t>
      </w:r>
      <w:r w:rsidR="001F437B">
        <w:rPr>
          <w:rFonts w:ascii="Arial" w:hAnsi="Arial" w:cs="Arial"/>
          <w:sz w:val="20"/>
          <w:szCs w:val="20"/>
        </w:rPr>
        <w:t>,</w:t>
      </w:r>
      <w:r w:rsidRPr="004D58E8">
        <w:rPr>
          <w:rFonts w:ascii="Arial" w:hAnsi="Arial" w:cs="Arial"/>
          <w:sz w:val="20"/>
          <w:szCs w:val="20"/>
        </w:rPr>
        <w:t xml:space="preserve"> and only </w:t>
      </w:r>
      <w:r w:rsidR="001F437B">
        <w:rPr>
          <w:rFonts w:ascii="Arial" w:hAnsi="Arial" w:cs="Arial"/>
          <w:sz w:val="20"/>
          <w:szCs w:val="20"/>
        </w:rPr>
        <w:t>recently,</w:t>
      </w:r>
      <w:r w:rsidRPr="004D58E8">
        <w:rPr>
          <w:rFonts w:ascii="Arial" w:hAnsi="Arial" w:cs="Arial"/>
          <w:sz w:val="20"/>
          <w:szCs w:val="20"/>
        </w:rPr>
        <w:t xml:space="preserve"> after protracted </w:t>
      </w:r>
      <w:proofErr w:type="spellStart"/>
      <w:r w:rsidR="001F437B" w:rsidRPr="004D58E8">
        <w:rPr>
          <w:rFonts w:ascii="Arial" w:hAnsi="Arial" w:cs="Arial"/>
          <w:sz w:val="20"/>
          <w:szCs w:val="20"/>
        </w:rPr>
        <w:t>F</w:t>
      </w:r>
      <w:r w:rsidR="001F437B">
        <w:rPr>
          <w:rFonts w:ascii="Arial" w:hAnsi="Arial" w:cs="Arial"/>
          <w:sz w:val="20"/>
          <w:szCs w:val="20"/>
        </w:rPr>
        <w:t>o</w:t>
      </w:r>
      <w:r w:rsidR="001F437B" w:rsidRPr="004D58E8">
        <w:rPr>
          <w:rFonts w:ascii="Arial" w:hAnsi="Arial" w:cs="Arial"/>
          <w:sz w:val="20"/>
          <w:szCs w:val="20"/>
        </w:rPr>
        <w:t>I</w:t>
      </w:r>
      <w:proofErr w:type="spellEnd"/>
      <w:r w:rsidR="001F437B" w:rsidRPr="004D58E8">
        <w:rPr>
          <w:rFonts w:ascii="Arial" w:hAnsi="Arial" w:cs="Arial"/>
          <w:sz w:val="20"/>
          <w:szCs w:val="20"/>
        </w:rPr>
        <w:t xml:space="preserve"> </w:t>
      </w:r>
      <w:r w:rsidR="001F437B">
        <w:rPr>
          <w:rFonts w:ascii="Arial" w:hAnsi="Arial" w:cs="Arial"/>
          <w:sz w:val="20"/>
          <w:szCs w:val="20"/>
        </w:rPr>
        <w:t>negotiations,</w:t>
      </w:r>
      <w:r w:rsidR="001F437B" w:rsidRPr="004D58E8">
        <w:rPr>
          <w:rFonts w:ascii="Arial" w:hAnsi="Arial" w:cs="Arial"/>
          <w:sz w:val="20"/>
          <w:szCs w:val="20"/>
        </w:rPr>
        <w:t xml:space="preserve"> </w:t>
      </w:r>
      <w:r w:rsidR="001F437B">
        <w:rPr>
          <w:rFonts w:ascii="Arial" w:hAnsi="Arial" w:cs="Arial"/>
          <w:sz w:val="20"/>
          <w:szCs w:val="20"/>
        </w:rPr>
        <w:t>were</w:t>
      </w:r>
      <w:r w:rsidR="001F437B" w:rsidRPr="004D58E8">
        <w:rPr>
          <w:rFonts w:ascii="Arial" w:hAnsi="Arial" w:cs="Arial"/>
          <w:sz w:val="20"/>
          <w:szCs w:val="20"/>
        </w:rPr>
        <w:t xml:space="preserve"> </w:t>
      </w:r>
      <w:r w:rsidRPr="004D58E8">
        <w:rPr>
          <w:rFonts w:ascii="Arial" w:hAnsi="Arial" w:cs="Arial"/>
          <w:sz w:val="20"/>
          <w:szCs w:val="20"/>
        </w:rPr>
        <w:t xml:space="preserve">we able to </w:t>
      </w:r>
      <w:r w:rsidR="001F437B">
        <w:rPr>
          <w:rFonts w:ascii="Arial" w:hAnsi="Arial" w:cs="Arial"/>
          <w:sz w:val="20"/>
          <w:szCs w:val="20"/>
        </w:rPr>
        <w:t xml:space="preserve">view the charges model and </w:t>
      </w:r>
      <w:r w:rsidRPr="004D58E8">
        <w:rPr>
          <w:rFonts w:ascii="Arial" w:hAnsi="Arial" w:cs="Arial"/>
          <w:sz w:val="20"/>
          <w:szCs w:val="20"/>
        </w:rPr>
        <w:t>understand how the charges were actually calculated</w:t>
      </w:r>
      <w:r w:rsidR="001F437B">
        <w:rPr>
          <w:rFonts w:ascii="Arial" w:hAnsi="Arial" w:cs="Arial"/>
          <w:sz w:val="20"/>
          <w:szCs w:val="20"/>
        </w:rPr>
        <w:t>.</w:t>
      </w:r>
      <w:r w:rsidRPr="004D58E8">
        <w:rPr>
          <w:rFonts w:ascii="Arial" w:hAnsi="Arial" w:cs="Arial"/>
          <w:sz w:val="20"/>
          <w:szCs w:val="20"/>
        </w:rPr>
        <w:t xml:space="preserve"> </w:t>
      </w:r>
      <w:r w:rsidR="001F437B">
        <w:rPr>
          <w:rFonts w:ascii="Arial" w:hAnsi="Arial" w:cs="Arial"/>
          <w:sz w:val="20"/>
          <w:szCs w:val="20"/>
        </w:rPr>
        <w:t xml:space="preserve">We are </w:t>
      </w:r>
      <w:r w:rsidRPr="004D58E8">
        <w:rPr>
          <w:rFonts w:ascii="Arial" w:hAnsi="Arial" w:cs="Arial"/>
          <w:sz w:val="20"/>
          <w:szCs w:val="20"/>
        </w:rPr>
        <w:t>find</w:t>
      </w:r>
      <w:r w:rsidR="001F437B">
        <w:rPr>
          <w:rFonts w:ascii="Arial" w:hAnsi="Arial" w:cs="Arial"/>
          <w:sz w:val="20"/>
          <w:szCs w:val="20"/>
        </w:rPr>
        <w:t>ing</w:t>
      </w:r>
      <w:r w:rsidRPr="004D58E8">
        <w:rPr>
          <w:rFonts w:ascii="Arial" w:hAnsi="Arial" w:cs="Arial"/>
          <w:sz w:val="20"/>
          <w:szCs w:val="20"/>
        </w:rPr>
        <w:t xml:space="preserve"> things with</w:t>
      </w:r>
      <w:r w:rsidR="001F437B">
        <w:rPr>
          <w:rFonts w:ascii="Arial" w:hAnsi="Arial" w:cs="Arial"/>
          <w:sz w:val="20"/>
          <w:szCs w:val="20"/>
        </w:rPr>
        <w:t>in</w:t>
      </w:r>
      <w:r w:rsidRPr="004D58E8">
        <w:rPr>
          <w:rFonts w:ascii="Arial" w:hAnsi="Arial" w:cs="Arial"/>
          <w:sz w:val="20"/>
          <w:szCs w:val="20"/>
        </w:rPr>
        <w:t xml:space="preserve"> the </w:t>
      </w:r>
      <w:r w:rsidR="001F437B">
        <w:rPr>
          <w:rFonts w:ascii="Arial" w:hAnsi="Arial" w:cs="Arial"/>
          <w:sz w:val="20"/>
          <w:szCs w:val="20"/>
        </w:rPr>
        <w:t xml:space="preserve">charges </w:t>
      </w:r>
      <w:r w:rsidRPr="004D58E8">
        <w:rPr>
          <w:rFonts w:ascii="Arial" w:hAnsi="Arial" w:cs="Arial"/>
          <w:sz w:val="20"/>
          <w:szCs w:val="20"/>
        </w:rPr>
        <w:t xml:space="preserve">model that we are </w:t>
      </w:r>
      <w:r w:rsidR="00F425F2">
        <w:rPr>
          <w:rFonts w:ascii="Arial" w:hAnsi="Arial" w:cs="Arial"/>
          <w:sz w:val="20"/>
          <w:szCs w:val="20"/>
        </w:rPr>
        <w:t>questioning.</w:t>
      </w:r>
    </w:p>
    <w:p w:rsidR="005B35D2" w:rsidRPr="009F0928" w:rsidRDefault="005B35D2" w:rsidP="00EB0B2D">
      <w:pPr>
        <w:pStyle w:val="RecommendationStyle"/>
        <w:tabs>
          <w:tab w:val="clear" w:pos="57"/>
        </w:tabs>
      </w:pPr>
      <w:bookmarkStart w:id="44" w:name="_Toc326135033"/>
      <w:bookmarkStart w:id="45" w:name="_Toc326136529"/>
      <w:bookmarkStart w:id="46" w:name="_Toc326136999"/>
      <w:bookmarkStart w:id="47" w:name="_Toc326156175"/>
      <w:bookmarkStart w:id="48" w:name="_Toc326157472"/>
      <w:bookmarkStart w:id="49" w:name="_Toc326219472"/>
      <w:bookmarkStart w:id="50" w:name="_Toc326243412"/>
      <w:bookmarkEnd w:id="44"/>
      <w:bookmarkEnd w:id="45"/>
      <w:bookmarkEnd w:id="46"/>
      <w:bookmarkEnd w:id="47"/>
      <w:bookmarkEnd w:id="48"/>
      <w:bookmarkEnd w:id="49"/>
      <w:bookmarkEnd w:id="50"/>
    </w:p>
    <w:p w:rsidR="005B35D2" w:rsidRPr="006B26B3" w:rsidRDefault="005B35D2" w:rsidP="006B26B3">
      <w:pPr>
        <w:pStyle w:val="RecommendationStyle2"/>
        <w:spacing w:line="269" w:lineRule="auto"/>
        <w:jc w:val="left"/>
        <w:rPr>
          <w:color w:val="000000" w:themeColor="text1"/>
        </w:rPr>
      </w:pPr>
      <w:bookmarkStart w:id="51" w:name="_Toc325467712"/>
      <w:bookmarkStart w:id="52" w:name="_Toc325530354"/>
      <w:bookmarkStart w:id="53" w:name="_Toc325532641"/>
      <w:bookmarkStart w:id="54" w:name="_Toc325984600"/>
      <w:bookmarkStart w:id="55" w:name="_Toc326135034"/>
      <w:bookmarkStart w:id="56" w:name="_Toc326136530"/>
      <w:bookmarkStart w:id="57" w:name="_Toc326137000"/>
      <w:bookmarkStart w:id="58" w:name="_Toc326156176"/>
      <w:bookmarkStart w:id="59" w:name="_Toc326157473"/>
      <w:bookmarkStart w:id="60" w:name="_Toc326219473"/>
      <w:bookmarkStart w:id="61" w:name="_Toc326243413"/>
      <w:r w:rsidRPr="006B26B3">
        <w:rPr>
          <w:color w:val="000000" w:themeColor="text1"/>
        </w:rPr>
        <w:t xml:space="preserve">Material used by </w:t>
      </w:r>
      <w:r w:rsidR="004D035C">
        <w:rPr>
          <w:color w:val="000000" w:themeColor="text1"/>
        </w:rPr>
        <w:t>the NTC</w:t>
      </w:r>
      <w:r w:rsidRPr="006B26B3">
        <w:rPr>
          <w:color w:val="000000" w:themeColor="text1"/>
        </w:rPr>
        <w:t xml:space="preserve"> to be </w:t>
      </w:r>
      <w:r w:rsidR="004D035C" w:rsidRPr="006B26B3">
        <w:rPr>
          <w:color w:val="000000" w:themeColor="text1"/>
        </w:rPr>
        <w:t>u</w:t>
      </w:r>
      <w:r w:rsidR="004D035C">
        <w:rPr>
          <w:color w:val="000000" w:themeColor="text1"/>
        </w:rPr>
        <w:t>tilis</w:t>
      </w:r>
      <w:r w:rsidR="004D035C" w:rsidRPr="006B26B3">
        <w:rPr>
          <w:color w:val="000000" w:themeColor="text1"/>
        </w:rPr>
        <w:t>ed</w:t>
      </w:r>
      <w:r w:rsidRPr="006B26B3">
        <w:rPr>
          <w:color w:val="000000" w:themeColor="text1"/>
        </w:rPr>
        <w:t xml:space="preserve"> for ministerial decisions should mandatorily be made public.</w:t>
      </w:r>
      <w:bookmarkEnd w:id="51"/>
      <w:bookmarkEnd w:id="52"/>
      <w:bookmarkEnd w:id="53"/>
      <w:r w:rsidRPr="006B26B3">
        <w:rPr>
          <w:color w:val="000000" w:themeColor="text1"/>
        </w:rPr>
        <w:t xml:space="preserve"> </w:t>
      </w:r>
      <w:r w:rsidR="00AC7C8A" w:rsidRPr="006B26B3">
        <w:rPr>
          <w:color w:val="000000" w:themeColor="text1"/>
        </w:rPr>
        <w:t>I</w:t>
      </w:r>
      <w:r w:rsidRPr="006B26B3">
        <w:rPr>
          <w:color w:val="000000" w:themeColor="text1"/>
        </w:rPr>
        <w:t>mpacts must be assessed and reported in this material.</w:t>
      </w:r>
      <w:bookmarkEnd w:id="54"/>
      <w:bookmarkEnd w:id="55"/>
      <w:bookmarkEnd w:id="56"/>
      <w:bookmarkEnd w:id="57"/>
      <w:bookmarkEnd w:id="58"/>
      <w:bookmarkEnd w:id="59"/>
      <w:bookmarkEnd w:id="60"/>
      <w:bookmarkEnd w:id="61"/>
    </w:p>
    <w:p w:rsidR="00717A65" w:rsidRDefault="00717A65">
      <w:pPr>
        <w:rPr>
          <w:rFonts w:ascii="Arial" w:hAnsi="Arial" w:cs="Arial"/>
          <w:sz w:val="20"/>
          <w:szCs w:val="20"/>
        </w:rPr>
      </w:pPr>
    </w:p>
    <w:p w:rsidR="00DF6C5D" w:rsidRPr="00DF6C5D" w:rsidRDefault="00DF6C5D" w:rsidP="00EB0B2D">
      <w:pPr>
        <w:pStyle w:val="ATAHeading2"/>
        <w:numPr>
          <w:ilvl w:val="0"/>
          <w:numId w:val="3"/>
        </w:numPr>
      </w:pPr>
      <w:bookmarkStart w:id="62" w:name="_Toc325530357"/>
      <w:bookmarkStart w:id="63" w:name="_Toc325532644"/>
      <w:bookmarkStart w:id="64" w:name="_Toc325984603"/>
      <w:bookmarkStart w:id="65" w:name="_Toc326240357"/>
      <w:bookmarkEnd w:id="62"/>
      <w:bookmarkEnd w:id="63"/>
      <w:bookmarkEnd w:id="64"/>
      <w:r w:rsidRPr="00DF6C5D">
        <w:t>Seamless national economy objectives not prioritised</w:t>
      </w:r>
      <w:bookmarkEnd w:id="65"/>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With the government extolling a seamless national economy, and as the heavy vehicle industry supports all types of commerce in Australia, it has been a considerable failing that the NTC did not adhere to these agreed principles when reviewing regulation. In the work</w:t>
      </w:r>
      <w:r w:rsidR="001F437B">
        <w:rPr>
          <w:rFonts w:ascii="Arial" w:hAnsi="Arial" w:cs="Arial"/>
          <w:sz w:val="20"/>
          <w:szCs w:val="20"/>
        </w:rPr>
        <w:t>,</w:t>
      </w:r>
      <w:r w:rsidRPr="004D58E8">
        <w:rPr>
          <w:rFonts w:ascii="Arial" w:hAnsi="Arial" w:cs="Arial"/>
          <w:sz w:val="20"/>
          <w:szCs w:val="20"/>
        </w:rPr>
        <w:t xml:space="preserve"> there was no impact analysis in the paper presented to ministers</w:t>
      </w:r>
      <w:r w:rsidR="001F437B">
        <w:rPr>
          <w:rFonts w:ascii="Arial" w:hAnsi="Arial" w:cs="Arial"/>
          <w:sz w:val="20"/>
          <w:szCs w:val="20"/>
        </w:rPr>
        <w:t>,</w:t>
      </w:r>
      <w:r w:rsidRPr="004D58E8">
        <w:rPr>
          <w:rFonts w:ascii="Arial" w:hAnsi="Arial" w:cs="Arial"/>
          <w:sz w:val="20"/>
          <w:szCs w:val="20"/>
        </w:rPr>
        <w:t xml:space="preserve"> apart from state revenue effects.</w:t>
      </w:r>
    </w:p>
    <w:p w:rsidR="0040102E" w:rsidRPr="004D58E8" w:rsidRDefault="0040102E" w:rsidP="004D58E8">
      <w:pPr>
        <w:spacing w:line="269" w:lineRule="auto"/>
        <w:rPr>
          <w:rFonts w:ascii="Arial" w:hAnsi="Arial" w:cs="Arial"/>
          <w:sz w:val="20"/>
          <w:szCs w:val="20"/>
        </w:rPr>
      </w:pPr>
    </w:p>
    <w:p w:rsidR="00DF6C5D" w:rsidRPr="00DF6C5D" w:rsidRDefault="0040102E" w:rsidP="004D58E8">
      <w:pPr>
        <w:spacing w:line="269" w:lineRule="auto"/>
        <w:ind w:left="567" w:right="567"/>
        <w:rPr>
          <w:rFonts w:ascii="Arial" w:hAnsi="Arial" w:cs="Arial"/>
          <w:bCs/>
          <w:sz w:val="20"/>
          <w:szCs w:val="20"/>
        </w:rPr>
      </w:pPr>
      <w:bookmarkStart w:id="66" w:name="_Toc325530352"/>
      <w:bookmarkStart w:id="67" w:name="_Toc325532639"/>
      <w:bookmarkStart w:id="68" w:name="_Toc325984598"/>
      <w:r>
        <w:rPr>
          <w:rFonts w:ascii="Arial" w:hAnsi="Arial" w:cs="Arial"/>
          <w:bCs/>
          <w:sz w:val="20"/>
          <w:szCs w:val="20"/>
        </w:rPr>
        <w:t>‘</w:t>
      </w:r>
      <w:r w:rsidR="00DF6C5D" w:rsidRPr="00DF6C5D">
        <w:rPr>
          <w:rFonts w:ascii="Arial" w:hAnsi="Arial" w:cs="Arial"/>
          <w:bCs/>
          <w:sz w:val="20"/>
          <w:szCs w:val="20"/>
        </w:rPr>
        <w:t>The COAG reform agenda is intended to deliver more consistent regulation across jurisdictions and address unnecessary or poorly designed regulation, to reduce excessive compliance costs on business, restrictions on competition and distortions in the allocation of resources in the economy.</w:t>
      </w:r>
      <w:r>
        <w:rPr>
          <w:rFonts w:ascii="Arial" w:hAnsi="Arial" w:cs="Arial"/>
          <w:bCs/>
          <w:sz w:val="20"/>
          <w:szCs w:val="20"/>
        </w:rPr>
        <w:t>’</w:t>
      </w:r>
      <w:r w:rsidR="00DF6C5D" w:rsidRPr="004D58E8">
        <w:rPr>
          <w:rFonts w:ascii="Arial" w:hAnsi="Arial" w:cs="Arial"/>
          <w:bCs/>
          <w:sz w:val="20"/>
          <w:szCs w:val="20"/>
          <w:vertAlign w:val="superscript"/>
        </w:rPr>
        <w:footnoteReference w:id="2"/>
      </w:r>
      <w:bookmarkEnd w:id="66"/>
      <w:bookmarkEnd w:id="67"/>
      <w:bookmarkEnd w:id="68"/>
      <w:r w:rsidR="00DF6C5D" w:rsidRPr="004D58E8">
        <w:rPr>
          <w:rFonts w:ascii="Arial" w:hAnsi="Arial" w:cs="Arial"/>
          <w:bCs/>
          <w:sz w:val="20"/>
          <w:szCs w:val="20"/>
          <w:vertAlign w:val="superscript"/>
        </w:rPr>
        <w:t xml:space="preserve">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The effects of the charges </w:t>
      </w:r>
      <w:r w:rsidR="001F437B">
        <w:rPr>
          <w:rFonts w:ascii="Arial" w:hAnsi="Arial" w:cs="Arial"/>
          <w:sz w:val="20"/>
          <w:szCs w:val="20"/>
        </w:rPr>
        <w:t>m</w:t>
      </w:r>
      <w:r w:rsidRPr="004D58E8">
        <w:rPr>
          <w:rFonts w:ascii="Arial" w:hAnsi="Arial" w:cs="Arial"/>
          <w:sz w:val="20"/>
          <w:szCs w:val="20"/>
        </w:rPr>
        <w:t xml:space="preserve">inisters agreed to vote for are only </w:t>
      </w:r>
      <w:r w:rsidR="001F437B">
        <w:rPr>
          <w:rFonts w:ascii="Arial" w:hAnsi="Arial" w:cs="Arial"/>
          <w:sz w:val="20"/>
          <w:szCs w:val="20"/>
        </w:rPr>
        <w:t>now be</w:t>
      </w:r>
      <w:r w:rsidRPr="004D58E8">
        <w:rPr>
          <w:rFonts w:ascii="Arial" w:hAnsi="Arial" w:cs="Arial"/>
          <w:sz w:val="20"/>
          <w:szCs w:val="20"/>
        </w:rPr>
        <w:t xml:space="preserve">coming apparent as the ATA has enabled its </w:t>
      </w:r>
      <w:r w:rsidR="00666BF4" w:rsidRPr="004D58E8">
        <w:rPr>
          <w:rFonts w:ascii="Arial" w:hAnsi="Arial" w:cs="Arial"/>
          <w:sz w:val="20"/>
          <w:szCs w:val="20"/>
        </w:rPr>
        <w:t xml:space="preserve">members </w:t>
      </w:r>
      <w:r w:rsidRPr="004D58E8">
        <w:rPr>
          <w:rFonts w:ascii="Arial" w:hAnsi="Arial" w:cs="Arial"/>
          <w:sz w:val="20"/>
          <w:szCs w:val="20"/>
        </w:rPr>
        <w:t xml:space="preserve">associations to give operators a charges calculator showing how the new charges will affect heavy vehicle operators. </w:t>
      </w:r>
    </w:p>
    <w:p w:rsidR="0070157F" w:rsidRDefault="0070157F">
      <w:pPr>
        <w:rPr>
          <w:rFonts w:ascii="Arial" w:hAnsi="Arial" w:cs="Arial"/>
          <w:sz w:val="20"/>
          <w:szCs w:val="20"/>
        </w:rPr>
      </w:pPr>
      <w:r>
        <w:rPr>
          <w:rFonts w:ascii="Arial" w:hAnsi="Arial" w:cs="Arial"/>
          <w:sz w:val="20"/>
          <w:szCs w:val="20"/>
        </w:rPr>
        <w:br w:type="page"/>
      </w:r>
    </w:p>
    <w:p w:rsidR="00DF6C5D" w:rsidRPr="004D58E8" w:rsidRDefault="00DF6C5D" w:rsidP="004D58E8">
      <w:pPr>
        <w:spacing w:line="269" w:lineRule="auto"/>
        <w:rPr>
          <w:rFonts w:ascii="Arial" w:hAnsi="Arial" w:cs="Arial"/>
          <w:sz w:val="20"/>
          <w:szCs w:val="20"/>
        </w:rPr>
      </w:pPr>
    </w:p>
    <w:p w:rsidR="00693CE9"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Viewing the case studies of the new charges (see </w:t>
      </w:r>
      <w:r w:rsidR="004D58E8">
        <w:rPr>
          <w:rFonts w:ascii="Arial" w:hAnsi="Arial" w:cs="Arial"/>
          <w:sz w:val="20"/>
          <w:szCs w:val="20"/>
        </w:rPr>
        <w:t>A</w:t>
      </w:r>
      <w:r w:rsidR="00735822">
        <w:rPr>
          <w:rFonts w:ascii="Arial" w:hAnsi="Arial" w:cs="Arial"/>
          <w:sz w:val="20"/>
          <w:szCs w:val="20"/>
        </w:rPr>
        <w:t>ttachment D</w:t>
      </w:r>
      <w:r w:rsidRPr="004D58E8">
        <w:rPr>
          <w:rFonts w:ascii="Arial" w:hAnsi="Arial" w:cs="Arial"/>
          <w:sz w:val="20"/>
          <w:szCs w:val="20"/>
        </w:rPr>
        <w:t xml:space="preserve">) the increased costs on operators will distort productivity, put the viability of running a business in jeopardy and hugely disadvantage regional operators (even with concessions given to primary producers). The unjustified excesses of the charges outcome will disadvantage Australia and its people as transport costs will be unnecessarily inflated. </w:t>
      </w:r>
    </w:p>
    <w:p w:rsidR="0040102E" w:rsidRPr="009F0928" w:rsidRDefault="0040102E" w:rsidP="00EB0B2D">
      <w:pPr>
        <w:pStyle w:val="RecommendationStyle"/>
        <w:tabs>
          <w:tab w:val="clear" w:pos="57"/>
        </w:tabs>
      </w:pPr>
      <w:bookmarkStart w:id="69" w:name="_Toc326136531"/>
      <w:bookmarkStart w:id="70" w:name="_Toc326137001"/>
      <w:bookmarkStart w:id="71" w:name="_Toc326156177"/>
      <w:bookmarkStart w:id="72" w:name="_Toc326157474"/>
      <w:bookmarkStart w:id="73" w:name="_Toc326219474"/>
      <w:bookmarkStart w:id="74" w:name="_Toc326243414"/>
      <w:bookmarkEnd w:id="69"/>
      <w:bookmarkEnd w:id="70"/>
      <w:bookmarkEnd w:id="71"/>
      <w:bookmarkEnd w:id="72"/>
      <w:bookmarkEnd w:id="73"/>
      <w:bookmarkEnd w:id="74"/>
    </w:p>
    <w:p w:rsidR="0040102E" w:rsidRPr="006B26B3" w:rsidRDefault="0040102E" w:rsidP="006B26B3">
      <w:pPr>
        <w:pStyle w:val="RecommendationStyle2"/>
        <w:spacing w:line="269" w:lineRule="auto"/>
        <w:jc w:val="left"/>
        <w:rPr>
          <w:color w:val="000000" w:themeColor="text1"/>
        </w:rPr>
      </w:pPr>
      <w:bookmarkStart w:id="75" w:name="_Toc325467714"/>
      <w:bookmarkStart w:id="76" w:name="_Toc325530356"/>
      <w:bookmarkStart w:id="77" w:name="_Toc325532643"/>
      <w:bookmarkStart w:id="78" w:name="_Toc325984602"/>
      <w:bookmarkStart w:id="79" w:name="_Toc326136532"/>
      <w:bookmarkStart w:id="80" w:name="_Toc326137002"/>
      <w:bookmarkStart w:id="81" w:name="_Toc326156178"/>
      <w:bookmarkStart w:id="82" w:name="_Toc326157475"/>
      <w:bookmarkStart w:id="83" w:name="_Toc326219475"/>
      <w:bookmarkStart w:id="84" w:name="_Toc326243415"/>
      <w:r w:rsidRPr="006B26B3">
        <w:rPr>
          <w:color w:val="000000" w:themeColor="text1"/>
        </w:rPr>
        <w:t>In regulatory review COAG principles of a seamless national economy should be adhered to.</w:t>
      </w:r>
      <w:bookmarkEnd w:id="75"/>
      <w:bookmarkEnd w:id="76"/>
      <w:bookmarkEnd w:id="77"/>
      <w:bookmarkEnd w:id="78"/>
      <w:bookmarkEnd w:id="79"/>
      <w:bookmarkEnd w:id="80"/>
      <w:bookmarkEnd w:id="81"/>
      <w:bookmarkEnd w:id="82"/>
      <w:bookmarkEnd w:id="83"/>
      <w:bookmarkEnd w:id="84"/>
      <w:r w:rsidRPr="006B26B3">
        <w:rPr>
          <w:color w:val="000000" w:themeColor="text1"/>
        </w:rPr>
        <w:t xml:space="preserve"> </w:t>
      </w:r>
    </w:p>
    <w:p w:rsidR="0040102E" w:rsidRPr="004D58E8" w:rsidRDefault="0040102E" w:rsidP="004D58E8">
      <w:pPr>
        <w:spacing w:line="269" w:lineRule="auto"/>
        <w:rPr>
          <w:rFonts w:ascii="Arial" w:hAnsi="Arial" w:cs="Arial"/>
          <w:sz w:val="20"/>
          <w:szCs w:val="20"/>
        </w:rPr>
      </w:pPr>
    </w:p>
    <w:p w:rsidR="00DF6C5D" w:rsidRDefault="00DF6C5D" w:rsidP="00EB0B2D">
      <w:pPr>
        <w:pStyle w:val="ATAHeading2"/>
        <w:numPr>
          <w:ilvl w:val="0"/>
          <w:numId w:val="3"/>
        </w:numPr>
      </w:pPr>
      <w:bookmarkStart w:id="85" w:name="_Toc325530365"/>
      <w:bookmarkStart w:id="86" w:name="_Toc325532652"/>
      <w:bookmarkStart w:id="87" w:name="_Toc325984613"/>
      <w:bookmarkStart w:id="88" w:name="_Toc326240358"/>
      <w:bookmarkEnd w:id="85"/>
      <w:bookmarkEnd w:id="86"/>
      <w:bookmarkEnd w:id="87"/>
      <w:r>
        <w:t>Deadline for industry response</w:t>
      </w:r>
      <w:bookmarkEnd w:id="88"/>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Even though the issue was important, the public discussion and issues paper which industry could make comment on was only released in late December with 6 weeks to review it. In reality, given the Christmas break period, this gave indust</w:t>
      </w:r>
      <w:r w:rsidR="004D035C">
        <w:rPr>
          <w:rFonts w:ascii="Arial" w:hAnsi="Arial" w:cs="Arial"/>
          <w:sz w:val="20"/>
          <w:szCs w:val="20"/>
        </w:rPr>
        <w:t xml:space="preserve">ry around 3-4 weeks to review. </w:t>
      </w:r>
      <w:r w:rsidR="00B811F8">
        <w:rPr>
          <w:rFonts w:ascii="Arial" w:hAnsi="Arial" w:cs="Arial"/>
          <w:sz w:val="20"/>
          <w:szCs w:val="20"/>
        </w:rPr>
        <w:t xml:space="preserve">Releasing the paper for review in December and expecting submissions by early January is poor timing. </w:t>
      </w:r>
      <w:r w:rsidR="00B811F8" w:rsidRPr="00B811F8">
        <w:rPr>
          <w:rFonts w:ascii="Arial" w:hAnsi="Arial" w:cs="Arial"/>
          <w:sz w:val="20"/>
          <w:szCs w:val="20"/>
        </w:rPr>
        <w:t>Interest groups</w:t>
      </w:r>
      <w:r w:rsidR="00B811F8">
        <w:rPr>
          <w:rFonts w:ascii="Arial" w:hAnsi="Arial" w:cs="Arial"/>
          <w:sz w:val="20"/>
          <w:szCs w:val="20"/>
        </w:rPr>
        <w:t xml:space="preserve"> are</w:t>
      </w:r>
      <w:r w:rsidR="00B811F8" w:rsidRPr="00B811F8">
        <w:rPr>
          <w:rFonts w:ascii="Arial" w:hAnsi="Arial" w:cs="Arial"/>
          <w:sz w:val="20"/>
          <w:szCs w:val="20"/>
        </w:rPr>
        <w:t xml:space="preserve"> not interested in preparing response</w:t>
      </w:r>
      <w:r w:rsidR="00B811F8">
        <w:rPr>
          <w:rFonts w:ascii="Arial" w:hAnsi="Arial" w:cs="Arial"/>
          <w:sz w:val="20"/>
          <w:szCs w:val="20"/>
        </w:rPr>
        <w:t>s</w:t>
      </w:r>
      <w:r w:rsidR="00B811F8" w:rsidRPr="00B811F8">
        <w:rPr>
          <w:rFonts w:ascii="Arial" w:hAnsi="Arial" w:cs="Arial"/>
          <w:sz w:val="20"/>
          <w:szCs w:val="20"/>
        </w:rPr>
        <w:t xml:space="preserve"> </w:t>
      </w:r>
      <w:r w:rsidR="00B811F8">
        <w:rPr>
          <w:rFonts w:ascii="Arial" w:hAnsi="Arial" w:cs="Arial"/>
          <w:sz w:val="20"/>
          <w:szCs w:val="20"/>
        </w:rPr>
        <w:t>over Christmas and this</w:t>
      </w:r>
      <w:r w:rsidR="00B811F8" w:rsidRPr="00B811F8">
        <w:rPr>
          <w:rFonts w:ascii="Arial" w:hAnsi="Arial" w:cs="Arial"/>
          <w:sz w:val="20"/>
          <w:szCs w:val="20"/>
        </w:rPr>
        <w:t xml:space="preserve"> reduces</w:t>
      </w:r>
      <w:r w:rsidR="00B811F8">
        <w:rPr>
          <w:rFonts w:ascii="Arial" w:hAnsi="Arial" w:cs="Arial"/>
          <w:sz w:val="20"/>
          <w:szCs w:val="20"/>
        </w:rPr>
        <w:t xml:space="preserve"> the</w:t>
      </w:r>
      <w:r w:rsidR="00B811F8" w:rsidRPr="00B811F8">
        <w:rPr>
          <w:rFonts w:ascii="Arial" w:hAnsi="Arial" w:cs="Arial"/>
          <w:sz w:val="20"/>
          <w:szCs w:val="20"/>
        </w:rPr>
        <w:t xml:space="preserve"> quality of response</w:t>
      </w:r>
      <w:r w:rsidR="00B811F8">
        <w:rPr>
          <w:rFonts w:ascii="Arial" w:hAnsi="Arial" w:cs="Arial"/>
          <w:sz w:val="20"/>
          <w:szCs w:val="20"/>
        </w:rPr>
        <w:t xml:space="preserve">.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When charge</w:t>
      </w:r>
      <w:r w:rsidR="001F437B">
        <w:rPr>
          <w:rFonts w:ascii="Arial" w:hAnsi="Arial" w:cs="Arial"/>
          <w:sz w:val="20"/>
          <w:szCs w:val="20"/>
        </w:rPr>
        <w:t>s</w:t>
      </w:r>
      <w:r w:rsidRPr="004D58E8">
        <w:rPr>
          <w:rFonts w:ascii="Arial" w:hAnsi="Arial" w:cs="Arial"/>
          <w:sz w:val="20"/>
          <w:szCs w:val="20"/>
        </w:rPr>
        <w:t xml:space="preserve"> and input figures included in the paper changed </w:t>
      </w:r>
      <w:r w:rsidR="00666BF4">
        <w:rPr>
          <w:rFonts w:ascii="Arial" w:hAnsi="Arial" w:cs="Arial"/>
          <w:sz w:val="20"/>
          <w:szCs w:val="20"/>
        </w:rPr>
        <w:t>(</w:t>
      </w:r>
      <w:r w:rsidRPr="004D58E8">
        <w:rPr>
          <w:rFonts w:ascii="Arial" w:hAnsi="Arial" w:cs="Arial"/>
          <w:sz w:val="20"/>
          <w:szCs w:val="20"/>
        </w:rPr>
        <w:t>at least five times</w:t>
      </w:r>
      <w:r w:rsidR="00666BF4">
        <w:rPr>
          <w:rFonts w:ascii="Arial" w:hAnsi="Arial" w:cs="Arial"/>
          <w:sz w:val="20"/>
          <w:szCs w:val="20"/>
        </w:rPr>
        <w:t xml:space="preserve"> throughout the process)</w:t>
      </w:r>
      <w:r w:rsidRPr="004D58E8">
        <w:rPr>
          <w:rFonts w:ascii="Arial" w:hAnsi="Arial" w:cs="Arial"/>
          <w:sz w:val="20"/>
          <w:szCs w:val="20"/>
        </w:rPr>
        <w:t xml:space="preserve">, it was very difficult to analyse the effects as </w:t>
      </w:r>
      <w:r w:rsidR="001F437B">
        <w:rPr>
          <w:rFonts w:ascii="Arial" w:hAnsi="Arial" w:cs="Arial"/>
          <w:sz w:val="20"/>
          <w:szCs w:val="20"/>
        </w:rPr>
        <w:t>the following</w:t>
      </w:r>
      <w:r w:rsidR="001F437B" w:rsidRPr="004D58E8">
        <w:rPr>
          <w:rFonts w:ascii="Arial" w:hAnsi="Arial" w:cs="Arial"/>
          <w:sz w:val="20"/>
          <w:szCs w:val="20"/>
        </w:rPr>
        <w:t xml:space="preserve"> </w:t>
      </w:r>
      <w:r w:rsidRPr="004D58E8">
        <w:rPr>
          <w:rFonts w:ascii="Arial" w:hAnsi="Arial" w:cs="Arial"/>
          <w:sz w:val="20"/>
          <w:szCs w:val="20"/>
        </w:rPr>
        <w:t xml:space="preserve">week the numbers were changed with no explanation. The last public release of new numbers and inputs was on the final day of consultation. Different numbers and inputs were used in the final report and recommendations to </w:t>
      </w:r>
      <w:r w:rsidR="001F437B">
        <w:rPr>
          <w:rFonts w:ascii="Arial" w:hAnsi="Arial" w:cs="Arial"/>
          <w:sz w:val="20"/>
          <w:szCs w:val="20"/>
        </w:rPr>
        <w:t>m</w:t>
      </w:r>
      <w:r w:rsidRPr="004D58E8">
        <w:rPr>
          <w:rFonts w:ascii="Arial" w:hAnsi="Arial" w:cs="Arial"/>
          <w:sz w:val="20"/>
          <w:szCs w:val="20"/>
        </w:rPr>
        <w:t xml:space="preserve">inisters. Hence, industry did not actually know the final recommendations prior to </w:t>
      </w:r>
      <w:r w:rsidR="001F437B">
        <w:rPr>
          <w:rFonts w:ascii="Arial" w:hAnsi="Arial" w:cs="Arial"/>
          <w:sz w:val="20"/>
          <w:szCs w:val="20"/>
        </w:rPr>
        <w:t>m</w:t>
      </w:r>
      <w:r w:rsidRPr="004D58E8">
        <w:rPr>
          <w:rFonts w:ascii="Arial" w:hAnsi="Arial" w:cs="Arial"/>
          <w:sz w:val="20"/>
          <w:szCs w:val="20"/>
        </w:rPr>
        <w:t>inister</w:t>
      </w:r>
      <w:r w:rsidR="001F437B">
        <w:rPr>
          <w:rFonts w:ascii="Arial" w:hAnsi="Arial" w:cs="Arial"/>
          <w:sz w:val="20"/>
          <w:szCs w:val="20"/>
        </w:rPr>
        <w:t>s</w:t>
      </w:r>
      <w:r w:rsidRPr="004D58E8">
        <w:rPr>
          <w:rFonts w:ascii="Arial" w:hAnsi="Arial" w:cs="Arial"/>
          <w:sz w:val="20"/>
          <w:szCs w:val="20"/>
        </w:rPr>
        <w:t xml:space="preserve"> voting on the recommendations. This is unsatisfactory. </w:t>
      </w:r>
      <w:r w:rsidR="00666BF4">
        <w:rPr>
          <w:rFonts w:ascii="Arial" w:hAnsi="Arial" w:cs="Arial"/>
          <w:sz w:val="20"/>
          <w:szCs w:val="20"/>
        </w:rPr>
        <w:t>M</w:t>
      </w:r>
      <w:r w:rsidRPr="004D58E8">
        <w:rPr>
          <w:rFonts w:ascii="Arial" w:hAnsi="Arial" w:cs="Arial"/>
          <w:sz w:val="20"/>
          <w:szCs w:val="20"/>
        </w:rPr>
        <w:t xml:space="preserve">ost small operators would not have the time to put resources to policy analysis and at such a hypothetical level that the NTC was discussing. </w:t>
      </w:r>
    </w:p>
    <w:p w:rsidR="00DF6C5D" w:rsidRPr="004D58E8" w:rsidRDefault="00DF6C5D" w:rsidP="004D58E8">
      <w:pPr>
        <w:spacing w:line="269" w:lineRule="auto"/>
        <w:rPr>
          <w:rFonts w:ascii="Arial" w:hAnsi="Arial" w:cs="Arial"/>
          <w:sz w:val="20"/>
          <w:szCs w:val="20"/>
        </w:rPr>
      </w:pP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The NTC have defended the very short time frame stakeholders were given to consider their proposals because of the </w:t>
      </w:r>
      <w:r w:rsidR="001F437B">
        <w:rPr>
          <w:rFonts w:ascii="Arial" w:hAnsi="Arial" w:cs="Arial"/>
          <w:sz w:val="20"/>
          <w:szCs w:val="20"/>
        </w:rPr>
        <w:t>O</w:t>
      </w:r>
      <w:r w:rsidRPr="004D58E8">
        <w:rPr>
          <w:rFonts w:ascii="Arial" w:hAnsi="Arial" w:cs="Arial"/>
          <w:sz w:val="20"/>
          <w:szCs w:val="20"/>
        </w:rPr>
        <w:t xml:space="preserve">ffice of </w:t>
      </w:r>
      <w:r w:rsidR="001F437B">
        <w:rPr>
          <w:rFonts w:ascii="Arial" w:hAnsi="Arial" w:cs="Arial"/>
          <w:sz w:val="20"/>
          <w:szCs w:val="20"/>
        </w:rPr>
        <w:t>B</w:t>
      </w:r>
      <w:r w:rsidRPr="004D58E8">
        <w:rPr>
          <w:rFonts w:ascii="Arial" w:hAnsi="Arial" w:cs="Arial"/>
          <w:sz w:val="20"/>
          <w:szCs w:val="20"/>
        </w:rPr>
        <w:t xml:space="preserve">est </w:t>
      </w:r>
      <w:r w:rsidR="001F437B">
        <w:rPr>
          <w:rFonts w:ascii="Arial" w:hAnsi="Arial" w:cs="Arial"/>
          <w:sz w:val="20"/>
          <w:szCs w:val="20"/>
        </w:rPr>
        <w:t>P</w:t>
      </w:r>
      <w:r w:rsidRPr="004D58E8">
        <w:rPr>
          <w:rFonts w:ascii="Arial" w:hAnsi="Arial" w:cs="Arial"/>
          <w:sz w:val="20"/>
          <w:szCs w:val="20"/>
        </w:rPr>
        <w:t xml:space="preserve">ractice </w:t>
      </w:r>
      <w:r w:rsidR="001F437B">
        <w:rPr>
          <w:rFonts w:ascii="Arial" w:hAnsi="Arial" w:cs="Arial"/>
          <w:sz w:val="20"/>
          <w:szCs w:val="20"/>
        </w:rPr>
        <w:t>R</w:t>
      </w:r>
      <w:r w:rsidRPr="004D58E8">
        <w:rPr>
          <w:rFonts w:ascii="Arial" w:hAnsi="Arial" w:cs="Arial"/>
          <w:sz w:val="20"/>
          <w:szCs w:val="20"/>
        </w:rPr>
        <w:t>egulation (OBPR) advice that altered what options could be included, as well as stating that the knock</w:t>
      </w:r>
      <w:r w:rsidR="001F437B">
        <w:rPr>
          <w:rFonts w:ascii="Arial" w:hAnsi="Arial" w:cs="Arial"/>
          <w:sz w:val="20"/>
          <w:szCs w:val="20"/>
        </w:rPr>
        <w:t>-</w:t>
      </w:r>
      <w:r w:rsidRPr="004D58E8">
        <w:rPr>
          <w:rFonts w:ascii="Arial" w:hAnsi="Arial" w:cs="Arial"/>
          <w:sz w:val="20"/>
          <w:szCs w:val="20"/>
        </w:rPr>
        <w:t xml:space="preserve">back from the SCOTI meeting in October </w:t>
      </w:r>
      <w:r w:rsidR="001F437B">
        <w:rPr>
          <w:rFonts w:ascii="Arial" w:hAnsi="Arial" w:cs="Arial"/>
          <w:sz w:val="20"/>
          <w:szCs w:val="20"/>
        </w:rPr>
        <w:t>a</w:t>
      </w:r>
      <w:r w:rsidRPr="004D58E8">
        <w:rPr>
          <w:rFonts w:ascii="Arial" w:hAnsi="Arial" w:cs="Arial"/>
          <w:sz w:val="20"/>
          <w:szCs w:val="20"/>
        </w:rPr>
        <w:t xml:space="preserve">ffected what they were able to suggest. </w:t>
      </w:r>
    </w:p>
    <w:p w:rsidR="00DF6C5D" w:rsidRPr="004D58E8" w:rsidRDefault="00DF6C5D" w:rsidP="004D58E8">
      <w:pPr>
        <w:spacing w:line="269" w:lineRule="auto"/>
        <w:rPr>
          <w:rFonts w:ascii="Arial" w:hAnsi="Arial" w:cs="Arial"/>
          <w:sz w:val="20"/>
          <w:szCs w:val="20"/>
        </w:rPr>
      </w:pPr>
    </w:p>
    <w:p w:rsidR="005E7345" w:rsidRDefault="00DF6C5D" w:rsidP="004D58E8">
      <w:pPr>
        <w:spacing w:line="269" w:lineRule="auto"/>
        <w:rPr>
          <w:rFonts w:ascii="Arial" w:hAnsi="Arial" w:cs="Arial"/>
          <w:sz w:val="20"/>
          <w:szCs w:val="20"/>
        </w:rPr>
      </w:pPr>
      <w:r w:rsidRPr="004D58E8">
        <w:rPr>
          <w:rFonts w:ascii="Arial" w:hAnsi="Arial" w:cs="Arial"/>
          <w:sz w:val="20"/>
          <w:szCs w:val="20"/>
        </w:rPr>
        <w:t xml:space="preserve">The NTC made their own delays – failure to resolve the identified problem, failure to disclose </w:t>
      </w:r>
      <w:r w:rsidR="001F437B">
        <w:rPr>
          <w:rFonts w:ascii="Arial" w:hAnsi="Arial" w:cs="Arial"/>
          <w:sz w:val="20"/>
          <w:szCs w:val="20"/>
        </w:rPr>
        <w:t xml:space="preserve">the </w:t>
      </w:r>
      <w:r w:rsidRPr="004D58E8">
        <w:rPr>
          <w:rFonts w:ascii="Arial" w:hAnsi="Arial" w:cs="Arial"/>
          <w:sz w:val="20"/>
          <w:szCs w:val="20"/>
        </w:rPr>
        <w:t>nature of limited OBPR exemptions, failure to react to industry concerns about the same, failure to give industry valid</w:t>
      </w:r>
      <w:r w:rsidR="001F437B">
        <w:rPr>
          <w:rFonts w:ascii="Arial" w:hAnsi="Arial" w:cs="Arial"/>
          <w:sz w:val="20"/>
          <w:szCs w:val="20"/>
        </w:rPr>
        <w:t>,</w:t>
      </w:r>
      <w:r w:rsidRPr="004D58E8">
        <w:rPr>
          <w:rFonts w:ascii="Arial" w:hAnsi="Arial" w:cs="Arial"/>
          <w:sz w:val="20"/>
          <w:szCs w:val="20"/>
        </w:rPr>
        <w:t xml:space="preserve"> justifiable (concrete) numbers and denying release of the calculation spreadsheets (the </w:t>
      </w:r>
      <w:r w:rsidR="001F437B">
        <w:rPr>
          <w:rFonts w:ascii="Arial" w:hAnsi="Arial" w:cs="Arial"/>
          <w:sz w:val="20"/>
          <w:szCs w:val="20"/>
        </w:rPr>
        <w:t xml:space="preserve">charges </w:t>
      </w:r>
      <w:r w:rsidRPr="004D58E8">
        <w:rPr>
          <w:rFonts w:ascii="Arial" w:hAnsi="Arial" w:cs="Arial"/>
          <w:sz w:val="20"/>
          <w:szCs w:val="20"/>
        </w:rPr>
        <w:t>model) for public review. These decisions were their own to make. The industry and community will now pay the cost of these failures and the NTC carry</w:t>
      </w:r>
      <w:r w:rsidR="001F437B">
        <w:rPr>
          <w:rFonts w:ascii="Arial" w:hAnsi="Arial" w:cs="Arial"/>
          <w:sz w:val="20"/>
          <w:szCs w:val="20"/>
        </w:rPr>
        <w:t xml:space="preserve"> </w:t>
      </w:r>
      <w:r w:rsidRPr="004D58E8">
        <w:rPr>
          <w:rFonts w:ascii="Arial" w:hAnsi="Arial" w:cs="Arial"/>
          <w:sz w:val="20"/>
          <w:szCs w:val="20"/>
        </w:rPr>
        <w:t xml:space="preserve">on regardless, unless the Productivity Commission </w:t>
      </w:r>
      <w:r w:rsidR="001F437B">
        <w:rPr>
          <w:rFonts w:ascii="Arial" w:hAnsi="Arial" w:cs="Arial"/>
          <w:sz w:val="20"/>
          <w:szCs w:val="20"/>
        </w:rPr>
        <w:t xml:space="preserve">can </w:t>
      </w:r>
      <w:r w:rsidRPr="004D58E8">
        <w:rPr>
          <w:rFonts w:ascii="Arial" w:hAnsi="Arial" w:cs="Arial"/>
          <w:sz w:val="20"/>
          <w:szCs w:val="20"/>
        </w:rPr>
        <w:t>make recommendations for stronger RIS obligations</w:t>
      </w:r>
      <w:r w:rsidR="004D58E8">
        <w:rPr>
          <w:rFonts w:ascii="Arial" w:hAnsi="Arial" w:cs="Arial"/>
          <w:sz w:val="20"/>
          <w:szCs w:val="20"/>
        </w:rPr>
        <w:t xml:space="preserve"> on entities such as the NTC.</w:t>
      </w:r>
    </w:p>
    <w:p w:rsidR="00AC7C8A" w:rsidRDefault="00AC7C8A" w:rsidP="00EB0B2D">
      <w:pPr>
        <w:pStyle w:val="RecommendationStyle"/>
        <w:tabs>
          <w:tab w:val="clear" w:pos="57"/>
        </w:tabs>
      </w:pPr>
      <w:bookmarkStart w:id="89" w:name="_Toc326136533"/>
      <w:bookmarkStart w:id="90" w:name="_Toc326137003"/>
      <w:bookmarkStart w:id="91" w:name="_Toc326156179"/>
      <w:bookmarkStart w:id="92" w:name="_Toc326157476"/>
      <w:bookmarkStart w:id="93" w:name="_Toc326219476"/>
      <w:bookmarkStart w:id="94" w:name="_Toc326243416"/>
      <w:bookmarkEnd w:id="89"/>
      <w:bookmarkEnd w:id="90"/>
      <w:bookmarkEnd w:id="91"/>
      <w:bookmarkEnd w:id="92"/>
      <w:bookmarkEnd w:id="93"/>
      <w:bookmarkEnd w:id="94"/>
    </w:p>
    <w:p w:rsidR="00AC7C8A" w:rsidRPr="006B26B3" w:rsidRDefault="00AC7C8A" w:rsidP="006B26B3">
      <w:pPr>
        <w:pStyle w:val="RecommendationStyle2"/>
        <w:spacing w:line="269" w:lineRule="auto"/>
        <w:jc w:val="left"/>
        <w:rPr>
          <w:color w:val="000000" w:themeColor="text1"/>
        </w:rPr>
      </w:pPr>
      <w:bookmarkStart w:id="95" w:name="_Toc326136534"/>
      <w:bookmarkStart w:id="96" w:name="_Toc326137004"/>
      <w:bookmarkStart w:id="97" w:name="_Toc326156180"/>
      <w:bookmarkStart w:id="98" w:name="_Toc326157477"/>
      <w:bookmarkStart w:id="99" w:name="_Toc326219477"/>
      <w:bookmarkStart w:id="100" w:name="_Toc326243417"/>
      <w:r w:rsidRPr="006B26B3">
        <w:rPr>
          <w:color w:val="000000" w:themeColor="text1"/>
        </w:rPr>
        <w:t>Stakeholders should have adequate time to comment on papers for review.</w:t>
      </w:r>
      <w:bookmarkEnd w:id="95"/>
      <w:bookmarkEnd w:id="96"/>
      <w:bookmarkEnd w:id="97"/>
      <w:bookmarkEnd w:id="98"/>
      <w:bookmarkEnd w:id="99"/>
      <w:r w:rsidR="004D035C">
        <w:rPr>
          <w:color w:val="000000" w:themeColor="text1"/>
        </w:rPr>
        <w:t xml:space="preserve"> Consultation papers sho</w:t>
      </w:r>
      <w:r w:rsidR="0040152F">
        <w:rPr>
          <w:color w:val="000000" w:themeColor="text1"/>
        </w:rPr>
        <w:t>uld not be realised in December</w:t>
      </w:r>
      <w:r w:rsidR="004D035C">
        <w:rPr>
          <w:color w:val="000000" w:themeColor="text1"/>
        </w:rPr>
        <w:t xml:space="preserve"> with submissions due for </w:t>
      </w:r>
      <w:r w:rsidR="00B811F8">
        <w:rPr>
          <w:color w:val="000000" w:themeColor="text1"/>
        </w:rPr>
        <w:t xml:space="preserve">early </w:t>
      </w:r>
      <w:r w:rsidR="004D035C">
        <w:rPr>
          <w:color w:val="000000" w:themeColor="text1"/>
        </w:rPr>
        <w:t>January.</w:t>
      </w:r>
      <w:bookmarkEnd w:id="100"/>
      <w:r w:rsidR="004D035C">
        <w:rPr>
          <w:color w:val="000000" w:themeColor="text1"/>
        </w:rPr>
        <w:t xml:space="preserve"> </w:t>
      </w:r>
    </w:p>
    <w:p w:rsidR="00AC7C8A" w:rsidRPr="00AC7C8A" w:rsidRDefault="00AC7C8A" w:rsidP="00EB0B2D">
      <w:pPr>
        <w:pStyle w:val="RecommendationStyle"/>
        <w:tabs>
          <w:tab w:val="clear" w:pos="57"/>
        </w:tabs>
      </w:pPr>
      <w:bookmarkStart w:id="101" w:name="_Toc326136535"/>
      <w:bookmarkStart w:id="102" w:name="_Toc326137005"/>
      <w:bookmarkStart w:id="103" w:name="_Toc326156181"/>
      <w:bookmarkStart w:id="104" w:name="_Toc326157478"/>
      <w:bookmarkStart w:id="105" w:name="_Toc326219478"/>
      <w:bookmarkStart w:id="106" w:name="_Toc326243418"/>
      <w:bookmarkEnd w:id="101"/>
      <w:bookmarkEnd w:id="102"/>
      <w:bookmarkEnd w:id="103"/>
      <w:bookmarkEnd w:id="104"/>
      <w:bookmarkEnd w:id="105"/>
      <w:bookmarkEnd w:id="106"/>
    </w:p>
    <w:p w:rsidR="00AC7C8A" w:rsidRPr="006B26B3" w:rsidRDefault="00AC7C8A" w:rsidP="006B26B3">
      <w:pPr>
        <w:pStyle w:val="RecommendationStyle2"/>
        <w:spacing w:line="269" w:lineRule="auto"/>
        <w:jc w:val="left"/>
        <w:rPr>
          <w:color w:val="000000" w:themeColor="text1"/>
        </w:rPr>
      </w:pPr>
      <w:bookmarkStart w:id="107" w:name="_Toc326136536"/>
      <w:bookmarkStart w:id="108" w:name="_Toc326137006"/>
      <w:bookmarkStart w:id="109" w:name="_Toc326156182"/>
      <w:bookmarkStart w:id="110" w:name="_Toc326157479"/>
      <w:bookmarkStart w:id="111" w:name="_Toc326219479"/>
      <w:bookmarkStart w:id="112" w:name="_Toc326243419"/>
      <w:r w:rsidRPr="006B26B3">
        <w:rPr>
          <w:color w:val="000000" w:themeColor="text1"/>
        </w:rPr>
        <w:t>Changes to key impacts of agency reports once released should be limited and be explained to stakeholders.</w:t>
      </w:r>
      <w:bookmarkEnd w:id="107"/>
      <w:bookmarkEnd w:id="108"/>
      <w:bookmarkEnd w:id="109"/>
      <w:bookmarkEnd w:id="110"/>
      <w:bookmarkEnd w:id="111"/>
      <w:bookmarkEnd w:id="112"/>
      <w:r w:rsidRPr="006B26B3">
        <w:rPr>
          <w:color w:val="000000" w:themeColor="text1"/>
        </w:rPr>
        <w:t xml:space="preserve"> </w:t>
      </w:r>
    </w:p>
    <w:p w:rsidR="00AC7C8A" w:rsidRPr="00DF6C5D" w:rsidRDefault="00AC7C8A" w:rsidP="00EB0B2D">
      <w:pPr>
        <w:rPr>
          <w:rFonts w:ascii="Arial" w:hAnsi="Arial" w:cs="Arial"/>
          <w:bCs/>
          <w:sz w:val="20"/>
          <w:szCs w:val="20"/>
        </w:rPr>
      </w:pPr>
    </w:p>
    <w:p w:rsidR="00DF6C5D" w:rsidRDefault="007E5356" w:rsidP="00EB0B2D">
      <w:pPr>
        <w:pStyle w:val="ATAHeading2"/>
        <w:numPr>
          <w:ilvl w:val="0"/>
          <w:numId w:val="3"/>
        </w:numPr>
      </w:pPr>
      <w:bookmarkStart w:id="113" w:name="_Toc326240359"/>
      <w:r>
        <w:t>Purpose</w:t>
      </w:r>
      <w:r w:rsidR="00DF6C5D" w:rsidRPr="00DF6C5D">
        <w:t xml:space="preserve"> of solving issue forgotten</w:t>
      </w:r>
      <w:bookmarkEnd w:id="113"/>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t xml:space="preserve">The original objectives discussed at industry solution working groups, which included road agencies, aimed at solving the A-trailer problem; the original intentions of that consultation are obscured by what the NTC has produced. A whole </w:t>
      </w:r>
      <w:r w:rsidR="001F437B">
        <w:rPr>
          <w:rFonts w:ascii="Arial" w:hAnsi="Arial" w:cs="Arial"/>
          <w:sz w:val="20"/>
          <w:szCs w:val="20"/>
        </w:rPr>
        <w:t>separate</w:t>
      </w:r>
      <w:r w:rsidR="001F437B" w:rsidRPr="004D58E8">
        <w:rPr>
          <w:rFonts w:ascii="Arial" w:hAnsi="Arial" w:cs="Arial"/>
          <w:sz w:val="20"/>
          <w:szCs w:val="20"/>
        </w:rPr>
        <w:t xml:space="preserve"> </w:t>
      </w:r>
      <w:r w:rsidRPr="004D58E8">
        <w:rPr>
          <w:rFonts w:ascii="Arial" w:hAnsi="Arial" w:cs="Arial"/>
          <w:sz w:val="20"/>
          <w:szCs w:val="20"/>
        </w:rPr>
        <w:t>range of other issues have been ‘fixed’ by the NTC. The solution the NTC has presented is not a short term solution, it has been an excuse to implement non-</w:t>
      </w:r>
      <w:proofErr w:type="spellStart"/>
      <w:r w:rsidRPr="004D58E8">
        <w:rPr>
          <w:rFonts w:ascii="Arial" w:hAnsi="Arial" w:cs="Arial"/>
          <w:sz w:val="20"/>
          <w:szCs w:val="20"/>
        </w:rPr>
        <w:t>RIS’d</w:t>
      </w:r>
      <w:proofErr w:type="spellEnd"/>
      <w:r w:rsidRPr="004D58E8">
        <w:rPr>
          <w:rFonts w:ascii="Arial" w:hAnsi="Arial" w:cs="Arial"/>
          <w:sz w:val="20"/>
          <w:szCs w:val="20"/>
        </w:rPr>
        <w:t xml:space="preserve"> regulatory changes onto industry that takes additional unjustified rev</w:t>
      </w:r>
      <w:r w:rsidR="001F437B">
        <w:rPr>
          <w:rFonts w:ascii="Arial" w:hAnsi="Arial" w:cs="Arial"/>
          <w:sz w:val="20"/>
          <w:szCs w:val="20"/>
        </w:rPr>
        <w:t>en</w:t>
      </w:r>
      <w:r w:rsidRPr="004D58E8">
        <w:rPr>
          <w:rFonts w:ascii="Arial" w:hAnsi="Arial" w:cs="Arial"/>
          <w:sz w:val="20"/>
          <w:szCs w:val="20"/>
        </w:rPr>
        <w:t xml:space="preserve">ue. </w:t>
      </w:r>
    </w:p>
    <w:p w:rsidR="00BC3A77" w:rsidRDefault="00BC3A77">
      <w:pPr>
        <w:rPr>
          <w:rFonts w:ascii="Arial" w:hAnsi="Arial" w:cs="Arial"/>
          <w:sz w:val="20"/>
          <w:szCs w:val="20"/>
        </w:rPr>
      </w:pPr>
      <w:r>
        <w:rPr>
          <w:rFonts w:ascii="Arial" w:hAnsi="Arial" w:cs="Arial"/>
          <w:sz w:val="20"/>
          <w:szCs w:val="20"/>
        </w:rPr>
        <w:br w:type="page"/>
      </w:r>
    </w:p>
    <w:p w:rsidR="00DF6C5D" w:rsidRPr="004D58E8" w:rsidRDefault="00DF6C5D" w:rsidP="004D58E8">
      <w:pPr>
        <w:spacing w:line="269" w:lineRule="auto"/>
        <w:rPr>
          <w:rFonts w:ascii="Arial" w:hAnsi="Arial" w:cs="Arial"/>
          <w:sz w:val="20"/>
          <w:szCs w:val="20"/>
        </w:rPr>
      </w:pPr>
      <w:r w:rsidRPr="004D58E8">
        <w:rPr>
          <w:rFonts w:ascii="Arial" w:hAnsi="Arial" w:cs="Arial"/>
          <w:sz w:val="20"/>
          <w:szCs w:val="20"/>
        </w:rPr>
        <w:lastRenderedPageBreak/>
        <w:t xml:space="preserve">Media releases from the </w:t>
      </w:r>
      <w:r w:rsidR="00CB75F5" w:rsidRPr="004D58E8">
        <w:rPr>
          <w:rFonts w:ascii="Arial" w:hAnsi="Arial" w:cs="Arial"/>
          <w:sz w:val="20"/>
          <w:szCs w:val="20"/>
        </w:rPr>
        <w:t xml:space="preserve">NTC would </w:t>
      </w:r>
      <w:r w:rsidR="001F437B">
        <w:rPr>
          <w:rFonts w:ascii="Arial" w:hAnsi="Arial" w:cs="Arial"/>
          <w:sz w:val="20"/>
          <w:szCs w:val="20"/>
        </w:rPr>
        <w:t>suggest</w:t>
      </w:r>
      <w:r w:rsidR="001F437B" w:rsidRPr="004D58E8">
        <w:rPr>
          <w:rFonts w:ascii="Arial" w:hAnsi="Arial" w:cs="Arial"/>
          <w:sz w:val="20"/>
          <w:szCs w:val="20"/>
        </w:rPr>
        <w:t xml:space="preserve"> </w:t>
      </w:r>
      <w:r w:rsidR="00CB75F5" w:rsidRPr="004D58E8">
        <w:rPr>
          <w:rFonts w:ascii="Arial" w:hAnsi="Arial" w:cs="Arial"/>
          <w:sz w:val="20"/>
          <w:szCs w:val="20"/>
        </w:rPr>
        <w:t>they</w:t>
      </w:r>
      <w:r w:rsidRPr="004D58E8">
        <w:rPr>
          <w:rFonts w:ascii="Arial" w:hAnsi="Arial" w:cs="Arial"/>
          <w:sz w:val="20"/>
          <w:szCs w:val="20"/>
        </w:rPr>
        <w:t xml:space="preserve"> accomplished</w:t>
      </w:r>
      <w:r w:rsidR="00CB75F5" w:rsidRPr="004D58E8">
        <w:rPr>
          <w:rFonts w:ascii="Arial" w:hAnsi="Arial" w:cs="Arial"/>
          <w:sz w:val="20"/>
          <w:szCs w:val="20"/>
        </w:rPr>
        <w:t xml:space="preserve"> solving the decline in productivity</w:t>
      </w:r>
      <w:r w:rsidRPr="004D58E8">
        <w:rPr>
          <w:rFonts w:ascii="Arial" w:hAnsi="Arial" w:cs="Arial"/>
          <w:sz w:val="20"/>
          <w:szCs w:val="20"/>
        </w:rPr>
        <w:t>. ‘Ministers halve A-trailer registration charges'</w:t>
      </w:r>
      <w:r w:rsidRPr="0022195F">
        <w:rPr>
          <w:rFonts w:ascii="Arial" w:hAnsi="Arial" w:cs="Arial"/>
          <w:sz w:val="20"/>
          <w:szCs w:val="20"/>
          <w:vertAlign w:val="superscript"/>
        </w:rPr>
        <w:footnoteReference w:id="3"/>
      </w:r>
      <w:r w:rsidRPr="004D58E8">
        <w:rPr>
          <w:rFonts w:ascii="Arial" w:hAnsi="Arial" w:cs="Arial"/>
          <w:sz w:val="20"/>
          <w:szCs w:val="20"/>
        </w:rPr>
        <w:t xml:space="preserve">. That is not the only </w:t>
      </w:r>
      <w:r w:rsidR="00F84F6B">
        <w:rPr>
          <w:rFonts w:ascii="Arial" w:hAnsi="Arial" w:cs="Arial"/>
          <w:sz w:val="20"/>
          <w:szCs w:val="20"/>
        </w:rPr>
        <w:t>modification to charges made;</w:t>
      </w:r>
      <w:r w:rsidR="00F84F6B" w:rsidRPr="004D58E8">
        <w:rPr>
          <w:rFonts w:ascii="Arial" w:hAnsi="Arial" w:cs="Arial"/>
          <w:sz w:val="20"/>
          <w:szCs w:val="20"/>
        </w:rPr>
        <w:t xml:space="preserve"> </w:t>
      </w:r>
      <w:r w:rsidR="00F84F6B">
        <w:rPr>
          <w:rFonts w:ascii="Arial" w:hAnsi="Arial" w:cs="Arial"/>
          <w:sz w:val="20"/>
          <w:szCs w:val="20"/>
        </w:rPr>
        <w:t>other</w:t>
      </w:r>
      <w:r w:rsidRPr="004D58E8">
        <w:rPr>
          <w:rFonts w:ascii="Arial" w:hAnsi="Arial" w:cs="Arial"/>
          <w:sz w:val="20"/>
          <w:szCs w:val="20"/>
        </w:rPr>
        <w:t xml:space="preserve"> changes have superseded </w:t>
      </w:r>
      <w:r w:rsidR="00FC6F68">
        <w:rPr>
          <w:rFonts w:ascii="Arial" w:hAnsi="Arial" w:cs="Arial"/>
          <w:sz w:val="20"/>
          <w:szCs w:val="20"/>
        </w:rPr>
        <w:t>the adjustment to A-trailers, meaning every single operator will be negatively impacted by the change.</w:t>
      </w:r>
    </w:p>
    <w:p w:rsidR="00DF6C5D" w:rsidRPr="0022195F" w:rsidRDefault="00DF6C5D" w:rsidP="00753FA4">
      <w:pPr>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We can understand </w:t>
      </w:r>
      <w:r w:rsidR="00FC6F68">
        <w:rPr>
          <w:rFonts w:ascii="Arial" w:hAnsi="Arial" w:cs="Arial"/>
          <w:sz w:val="20"/>
          <w:szCs w:val="20"/>
        </w:rPr>
        <w:t>m</w:t>
      </w:r>
      <w:r w:rsidRPr="0022195F">
        <w:rPr>
          <w:rFonts w:ascii="Arial" w:hAnsi="Arial" w:cs="Arial"/>
          <w:sz w:val="20"/>
          <w:szCs w:val="20"/>
        </w:rPr>
        <w:t>inisters wanting additional revenue, but revenue take ha</w:t>
      </w:r>
      <w:r w:rsidR="00FC6F68">
        <w:rPr>
          <w:rFonts w:ascii="Arial" w:hAnsi="Arial" w:cs="Arial"/>
          <w:sz w:val="20"/>
          <w:szCs w:val="20"/>
        </w:rPr>
        <w:t>s</w:t>
      </w:r>
      <w:r w:rsidRPr="0022195F">
        <w:rPr>
          <w:rFonts w:ascii="Arial" w:hAnsi="Arial" w:cs="Arial"/>
          <w:sz w:val="20"/>
          <w:szCs w:val="20"/>
        </w:rPr>
        <w:t xml:space="preserve"> consequences</w:t>
      </w:r>
      <w:r w:rsidR="00FC6F68">
        <w:rPr>
          <w:rFonts w:ascii="Arial" w:hAnsi="Arial" w:cs="Arial"/>
          <w:sz w:val="20"/>
          <w:szCs w:val="20"/>
        </w:rPr>
        <w:t>,</w:t>
      </w:r>
      <w:r w:rsidRPr="0022195F">
        <w:rPr>
          <w:rFonts w:ascii="Arial" w:hAnsi="Arial" w:cs="Arial"/>
          <w:sz w:val="20"/>
          <w:szCs w:val="20"/>
        </w:rPr>
        <w:t xml:space="preserve"> and </w:t>
      </w:r>
      <w:r w:rsidR="00FC6F68">
        <w:rPr>
          <w:rFonts w:ascii="Arial" w:hAnsi="Arial" w:cs="Arial"/>
          <w:sz w:val="20"/>
          <w:szCs w:val="20"/>
        </w:rPr>
        <w:t>ministers</w:t>
      </w:r>
      <w:r w:rsidR="00FC6F68" w:rsidRPr="0022195F">
        <w:rPr>
          <w:rFonts w:ascii="Arial" w:hAnsi="Arial" w:cs="Arial"/>
          <w:sz w:val="20"/>
          <w:szCs w:val="20"/>
        </w:rPr>
        <w:t xml:space="preserve"> </w:t>
      </w:r>
      <w:r w:rsidRPr="0022195F">
        <w:rPr>
          <w:rFonts w:ascii="Arial" w:hAnsi="Arial" w:cs="Arial"/>
          <w:sz w:val="20"/>
          <w:szCs w:val="20"/>
        </w:rPr>
        <w:t xml:space="preserve">should be made aware of these. Post regulatory impact review based upon industry request should be possible so failures or unintended adverse consequences can be raised and considered.  </w:t>
      </w:r>
      <w:bookmarkStart w:id="114" w:name="_Toc325467719"/>
      <w:bookmarkEnd w:id="114"/>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The problem of the decline in A-trailer use was downplayed in the issue</w:t>
      </w:r>
      <w:r w:rsidR="00FC6F68">
        <w:rPr>
          <w:rFonts w:ascii="Arial" w:hAnsi="Arial" w:cs="Arial"/>
          <w:sz w:val="20"/>
          <w:szCs w:val="20"/>
        </w:rPr>
        <w:t>s</w:t>
      </w:r>
      <w:r w:rsidRPr="0022195F">
        <w:rPr>
          <w:rFonts w:ascii="Arial" w:hAnsi="Arial" w:cs="Arial"/>
          <w:sz w:val="20"/>
          <w:szCs w:val="20"/>
        </w:rPr>
        <w:t xml:space="preserve"> paper and the SCOTI paper. The ATA and industry </w:t>
      </w:r>
      <w:r w:rsidR="00FC6F68">
        <w:rPr>
          <w:rFonts w:ascii="Arial" w:hAnsi="Arial" w:cs="Arial"/>
          <w:sz w:val="20"/>
          <w:szCs w:val="20"/>
        </w:rPr>
        <w:t>identified</w:t>
      </w:r>
      <w:r w:rsidR="00FC6F68" w:rsidRPr="0022195F">
        <w:rPr>
          <w:rFonts w:ascii="Arial" w:hAnsi="Arial" w:cs="Arial"/>
          <w:sz w:val="20"/>
          <w:szCs w:val="20"/>
        </w:rPr>
        <w:t xml:space="preserve"> </w:t>
      </w:r>
      <w:r w:rsidRPr="0022195F">
        <w:rPr>
          <w:rFonts w:ascii="Arial" w:hAnsi="Arial" w:cs="Arial"/>
          <w:sz w:val="20"/>
          <w:szCs w:val="20"/>
        </w:rPr>
        <w:t>the negative outcomes for industry, economy and the community of a move away from high productivity vehicles</w:t>
      </w:r>
      <w:r w:rsidR="00FC6F68">
        <w:rPr>
          <w:rFonts w:ascii="Arial" w:hAnsi="Arial" w:cs="Arial"/>
          <w:sz w:val="20"/>
          <w:szCs w:val="20"/>
        </w:rPr>
        <w:t>. T</w:t>
      </w:r>
      <w:r w:rsidRPr="0022195F">
        <w:rPr>
          <w:rFonts w:ascii="Arial" w:hAnsi="Arial" w:cs="Arial"/>
          <w:sz w:val="20"/>
          <w:szCs w:val="20"/>
        </w:rPr>
        <w:t xml:space="preserve">his was not mentioned in </w:t>
      </w:r>
      <w:r w:rsidR="00FC6F68">
        <w:rPr>
          <w:rFonts w:ascii="Arial" w:hAnsi="Arial" w:cs="Arial"/>
          <w:sz w:val="20"/>
          <w:szCs w:val="20"/>
        </w:rPr>
        <w:t xml:space="preserve">any of </w:t>
      </w:r>
      <w:r w:rsidRPr="0022195F">
        <w:rPr>
          <w:rFonts w:ascii="Arial" w:hAnsi="Arial" w:cs="Arial"/>
          <w:sz w:val="20"/>
          <w:szCs w:val="20"/>
        </w:rPr>
        <w:t xml:space="preserve">the papers, lessening </w:t>
      </w:r>
      <w:r w:rsidR="00FC6F68">
        <w:rPr>
          <w:rFonts w:ascii="Arial" w:hAnsi="Arial" w:cs="Arial"/>
          <w:sz w:val="20"/>
          <w:szCs w:val="20"/>
        </w:rPr>
        <w:t>m</w:t>
      </w:r>
      <w:r w:rsidRPr="0022195F">
        <w:rPr>
          <w:rFonts w:ascii="Arial" w:hAnsi="Arial" w:cs="Arial"/>
          <w:sz w:val="20"/>
          <w:szCs w:val="20"/>
        </w:rPr>
        <w:t>inister awareness of the need for action. (</w:t>
      </w:r>
      <w:proofErr w:type="gramStart"/>
      <w:r w:rsidRPr="0022195F">
        <w:rPr>
          <w:rFonts w:ascii="Arial" w:hAnsi="Arial" w:cs="Arial"/>
          <w:sz w:val="20"/>
          <w:szCs w:val="20"/>
        </w:rPr>
        <w:t>see</w:t>
      </w:r>
      <w:proofErr w:type="gramEnd"/>
      <w:r w:rsidRPr="0022195F">
        <w:rPr>
          <w:rFonts w:ascii="Arial" w:hAnsi="Arial" w:cs="Arial"/>
          <w:sz w:val="20"/>
          <w:szCs w:val="20"/>
        </w:rPr>
        <w:t xml:space="preserve"> </w:t>
      </w:r>
      <w:r w:rsidR="00FC6F68">
        <w:rPr>
          <w:rFonts w:ascii="Arial" w:hAnsi="Arial" w:cs="Arial"/>
          <w:sz w:val="20"/>
          <w:szCs w:val="20"/>
        </w:rPr>
        <w:t>A</w:t>
      </w:r>
      <w:r w:rsidRPr="0022195F">
        <w:rPr>
          <w:rFonts w:ascii="Arial" w:hAnsi="Arial" w:cs="Arial"/>
          <w:sz w:val="20"/>
          <w:szCs w:val="20"/>
        </w:rPr>
        <w:t>ttachment B). State associations also provided numerous personal case</w:t>
      </w:r>
      <w:r w:rsidR="00FC6F68">
        <w:rPr>
          <w:rFonts w:ascii="Arial" w:hAnsi="Arial" w:cs="Arial"/>
          <w:sz w:val="20"/>
          <w:szCs w:val="20"/>
        </w:rPr>
        <w:t xml:space="preserve"> </w:t>
      </w:r>
      <w:r w:rsidRPr="0022195F">
        <w:rPr>
          <w:rFonts w:ascii="Arial" w:hAnsi="Arial" w:cs="Arial"/>
          <w:sz w:val="20"/>
          <w:szCs w:val="20"/>
        </w:rPr>
        <w:t>s</w:t>
      </w:r>
      <w:r w:rsidR="00FC6F68">
        <w:rPr>
          <w:rFonts w:ascii="Arial" w:hAnsi="Arial" w:cs="Arial"/>
          <w:sz w:val="20"/>
          <w:szCs w:val="20"/>
        </w:rPr>
        <w:t>tudies</w:t>
      </w:r>
      <w:r w:rsidRPr="0022195F">
        <w:rPr>
          <w:rFonts w:ascii="Arial" w:hAnsi="Arial" w:cs="Arial"/>
          <w:sz w:val="20"/>
          <w:szCs w:val="20"/>
        </w:rPr>
        <w:t xml:space="preserve"> of operators explicitly stating what the A-trailer charge was doing to their business and livelihood. </w:t>
      </w:r>
    </w:p>
    <w:p w:rsidR="00DF6C5D" w:rsidRPr="0022195F" w:rsidRDefault="00DF6C5D" w:rsidP="0022195F">
      <w:pPr>
        <w:spacing w:line="269" w:lineRule="auto"/>
        <w:rPr>
          <w:rFonts w:ascii="Arial" w:hAnsi="Arial" w:cs="Arial"/>
          <w:sz w:val="20"/>
          <w:szCs w:val="20"/>
        </w:rPr>
      </w:pPr>
    </w:p>
    <w:p w:rsidR="00CB75F5" w:rsidRPr="0022195F" w:rsidRDefault="00DF6C5D" w:rsidP="0022195F">
      <w:pPr>
        <w:spacing w:line="269" w:lineRule="auto"/>
        <w:rPr>
          <w:rFonts w:ascii="Arial" w:hAnsi="Arial" w:cs="Arial"/>
          <w:sz w:val="20"/>
          <w:szCs w:val="20"/>
        </w:rPr>
      </w:pPr>
      <w:r w:rsidRPr="0022195F">
        <w:rPr>
          <w:rFonts w:ascii="Arial" w:hAnsi="Arial" w:cs="Arial"/>
          <w:sz w:val="20"/>
          <w:szCs w:val="20"/>
        </w:rPr>
        <w:t>Regulatory intervention was necessary</w:t>
      </w:r>
      <w:r w:rsidR="00FC6F68">
        <w:rPr>
          <w:rFonts w:ascii="Arial" w:hAnsi="Arial" w:cs="Arial"/>
          <w:sz w:val="20"/>
          <w:szCs w:val="20"/>
        </w:rPr>
        <w:t>,</w:t>
      </w:r>
      <w:r w:rsidRPr="0022195F">
        <w:rPr>
          <w:rFonts w:ascii="Arial" w:hAnsi="Arial" w:cs="Arial"/>
          <w:sz w:val="20"/>
          <w:szCs w:val="20"/>
        </w:rPr>
        <w:t xml:space="preserve"> and it is unclear why </w:t>
      </w:r>
      <w:r w:rsidR="00F84F6B">
        <w:rPr>
          <w:rFonts w:ascii="Arial" w:hAnsi="Arial" w:cs="Arial"/>
          <w:sz w:val="20"/>
          <w:szCs w:val="20"/>
        </w:rPr>
        <w:t>the work</w:t>
      </w:r>
      <w:r w:rsidRPr="0022195F">
        <w:rPr>
          <w:rFonts w:ascii="Arial" w:hAnsi="Arial" w:cs="Arial"/>
          <w:sz w:val="20"/>
          <w:szCs w:val="20"/>
        </w:rPr>
        <w:t xml:space="preserve"> did not include the wider picture of what the effect </w:t>
      </w:r>
      <w:r w:rsidR="00FC6F68">
        <w:rPr>
          <w:rFonts w:ascii="Arial" w:hAnsi="Arial" w:cs="Arial"/>
          <w:sz w:val="20"/>
          <w:szCs w:val="20"/>
        </w:rPr>
        <w:t>of</w:t>
      </w:r>
      <w:r w:rsidR="00FC6F68" w:rsidRPr="0022195F">
        <w:rPr>
          <w:rFonts w:ascii="Arial" w:hAnsi="Arial" w:cs="Arial"/>
          <w:sz w:val="20"/>
          <w:szCs w:val="20"/>
        </w:rPr>
        <w:t xml:space="preserve"> </w:t>
      </w:r>
      <w:r w:rsidRPr="0022195F">
        <w:rPr>
          <w:rFonts w:ascii="Arial" w:hAnsi="Arial" w:cs="Arial"/>
          <w:sz w:val="20"/>
          <w:szCs w:val="20"/>
        </w:rPr>
        <w:t xml:space="preserve">declined A-trailer use meant in terms of productivity, safety and environmental </w:t>
      </w:r>
      <w:r w:rsidR="00FC6F68">
        <w:rPr>
          <w:rFonts w:ascii="Arial" w:hAnsi="Arial" w:cs="Arial"/>
          <w:sz w:val="20"/>
          <w:szCs w:val="20"/>
        </w:rPr>
        <w:t>impacts</w:t>
      </w:r>
      <w:r w:rsidRPr="0022195F">
        <w:rPr>
          <w:rFonts w:ascii="Arial" w:hAnsi="Arial" w:cs="Arial"/>
          <w:sz w:val="20"/>
          <w:szCs w:val="20"/>
        </w:rPr>
        <w:t xml:space="preserve">. </w:t>
      </w:r>
    </w:p>
    <w:p w:rsidR="00693CE9" w:rsidRDefault="00693CE9" w:rsidP="00EB0B2D">
      <w:pPr>
        <w:pStyle w:val="RecommendationStyle"/>
        <w:tabs>
          <w:tab w:val="clear" w:pos="57"/>
        </w:tabs>
      </w:pPr>
      <w:bookmarkStart w:id="115" w:name="_Toc326137007"/>
      <w:bookmarkStart w:id="116" w:name="_Toc326156183"/>
      <w:bookmarkStart w:id="117" w:name="_Toc326157480"/>
      <w:bookmarkStart w:id="118" w:name="_Toc326219480"/>
      <w:bookmarkStart w:id="119" w:name="_Toc326243420"/>
      <w:bookmarkEnd w:id="115"/>
      <w:bookmarkEnd w:id="116"/>
      <w:bookmarkEnd w:id="117"/>
      <w:bookmarkEnd w:id="118"/>
      <w:bookmarkEnd w:id="119"/>
    </w:p>
    <w:p w:rsidR="00CB75F5" w:rsidRPr="006B26B3" w:rsidRDefault="00CB75F5" w:rsidP="006B26B3">
      <w:pPr>
        <w:pStyle w:val="RecommendationStyle2"/>
        <w:spacing w:line="269" w:lineRule="auto"/>
        <w:jc w:val="left"/>
        <w:rPr>
          <w:color w:val="000000" w:themeColor="text1"/>
        </w:rPr>
      </w:pPr>
      <w:bookmarkStart w:id="120" w:name="_Toc326137008"/>
      <w:bookmarkStart w:id="121" w:name="_Toc326156184"/>
      <w:bookmarkStart w:id="122" w:name="_Toc326157481"/>
      <w:bookmarkStart w:id="123" w:name="_Toc326219481"/>
      <w:bookmarkStart w:id="124" w:name="_Toc326243421"/>
      <w:r w:rsidRPr="006B26B3">
        <w:rPr>
          <w:color w:val="000000" w:themeColor="text1"/>
        </w:rPr>
        <w:t>Political spin and manipulation of the facts by agencies should be kept to a minimum.</w:t>
      </w:r>
      <w:bookmarkEnd w:id="120"/>
      <w:bookmarkEnd w:id="121"/>
      <w:bookmarkEnd w:id="122"/>
      <w:bookmarkEnd w:id="123"/>
      <w:bookmarkEnd w:id="124"/>
    </w:p>
    <w:p w:rsidR="00DF6C5D" w:rsidRPr="006B26B3" w:rsidRDefault="00DF6C5D" w:rsidP="00EB0B2D">
      <w:pPr>
        <w:rPr>
          <w:rFonts w:ascii="Arial" w:hAnsi="Arial" w:cs="Arial"/>
          <w:bCs/>
          <w:sz w:val="20"/>
          <w:szCs w:val="20"/>
        </w:rPr>
      </w:pPr>
    </w:p>
    <w:p w:rsidR="00DF6C5D" w:rsidRPr="00DF6C5D" w:rsidRDefault="00DF6C5D" w:rsidP="00EB0B2D">
      <w:pPr>
        <w:pStyle w:val="ATAHeading2"/>
        <w:numPr>
          <w:ilvl w:val="0"/>
          <w:numId w:val="3"/>
        </w:numPr>
      </w:pPr>
      <w:bookmarkStart w:id="125" w:name="_Toc326240360"/>
      <w:r w:rsidRPr="00DF6C5D">
        <w:t xml:space="preserve">ATA provided </w:t>
      </w:r>
      <w:r w:rsidR="00F84F6B">
        <w:t xml:space="preserve">methodology </w:t>
      </w:r>
      <w:r w:rsidRPr="00DF6C5D">
        <w:t>misused</w:t>
      </w:r>
      <w:bookmarkEnd w:id="125"/>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Since the March 2011 working groups, the ATA has provided the </w:t>
      </w:r>
      <w:r w:rsidR="00FC6F68">
        <w:rPr>
          <w:rFonts w:ascii="Arial" w:hAnsi="Arial" w:cs="Arial"/>
          <w:sz w:val="20"/>
          <w:szCs w:val="20"/>
        </w:rPr>
        <w:t>NTC</w:t>
      </w:r>
      <w:r w:rsidR="00FC6F68" w:rsidRPr="0022195F">
        <w:rPr>
          <w:rFonts w:ascii="Arial" w:hAnsi="Arial" w:cs="Arial"/>
          <w:sz w:val="20"/>
          <w:szCs w:val="20"/>
        </w:rPr>
        <w:t xml:space="preserve"> </w:t>
      </w:r>
      <w:r w:rsidRPr="0022195F">
        <w:rPr>
          <w:rFonts w:ascii="Arial" w:hAnsi="Arial" w:cs="Arial"/>
          <w:sz w:val="20"/>
          <w:szCs w:val="20"/>
        </w:rPr>
        <w:t>with</w:t>
      </w:r>
      <w:r w:rsidR="00FC6F68">
        <w:rPr>
          <w:rFonts w:ascii="Arial" w:hAnsi="Arial" w:cs="Arial"/>
          <w:sz w:val="20"/>
          <w:szCs w:val="20"/>
        </w:rPr>
        <w:t xml:space="preserve"> potential</w:t>
      </w:r>
      <w:r w:rsidRPr="0022195F">
        <w:rPr>
          <w:rFonts w:ascii="Arial" w:hAnsi="Arial" w:cs="Arial"/>
          <w:sz w:val="20"/>
          <w:szCs w:val="20"/>
        </w:rPr>
        <w:t xml:space="preserve"> solutions to solve the A-trailer crisis. In July 2011, the ATA gave the NTC an option that lowered A-trailer</w:t>
      </w:r>
      <w:r w:rsidR="00FC6F68">
        <w:rPr>
          <w:rFonts w:ascii="Arial" w:hAnsi="Arial" w:cs="Arial"/>
          <w:sz w:val="20"/>
          <w:szCs w:val="20"/>
        </w:rPr>
        <w:t xml:space="preserve"> charge</w:t>
      </w:r>
      <w:r w:rsidRPr="0022195F">
        <w:rPr>
          <w:rFonts w:ascii="Arial" w:hAnsi="Arial" w:cs="Arial"/>
          <w:sz w:val="20"/>
          <w:szCs w:val="20"/>
        </w:rPr>
        <w:t>s to equal semi-trailer</w:t>
      </w:r>
      <w:r w:rsidR="00FC6F68">
        <w:rPr>
          <w:rFonts w:ascii="Arial" w:hAnsi="Arial" w:cs="Arial"/>
          <w:sz w:val="20"/>
          <w:szCs w:val="20"/>
        </w:rPr>
        <w:t xml:space="preserve"> charge</w:t>
      </w:r>
      <w:r w:rsidRPr="0022195F">
        <w:rPr>
          <w:rFonts w:ascii="Arial" w:hAnsi="Arial" w:cs="Arial"/>
          <w:sz w:val="20"/>
          <w:szCs w:val="20"/>
        </w:rPr>
        <w:t>s and spread the change in revenue from this action across the remaining trailer</w:t>
      </w:r>
      <w:r w:rsidR="00FC6F68">
        <w:rPr>
          <w:rFonts w:ascii="Arial" w:hAnsi="Arial" w:cs="Arial"/>
          <w:sz w:val="20"/>
          <w:szCs w:val="20"/>
        </w:rPr>
        <w:t xml:space="preserve"> fleet</w:t>
      </w:r>
      <w:r w:rsidRPr="0022195F">
        <w:rPr>
          <w:rFonts w:ascii="Arial" w:hAnsi="Arial" w:cs="Arial"/>
          <w:sz w:val="20"/>
          <w:szCs w:val="20"/>
        </w:rPr>
        <w:t xml:space="preserve"> as a per axle trailer charge. This was how charges have previously been calculated, with a per axle charge. We provided a methodology and figures </w:t>
      </w:r>
      <w:r w:rsidR="00FC6F68">
        <w:rPr>
          <w:rFonts w:ascii="Arial" w:hAnsi="Arial" w:cs="Arial"/>
          <w:sz w:val="20"/>
          <w:szCs w:val="20"/>
        </w:rPr>
        <w:t>that</w:t>
      </w:r>
      <w:r w:rsidR="00FC6F68" w:rsidRPr="0022195F">
        <w:rPr>
          <w:rFonts w:ascii="Arial" w:hAnsi="Arial" w:cs="Arial"/>
          <w:sz w:val="20"/>
          <w:szCs w:val="20"/>
        </w:rPr>
        <w:t xml:space="preserve"> </w:t>
      </w:r>
      <w:r w:rsidRPr="0022195F">
        <w:rPr>
          <w:rFonts w:ascii="Arial" w:hAnsi="Arial" w:cs="Arial"/>
          <w:sz w:val="20"/>
          <w:szCs w:val="20"/>
        </w:rPr>
        <w:t>were rough but indicative, and given in good faith for further discussion and</w:t>
      </w:r>
      <w:r w:rsidR="00FC6F68">
        <w:rPr>
          <w:rFonts w:ascii="Arial" w:hAnsi="Arial" w:cs="Arial"/>
          <w:sz w:val="20"/>
          <w:szCs w:val="20"/>
        </w:rPr>
        <w:t xml:space="preserve"> anticipated</w:t>
      </w:r>
      <w:r w:rsidRPr="0022195F">
        <w:rPr>
          <w:rFonts w:ascii="Arial" w:hAnsi="Arial" w:cs="Arial"/>
          <w:sz w:val="20"/>
          <w:szCs w:val="20"/>
        </w:rPr>
        <w:t xml:space="preserve"> joint action to refine</w:t>
      </w:r>
      <w:r w:rsidR="00FC6F68">
        <w:rPr>
          <w:rFonts w:ascii="Arial" w:hAnsi="Arial" w:cs="Arial"/>
          <w:sz w:val="20"/>
          <w:szCs w:val="20"/>
        </w:rPr>
        <w:t xml:space="preserve"> and </w:t>
      </w:r>
      <w:r w:rsidRPr="0022195F">
        <w:rPr>
          <w:rFonts w:ascii="Arial" w:hAnsi="Arial" w:cs="Arial"/>
          <w:sz w:val="20"/>
          <w:szCs w:val="20"/>
        </w:rPr>
        <w:t xml:space="preserve">settle. </w:t>
      </w:r>
    </w:p>
    <w:p w:rsidR="00FB4862" w:rsidRDefault="00FB4862" w:rsidP="0022195F">
      <w:pPr>
        <w:spacing w:line="269" w:lineRule="auto"/>
        <w:rPr>
          <w:rFonts w:ascii="Arial" w:hAnsi="Arial" w:cs="Arial"/>
          <w:sz w:val="20"/>
          <w:szCs w:val="20"/>
        </w:rPr>
      </w:pPr>
    </w:p>
    <w:p w:rsidR="00DF6C5D" w:rsidRDefault="00E40ADF" w:rsidP="00E40ADF">
      <w:pPr>
        <w:spacing w:line="266" w:lineRule="auto"/>
        <w:rPr>
          <w:rFonts w:ascii="Arial" w:hAnsi="Arial" w:cs="Arial"/>
          <w:sz w:val="20"/>
          <w:szCs w:val="20"/>
        </w:rPr>
      </w:pPr>
      <w:r>
        <w:rPr>
          <w:rFonts w:ascii="Arial" w:hAnsi="Arial" w:cs="Arial"/>
          <w:sz w:val="20"/>
          <w:szCs w:val="20"/>
        </w:rPr>
        <w:t xml:space="preserve">Upon viewing the representation of the ATA model in the December issue paper, we questioned the </w:t>
      </w:r>
      <w:r w:rsidR="003A6D8A">
        <w:rPr>
          <w:rFonts w:ascii="Arial" w:hAnsi="Arial" w:cs="Arial"/>
          <w:sz w:val="20"/>
          <w:szCs w:val="20"/>
        </w:rPr>
        <w:t>reliability</w:t>
      </w:r>
      <w:r>
        <w:rPr>
          <w:rFonts w:ascii="Arial" w:hAnsi="Arial" w:cs="Arial"/>
          <w:sz w:val="20"/>
          <w:szCs w:val="20"/>
        </w:rPr>
        <w:t xml:space="preserve"> of the figures presented and therefore requested the NTC to not refer to a per axle charge as the ATA option. </w:t>
      </w:r>
    </w:p>
    <w:p w:rsidR="00E40ADF" w:rsidRPr="0022195F" w:rsidRDefault="00E40ADF" w:rsidP="00E40ADF">
      <w:pPr>
        <w:spacing w:line="266" w:lineRule="auto"/>
        <w:rPr>
          <w:rFonts w:ascii="Arial" w:hAnsi="Arial" w:cs="Arial"/>
          <w:sz w:val="20"/>
          <w:szCs w:val="20"/>
        </w:rPr>
      </w:pPr>
    </w:p>
    <w:p w:rsidR="005E7345"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In the February </w:t>
      </w:r>
      <w:r w:rsidR="00FC6F68">
        <w:rPr>
          <w:rFonts w:ascii="Arial" w:hAnsi="Arial" w:cs="Arial"/>
          <w:sz w:val="20"/>
          <w:szCs w:val="20"/>
        </w:rPr>
        <w:t xml:space="preserve">2012 </w:t>
      </w:r>
      <w:r w:rsidRPr="0022195F">
        <w:rPr>
          <w:rFonts w:ascii="Arial" w:hAnsi="Arial" w:cs="Arial"/>
          <w:sz w:val="20"/>
          <w:szCs w:val="20"/>
        </w:rPr>
        <w:t>SCOTI paper</w:t>
      </w:r>
      <w:r w:rsidR="00FC6F68">
        <w:rPr>
          <w:rFonts w:ascii="Arial" w:hAnsi="Arial" w:cs="Arial"/>
          <w:sz w:val="20"/>
          <w:szCs w:val="20"/>
        </w:rPr>
        <w:t>,</w:t>
      </w:r>
      <w:r w:rsidRPr="0022195F">
        <w:rPr>
          <w:rFonts w:ascii="Arial" w:hAnsi="Arial" w:cs="Arial"/>
          <w:sz w:val="20"/>
          <w:szCs w:val="20"/>
        </w:rPr>
        <w:t xml:space="preserve"> the original figures we provided as rough indicators of </w:t>
      </w:r>
      <w:r w:rsidR="00FC6F68">
        <w:rPr>
          <w:rFonts w:ascii="Arial" w:hAnsi="Arial" w:cs="Arial"/>
          <w:sz w:val="20"/>
          <w:szCs w:val="20"/>
        </w:rPr>
        <w:t xml:space="preserve">a </w:t>
      </w:r>
      <w:r w:rsidRPr="0022195F">
        <w:rPr>
          <w:rFonts w:ascii="Arial" w:hAnsi="Arial" w:cs="Arial"/>
          <w:sz w:val="20"/>
          <w:szCs w:val="20"/>
        </w:rPr>
        <w:t xml:space="preserve">methodology were presented as </w:t>
      </w:r>
      <w:r w:rsidR="00FC6F68">
        <w:rPr>
          <w:rFonts w:ascii="Arial" w:hAnsi="Arial" w:cs="Arial"/>
          <w:sz w:val="20"/>
          <w:szCs w:val="20"/>
        </w:rPr>
        <w:t>though</w:t>
      </w:r>
      <w:r w:rsidRPr="0022195F">
        <w:rPr>
          <w:rFonts w:ascii="Arial" w:hAnsi="Arial" w:cs="Arial"/>
          <w:sz w:val="20"/>
          <w:szCs w:val="20"/>
        </w:rPr>
        <w:t xml:space="preserve"> industry thought </w:t>
      </w:r>
      <w:r w:rsidR="00FC6F68">
        <w:rPr>
          <w:rFonts w:ascii="Arial" w:hAnsi="Arial" w:cs="Arial"/>
          <w:sz w:val="20"/>
          <w:szCs w:val="20"/>
        </w:rPr>
        <w:t>the figures were accurate</w:t>
      </w:r>
      <w:r w:rsidRPr="0022195F">
        <w:rPr>
          <w:rFonts w:ascii="Arial" w:hAnsi="Arial" w:cs="Arial"/>
          <w:sz w:val="20"/>
          <w:szCs w:val="20"/>
        </w:rPr>
        <w:t>. It was a very poor representation of what the ATA provided</w:t>
      </w:r>
      <w:r w:rsidR="00FC6F68">
        <w:rPr>
          <w:rFonts w:ascii="Arial" w:hAnsi="Arial" w:cs="Arial"/>
          <w:sz w:val="20"/>
          <w:szCs w:val="20"/>
        </w:rPr>
        <w:t>,</w:t>
      </w:r>
      <w:r w:rsidRPr="0022195F">
        <w:rPr>
          <w:rFonts w:ascii="Arial" w:hAnsi="Arial" w:cs="Arial"/>
          <w:sz w:val="20"/>
          <w:szCs w:val="20"/>
        </w:rPr>
        <w:t xml:space="preserve"> and was deliberately presented to discredit an option that solved the problem</w:t>
      </w:r>
      <w:r w:rsidR="00FC6F68">
        <w:rPr>
          <w:rFonts w:ascii="Arial" w:hAnsi="Arial" w:cs="Arial"/>
          <w:sz w:val="20"/>
          <w:szCs w:val="20"/>
        </w:rPr>
        <w:t>,</w:t>
      </w:r>
      <w:r w:rsidRPr="0022195F">
        <w:rPr>
          <w:rFonts w:ascii="Arial" w:hAnsi="Arial" w:cs="Arial"/>
          <w:sz w:val="20"/>
          <w:szCs w:val="20"/>
        </w:rPr>
        <w:t xml:space="preserve"> and would solve it without affecting those who do not </w:t>
      </w:r>
      <w:r w:rsidR="00FC6F68">
        <w:rPr>
          <w:rFonts w:ascii="Arial" w:hAnsi="Arial" w:cs="Arial"/>
          <w:sz w:val="20"/>
          <w:szCs w:val="20"/>
        </w:rPr>
        <w:t>use</w:t>
      </w:r>
      <w:r w:rsidR="00FC6F68" w:rsidRPr="0022195F">
        <w:rPr>
          <w:rFonts w:ascii="Arial" w:hAnsi="Arial" w:cs="Arial"/>
          <w:sz w:val="20"/>
          <w:szCs w:val="20"/>
        </w:rPr>
        <w:t xml:space="preserve"> </w:t>
      </w:r>
      <w:r w:rsidRPr="0022195F">
        <w:rPr>
          <w:rFonts w:ascii="Arial" w:hAnsi="Arial" w:cs="Arial"/>
          <w:sz w:val="20"/>
          <w:szCs w:val="20"/>
        </w:rPr>
        <w:t xml:space="preserve">trailers, thus isolating the effects of the reduction in A-trailers. </w:t>
      </w:r>
    </w:p>
    <w:p w:rsidR="005B35D2" w:rsidRPr="00E06B71" w:rsidRDefault="005B35D2" w:rsidP="00EB0B2D">
      <w:pPr>
        <w:pStyle w:val="RecommendationStyle"/>
        <w:tabs>
          <w:tab w:val="clear" w:pos="57"/>
        </w:tabs>
      </w:pPr>
      <w:bookmarkStart w:id="126" w:name="_Toc326135035"/>
      <w:bookmarkStart w:id="127" w:name="_Toc326136537"/>
      <w:bookmarkStart w:id="128" w:name="_Toc326137009"/>
      <w:bookmarkStart w:id="129" w:name="_Toc326156185"/>
      <w:bookmarkStart w:id="130" w:name="_Toc326157482"/>
      <w:bookmarkStart w:id="131" w:name="_Toc326219482"/>
      <w:bookmarkStart w:id="132" w:name="_Toc326243422"/>
      <w:bookmarkEnd w:id="126"/>
      <w:bookmarkEnd w:id="127"/>
      <w:bookmarkEnd w:id="128"/>
      <w:bookmarkEnd w:id="129"/>
      <w:bookmarkEnd w:id="130"/>
      <w:bookmarkEnd w:id="131"/>
      <w:bookmarkEnd w:id="132"/>
    </w:p>
    <w:p w:rsidR="005B35D2" w:rsidRPr="006B26B3" w:rsidRDefault="005B35D2" w:rsidP="006B26B3">
      <w:pPr>
        <w:pStyle w:val="RecommendationStyle2"/>
        <w:spacing w:line="269" w:lineRule="auto"/>
        <w:jc w:val="left"/>
        <w:rPr>
          <w:color w:val="000000" w:themeColor="text1"/>
        </w:rPr>
      </w:pPr>
      <w:bookmarkStart w:id="133" w:name="_Toc325530366"/>
      <w:bookmarkStart w:id="134" w:name="_Toc325532653"/>
      <w:bookmarkStart w:id="135" w:name="_Toc325984614"/>
      <w:bookmarkStart w:id="136" w:name="_Toc326135036"/>
      <w:bookmarkStart w:id="137" w:name="_Toc326136538"/>
      <w:bookmarkStart w:id="138" w:name="_Toc326137010"/>
      <w:bookmarkStart w:id="139" w:name="_Toc326156186"/>
      <w:bookmarkStart w:id="140" w:name="_Toc326157483"/>
      <w:bookmarkStart w:id="141" w:name="_Toc326219483"/>
      <w:bookmarkStart w:id="142" w:name="_Toc326243423"/>
      <w:r w:rsidRPr="006B26B3">
        <w:rPr>
          <w:color w:val="000000" w:themeColor="text1"/>
        </w:rPr>
        <w:t xml:space="preserve">If government agencies wish to consult with </w:t>
      </w:r>
      <w:r w:rsidR="00AC7C8A" w:rsidRPr="006B26B3">
        <w:rPr>
          <w:color w:val="000000" w:themeColor="text1"/>
        </w:rPr>
        <w:t xml:space="preserve">stakeholders </w:t>
      </w:r>
      <w:r w:rsidRPr="006B26B3">
        <w:rPr>
          <w:color w:val="000000" w:themeColor="text1"/>
        </w:rPr>
        <w:t>there should be an understanding that documents are provided transparen</w:t>
      </w:r>
      <w:r w:rsidR="00FC6F68">
        <w:rPr>
          <w:color w:val="000000" w:themeColor="text1"/>
        </w:rPr>
        <w:t>tl</w:t>
      </w:r>
      <w:r w:rsidRPr="006B26B3">
        <w:rPr>
          <w:color w:val="000000" w:themeColor="text1"/>
        </w:rPr>
        <w:t>y, fairly and with no malice to interest groups.</w:t>
      </w:r>
      <w:bookmarkEnd w:id="133"/>
      <w:bookmarkEnd w:id="134"/>
      <w:bookmarkEnd w:id="135"/>
      <w:bookmarkEnd w:id="136"/>
      <w:bookmarkEnd w:id="137"/>
      <w:bookmarkEnd w:id="138"/>
      <w:bookmarkEnd w:id="139"/>
      <w:bookmarkEnd w:id="140"/>
      <w:bookmarkEnd w:id="141"/>
      <w:bookmarkEnd w:id="142"/>
      <w:r w:rsidRPr="006B26B3">
        <w:rPr>
          <w:color w:val="000000" w:themeColor="text1"/>
        </w:rPr>
        <w:t xml:space="preserve"> </w:t>
      </w:r>
    </w:p>
    <w:p w:rsidR="002971C8" w:rsidRPr="0022195F" w:rsidRDefault="002971C8" w:rsidP="0022195F">
      <w:pPr>
        <w:spacing w:line="269" w:lineRule="auto"/>
        <w:rPr>
          <w:rFonts w:ascii="Arial" w:hAnsi="Arial" w:cs="Arial"/>
          <w:sz w:val="20"/>
          <w:szCs w:val="20"/>
        </w:rPr>
      </w:pPr>
    </w:p>
    <w:p w:rsidR="006B26B3" w:rsidRPr="0022195F" w:rsidRDefault="006B26B3" w:rsidP="0022195F">
      <w:pPr>
        <w:spacing w:line="269" w:lineRule="auto"/>
        <w:rPr>
          <w:rFonts w:ascii="Arial" w:hAnsi="Arial" w:cs="Arial"/>
          <w:sz w:val="20"/>
          <w:szCs w:val="20"/>
        </w:rPr>
      </w:pPr>
    </w:p>
    <w:p w:rsidR="005E7345" w:rsidRPr="009F0928" w:rsidRDefault="005E7345" w:rsidP="00EB0B2D">
      <w:pPr>
        <w:pStyle w:val="Heading1"/>
      </w:pPr>
      <w:bookmarkStart w:id="143" w:name="_Toc326240361"/>
      <w:r w:rsidRPr="009F0928">
        <w:t>Independent scrutiny of RIS and RIS exemptions</w:t>
      </w:r>
      <w:bookmarkEnd w:id="143"/>
      <w:r w:rsidRPr="009F0928">
        <w:t xml:space="preserve"> </w:t>
      </w:r>
    </w:p>
    <w:p w:rsidR="00E33C84" w:rsidRPr="0022195F" w:rsidRDefault="00E33C84"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A RIS would have provided appropriate cost and benefit analysis of each option</w:t>
      </w:r>
      <w:r w:rsidR="00FC6F68">
        <w:rPr>
          <w:rFonts w:ascii="Arial" w:hAnsi="Arial" w:cs="Arial"/>
          <w:sz w:val="20"/>
          <w:szCs w:val="20"/>
        </w:rPr>
        <w:t xml:space="preserve"> proposed by the NTC</w:t>
      </w:r>
      <w:r w:rsidRPr="0022195F">
        <w:rPr>
          <w:rFonts w:ascii="Arial" w:hAnsi="Arial" w:cs="Arial"/>
          <w:sz w:val="20"/>
          <w:szCs w:val="20"/>
        </w:rPr>
        <w:t xml:space="preserve">. It would have allowed a balanced view to be presented that would have shown the negative and positive effects of each of the options. Compliance costs i.e. the charges would have been able to have been explored. Non-quantifiable benefits and costs would have been addressed such as safety and productivity concerns with the options. </w:t>
      </w:r>
    </w:p>
    <w:p w:rsidR="00DF6C5D" w:rsidRPr="0022195F" w:rsidRDefault="00DF6C5D" w:rsidP="0022195F">
      <w:pPr>
        <w:spacing w:line="269" w:lineRule="auto"/>
        <w:rPr>
          <w:rFonts w:ascii="Arial" w:hAnsi="Arial" w:cs="Arial"/>
          <w:sz w:val="20"/>
          <w:szCs w:val="20"/>
        </w:rPr>
      </w:pPr>
    </w:p>
    <w:p w:rsidR="00BC3A77" w:rsidRDefault="00BC3A77">
      <w:pPr>
        <w:rPr>
          <w:rFonts w:ascii="Arial" w:hAnsi="Arial" w:cs="Arial"/>
          <w:sz w:val="20"/>
          <w:szCs w:val="20"/>
        </w:rPr>
      </w:pPr>
      <w:r>
        <w:rPr>
          <w:rFonts w:ascii="Arial" w:hAnsi="Arial" w:cs="Arial"/>
          <w:sz w:val="20"/>
          <w:szCs w:val="20"/>
        </w:rPr>
        <w:br w:type="page"/>
      </w: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lastRenderedPageBreak/>
        <w:t xml:space="preserve">In this case, a RIS was not </w:t>
      </w:r>
      <w:r w:rsidR="00FC6F68">
        <w:rPr>
          <w:rFonts w:ascii="Arial" w:hAnsi="Arial" w:cs="Arial"/>
          <w:sz w:val="20"/>
          <w:szCs w:val="20"/>
        </w:rPr>
        <w:t>undertaken</w:t>
      </w:r>
      <w:r w:rsidR="00FC6F68" w:rsidRPr="0022195F">
        <w:rPr>
          <w:rFonts w:ascii="Arial" w:hAnsi="Arial" w:cs="Arial"/>
          <w:sz w:val="20"/>
          <w:szCs w:val="20"/>
        </w:rPr>
        <w:t xml:space="preserve"> </w:t>
      </w:r>
      <w:r w:rsidRPr="0022195F">
        <w:rPr>
          <w:rFonts w:ascii="Arial" w:hAnsi="Arial" w:cs="Arial"/>
          <w:sz w:val="20"/>
          <w:szCs w:val="20"/>
        </w:rPr>
        <w:t xml:space="preserve">due to the </w:t>
      </w:r>
      <w:r w:rsidR="00DF6E8C" w:rsidRPr="0022195F">
        <w:rPr>
          <w:rFonts w:ascii="Arial" w:hAnsi="Arial" w:cs="Arial"/>
          <w:sz w:val="20"/>
          <w:szCs w:val="20"/>
        </w:rPr>
        <w:t>apparent</w:t>
      </w:r>
      <w:r w:rsidRPr="0022195F">
        <w:rPr>
          <w:rFonts w:ascii="Arial" w:hAnsi="Arial" w:cs="Arial"/>
          <w:sz w:val="20"/>
          <w:szCs w:val="20"/>
        </w:rPr>
        <w:t xml:space="preserve"> nature of the changes to the charging system involv</w:t>
      </w:r>
      <w:r w:rsidR="00FC6F68">
        <w:rPr>
          <w:rFonts w:ascii="Arial" w:hAnsi="Arial" w:cs="Arial"/>
          <w:sz w:val="20"/>
          <w:szCs w:val="20"/>
        </w:rPr>
        <w:t>ing</w:t>
      </w:r>
      <w:r w:rsidRPr="0022195F">
        <w:rPr>
          <w:rFonts w:ascii="Arial" w:hAnsi="Arial" w:cs="Arial"/>
          <w:sz w:val="20"/>
          <w:szCs w:val="20"/>
        </w:rPr>
        <w:t xml:space="preserve"> </w:t>
      </w:r>
      <w:r w:rsidR="00FC6F68">
        <w:rPr>
          <w:rFonts w:ascii="Arial" w:hAnsi="Arial" w:cs="Arial"/>
          <w:sz w:val="20"/>
          <w:szCs w:val="20"/>
        </w:rPr>
        <w:t xml:space="preserve">only </w:t>
      </w:r>
      <w:r w:rsidRPr="0022195F">
        <w:rPr>
          <w:rFonts w:ascii="Arial" w:hAnsi="Arial" w:cs="Arial"/>
          <w:sz w:val="20"/>
          <w:szCs w:val="20"/>
        </w:rPr>
        <w:t>minor and machinery changes. The cha</w:t>
      </w:r>
      <w:r w:rsidR="00FC6F68">
        <w:rPr>
          <w:rFonts w:ascii="Arial" w:hAnsi="Arial" w:cs="Arial"/>
          <w:sz w:val="20"/>
          <w:szCs w:val="20"/>
        </w:rPr>
        <w:t>n</w:t>
      </w:r>
      <w:r w:rsidRPr="0022195F">
        <w:rPr>
          <w:rFonts w:ascii="Arial" w:hAnsi="Arial" w:cs="Arial"/>
          <w:sz w:val="20"/>
          <w:szCs w:val="20"/>
        </w:rPr>
        <w:t>ges are not minor</w:t>
      </w:r>
      <w:r w:rsidR="00FC6F68">
        <w:rPr>
          <w:rFonts w:ascii="Arial" w:hAnsi="Arial" w:cs="Arial"/>
          <w:sz w:val="20"/>
          <w:szCs w:val="20"/>
        </w:rPr>
        <w:t>,</w:t>
      </w:r>
      <w:r w:rsidRPr="0022195F">
        <w:rPr>
          <w:rFonts w:ascii="Arial" w:hAnsi="Arial" w:cs="Arial"/>
          <w:sz w:val="20"/>
          <w:szCs w:val="20"/>
        </w:rPr>
        <w:t xml:space="preserve"> as they will have huge </w:t>
      </w:r>
      <w:r w:rsidR="00FC6F68">
        <w:rPr>
          <w:rFonts w:ascii="Arial" w:hAnsi="Arial" w:cs="Arial"/>
          <w:sz w:val="20"/>
          <w:szCs w:val="20"/>
        </w:rPr>
        <w:t>impact</w:t>
      </w:r>
      <w:r w:rsidR="00FC6F68" w:rsidRPr="0022195F">
        <w:rPr>
          <w:rFonts w:ascii="Arial" w:hAnsi="Arial" w:cs="Arial"/>
          <w:sz w:val="20"/>
          <w:szCs w:val="20"/>
        </w:rPr>
        <w:t xml:space="preserve"> </w:t>
      </w:r>
      <w:r w:rsidRPr="0022195F">
        <w:rPr>
          <w:rFonts w:ascii="Arial" w:hAnsi="Arial" w:cs="Arial"/>
          <w:sz w:val="20"/>
          <w:szCs w:val="20"/>
        </w:rPr>
        <w:t xml:space="preserve">on operators. While some companies may be able to pass on the </w:t>
      </w:r>
      <w:r w:rsidR="00FC6F68">
        <w:rPr>
          <w:rFonts w:ascii="Arial" w:hAnsi="Arial" w:cs="Arial"/>
          <w:sz w:val="20"/>
          <w:szCs w:val="20"/>
        </w:rPr>
        <w:t xml:space="preserve">increased </w:t>
      </w:r>
      <w:r w:rsidRPr="0022195F">
        <w:rPr>
          <w:rFonts w:ascii="Arial" w:hAnsi="Arial" w:cs="Arial"/>
          <w:sz w:val="20"/>
          <w:szCs w:val="20"/>
        </w:rPr>
        <w:t>cost</w:t>
      </w:r>
      <w:r w:rsidR="00FC6F68">
        <w:rPr>
          <w:rFonts w:ascii="Arial" w:hAnsi="Arial" w:cs="Arial"/>
          <w:sz w:val="20"/>
          <w:szCs w:val="20"/>
        </w:rPr>
        <w:t>s</w:t>
      </w:r>
      <w:r w:rsidRPr="0022195F">
        <w:rPr>
          <w:rFonts w:ascii="Arial" w:hAnsi="Arial" w:cs="Arial"/>
          <w:sz w:val="20"/>
          <w:szCs w:val="20"/>
        </w:rPr>
        <w:t xml:space="preserve">, the industry is highly competitive and normally runs on </w:t>
      </w:r>
      <w:r w:rsidR="00FC6F68">
        <w:rPr>
          <w:rFonts w:ascii="Arial" w:hAnsi="Arial" w:cs="Arial"/>
          <w:sz w:val="20"/>
          <w:szCs w:val="20"/>
        </w:rPr>
        <w:t xml:space="preserve">a </w:t>
      </w:r>
      <w:r w:rsidRPr="0022195F">
        <w:rPr>
          <w:rFonts w:ascii="Arial" w:hAnsi="Arial" w:cs="Arial"/>
          <w:sz w:val="20"/>
          <w:szCs w:val="20"/>
        </w:rPr>
        <w:t>profit margin</w:t>
      </w:r>
      <w:r w:rsidR="00FC6F68">
        <w:rPr>
          <w:rFonts w:ascii="Arial" w:hAnsi="Arial" w:cs="Arial"/>
          <w:sz w:val="20"/>
          <w:szCs w:val="20"/>
        </w:rPr>
        <w:t xml:space="preserve"> of less than 3%</w:t>
      </w:r>
      <w:r w:rsidRPr="0022195F">
        <w:rPr>
          <w:rFonts w:ascii="Arial" w:hAnsi="Arial" w:cs="Arial"/>
          <w:sz w:val="20"/>
          <w:szCs w:val="20"/>
        </w:rPr>
        <w:t xml:space="preserve">. </w:t>
      </w:r>
    </w:p>
    <w:p w:rsidR="0070157F" w:rsidRDefault="0070157F">
      <w:pPr>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From </w:t>
      </w:r>
      <w:r w:rsidR="00FC6F68">
        <w:rPr>
          <w:rFonts w:ascii="Arial" w:hAnsi="Arial" w:cs="Arial"/>
          <w:sz w:val="20"/>
          <w:szCs w:val="20"/>
        </w:rPr>
        <w:t xml:space="preserve">copies of </w:t>
      </w:r>
      <w:r w:rsidRPr="0022195F">
        <w:rPr>
          <w:rFonts w:ascii="Arial" w:hAnsi="Arial" w:cs="Arial"/>
          <w:sz w:val="20"/>
          <w:szCs w:val="20"/>
        </w:rPr>
        <w:t>email</w:t>
      </w:r>
      <w:r w:rsidR="00FC6F68">
        <w:rPr>
          <w:rFonts w:ascii="Arial" w:hAnsi="Arial" w:cs="Arial"/>
          <w:sz w:val="20"/>
          <w:szCs w:val="20"/>
        </w:rPr>
        <w:t>s</w:t>
      </w:r>
      <w:r w:rsidRPr="0022195F">
        <w:rPr>
          <w:rFonts w:ascii="Arial" w:hAnsi="Arial" w:cs="Arial"/>
          <w:sz w:val="20"/>
          <w:szCs w:val="20"/>
        </w:rPr>
        <w:t xml:space="preserve"> received under </w:t>
      </w:r>
      <w:r w:rsidR="00FC6F68">
        <w:rPr>
          <w:rFonts w:ascii="Arial" w:hAnsi="Arial" w:cs="Arial"/>
          <w:sz w:val="20"/>
          <w:szCs w:val="20"/>
        </w:rPr>
        <w:t>F</w:t>
      </w:r>
      <w:r w:rsidRPr="0022195F">
        <w:rPr>
          <w:rFonts w:ascii="Arial" w:hAnsi="Arial" w:cs="Arial"/>
          <w:sz w:val="20"/>
          <w:szCs w:val="20"/>
        </w:rPr>
        <w:t xml:space="preserve">reedom of </w:t>
      </w:r>
      <w:r w:rsidR="00FC6F68">
        <w:rPr>
          <w:rFonts w:ascii="Arial" w:hAnsi="Arial" w:cs="Arial"/>
          <w:sz w:val="20"/>
          <w:szCs w:val="20"/>
        </w:rPr>
        <w:t>I</w:t>
      </w:r>
      <w:r w:rsidRPr="0022195F">
        <w:rPr>
          <w:rFonts w:ascii="Arial" w:hAnsi="Arial" w:cs="Arial"/>
          <w:sz w:val="20"/>
          <w:szCs w:val="20"/>
        </w:rPr>
        <w:t xml:space="preserve">nformation, </w:t>
      </w:r>
      <w:r w:rsidR="00F7475D">
        <w:rPr>
          <w:rFonts w:ascii="Arial" w:hAnsi="Arial" w:cs="Arial"/>
          <w:sz w:val="20"/>
          <w:szCs w:val="20"/>
        </w:rPr>
        <w:t xml:space="preserve">the </w:t>
      </w:r>
      <w:r w:rsidRPr="0022195F">
        <w:rPr>
          <w:rFonts w:ascii="Arial" w:hAnsi="Arial" w:cs="Arial"/>
          <w:sz w:val="20"/>
          <w:szCs w:val="20"/>
        </w:rPr>
        <w:t xml:space="preserve">OBPR was not contacted when the original discussion of </w:t>
      </w:r>
      <w:r w:rsidR="00D96518">
        <w:rPr>
          <w:rFonts w:ascii="Arial" w:hAnsi="Arial" w:cs="Arial"/>
          <w:sz w:val="20"/>
          <w:szCs w:val="20"/>
        </w:rPr>
        <w:t xml:space="preserve">a </w:t>
      </w:r>
      <w:r w:rsidRPr="0022195F">
        <w:rPr>
          <w:rFonts w:ascii="Arial" w:hAnsi="Arial" w:cs="Arial"/>
          <w:sz w:val="20"/>
          <w:szCs w:val="20"/>
        </w:rPr>
        <w:t xml:space="preserve">RIS </w:t>
      </w:r>
      <w:r w:rsidR="00D96518">
        <w:rPr>
          <w:rFonts w:ascii="Arial" w:hAnsi="Arial" w:cs="Arial"/>
          <w:sz w:val="20"/>
          <w:szCs w:val="20"/>
        </w:rPr>
        <w:t>took place</w:t>
      </w:r>
      <w:r w:rsidRPr="0022195F">
        <w:rPr>
          <w:rFonts w:ascii="Arial" w:hAnsi="Arial" w:cs="Arial"/>
          <w:sz w:val="20"/>
          <w:szCs w:val="20"/>
        </w:rPr>
        <w:t xml:space="preserve"> (July 2011). The NTC left the advice of OBPR too late for a RIS to be </w:t>
      </w:r>
      <w:r w:rsidR="00D96518">
        <w:rPr>
          <w:rFonts w:ascii="Arial" w:hAnsi="Arial" w:cs="Arial"/>
          <w:sz w:val="20"/>
          <w:szCs w:val="20"/>
        </w:rPr>
        <w:t>undertaken</w:t>
      </w:r>
      <w:r w:rsidR="00D96518" w:rsidRPr="0022195F">
        <w:rPr>
          <w:rFonts w:ascii="Arial" w:hAnsi="Arial" w:cs="Arial"/>
          <w:sz w:val="20"/>
          <w:szCs w:val="20"/>
        </w:rPr>
        <w:t xml:space="preserve"> </w:t>
      </w:r>
      <w:r w:rsidRPr="0022195F">
        <w:rPr>
          <w:rFonts w:ascii="Arial" w:hAnsi="Arial" w:cs="Arial"/>
          <w:sz w:val="20"/>
          <w:szCs w:val="20"/>
        </w:rPr>
        <w:t xml:space="preserve">in their view. When the ATA </w:t>
      </w:r>
      <w:r w:rsidR="00D96518">
        <w:rPr>
          <w:rFonts w:ascii="Arial" w:hAnsi="Arial" w:cs="Arial"/>
          <w:sz w:val="20"/>
          <w:szCs w:val="20"/>
        </w:rPr>
        <w:t>informed the</w:t>
      </w:r>
      <w:r w:rsidR="00D96518" w:rsidRPr="0022195F">
        <w:rPr>
          <w:rFonts w:ascii="Arial" w:hAnsi="Arial" w:cs="Arial"/>
          <w:sz w:val="20"/>
          <w:szCs w:val="20"/>
        </w:rPr>
        <w:t xml:space="preserve"> </w:t>
      </w:r>
      <w:r w:rsidRPr="0022195F">
        <w:rPr>
          <w:rFonts w:ascii="Arial" w:hAnsi="Arial" w:cs="Arial"/>
          <w:sz w:val="20"/>
          <w:szCs w:val="20"/>
        </w:rPr>
        <w:t>OBPR that the NTC had prematurely rated what would need and RIS and what would</w:t>
      </w:r>
      <w:r w:rsidR="00D96518">
        <w:rPr>
          <w:rFonts w:ascii="Arial" w:hAnsi="Arial" w:cs="Arial"/>
          <w:sz w:val="20"/>
          <w:szCs w:val="20"/>
        </w:rPr>
        <w:t xml:space="preserve"> </w:t>
      </w:r>
      <w:r w:rsidRPr="0022195F">
        <w:rPr>
          <w:rFonts w:ascii="Arial" w:hAnsi="Arial" w:cs="Arial"/>
          <w:sz w:val="20"/>
          <w:szCs w:val="20"/>
        </w:rPr>
        <w:t>n</w:t>
      </w:r>
      <w:r w:rsidR="00D96518">
        <w:rPr>
          <w:rFonts w:ascii="Arial" w:hAnsi="Arial" w:cs="Arial"/>
          <w:sz w:val="20"/>
          <w:szCs w:val="20"/>
        </w:rPr>
        <w:t>o</w:t>
      </w:r>
      <w:r w:rsidRPr="0022195F">
        <w:rPr>
          <w:rFonts w:ascii="Arial" w:hAnsi="Arial" w:cs="Arial"/>
          <w:sz w:val="20"/>
          <w:szCs w:val="20"/>
        </w:rPr>
        <w:t>t, this a</w:t>
      </w:r>
      <w:r w:rsidR="00DF6E8C">
        <w:rPr>
          <w:rFonts w:ascii="Arial" w:hAnsi="Arial" w:cs="Arial"/>
          <w:sz w:val="20"/>
          <w:szCs w:val="20"/>
        </w:rPr>
        <w:t>llegedly</w:t>
      </w:r>
      <w:r w:rsidRPr="0022195F">
        <w:rPr>
          <w:rFonts w:ascii="Arial" w:hAnsi="Arial" w:cs="Arial"/>
          <w:sz w:val="20"/>
          <w:szCs w:val="20"/>
        </w:rPr>
        <w:t xml:space="preserve"> changed the advice OBPR gave to the NTC.</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OBPR expressed concerns that the consultation paper shown to industry combined different elements </w:t>
      </w:r>
      <w:r w:rsidR="00D96518">
        <w:rPr>
          <w:rFonts w:ascii="Arial" w:hAnsi="Arial" w:cs="Arial"/>
          <w:sz w:val="20"/>
          <w:szCs w:val="20"/>
        </w:rPr>
        <w:t>that</w:t>
      </w:r>
      <w:r w:rsidR="00D96518" w:rsidRPr="0022195F">
        <w:rPr>
          <w:rFonts w:ascii="Arial" w:hAnsi="Arial" w:cs="Arial"/>
          <w:sz w:val="20"/>
          <w:szCs w:val="20"/>
        </w:rPr>
        <w:t xml:space="preserve"> </w:t>
      </w:r>
      <w:r w:rsidRPr="0022195F">
        <w:rPr>
          <w:rFonts w:ascii="Arial" w:hAnsi="Arial" w:cs="Arial"/>
          <w:sz w:val="20"/>
          <w:szCs w:val="20"/>
        </w:rPr>
        <w:t>did need RIS examination into single options</w:t>
      </w:r>
      <w:r w:rsidR="00D96518">
        <w:rPr>
          <w:rFonts w:ascii="Arial" w:hAnsi="Arial" w:cs="Arial"/>
          <w:sz w:val="20"/>
          <w:szCs w:val="20"/>
        </w:rPr>
        <w:t>,</w:t>
      </w:r>
      <w:r w:rsidRPr="0022195F">
        <w:rPr>
          <w:rFonts w:ascii="Arial" w:hAnsi="Arial" w:cs="Arial"/>
          <w:sz w:val="20"/>
          <w:szCs w:val="20"/>
        </w:rPr>
        <w:t xml:space="preserve"> and had pre-judged industry’s favoured option as </w:t>
      </w:r>
      <w:r w:rsidR="00D96518">
        <w:rPr>
          <w:rFonts w:ascii="Arial" w:hAnsi="Arial" w:cs="Arial"/>
          <w:sz w:val="20"/>
          <w:szCs w:val="20"/>
        </w:rPr>
        <w:t xml:space="preserve">requiring a </w:t>
      </w:r>
      <w:r w:rsidRPr="0022195F">
        <w:rPr>
          <w:rFonts w:ascii="Arial" w:hAnsi="Arial" w:cs="Arial"/>
          <w:sz w:val="20"/>
          <w:szCs w:val="20"/>
        </w:rPr>
        <w:t>RIS, when it was simply reverting to an earlier system of charges. The NTC blamed the ATA’s investigation as a reason why the ATA’s per axle suggestion for solving the problem had to be dropped.</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It is our strong view all of the NTC options needed a RIS because of the potential impacts. We can demonstrate an over-recovery of some $1.1</w:t>
      </w:r>
      <w:r w:rsidR="00D96518">
        <w:rPr>
          <w:rFonts w:ascii="Arial" w:hAnsi="Arial" w:cs="Arial"/>
          <w:sz w:val="20"/>
          <w:szCs w:val="20"/>
        </w:rPr>
        <w:t xml:space="preserve"> </w:t>
      </w:r>
      <w:r w:rsidRPr="0022195F">
        <w:rPr>
          <w:rFonts w:ascii="Arial" w:hAnsi="Arial" w:cs="Arial"/>
          <w:sz w:val="20"/>
          <w:szCs w:val="20"/>
        </w:rPr>
        <w:t>b</w:t>
      </w:r>
      <w:r w:rsidR="00D96518">
        <w:rPr>
          <w:rFonts w:ascii="Arial" w:hAnsi="Arial" w:cs="Arial"/>
          <w:sz w:val="20"/>
          <w:szCs w:val="20"/>
        </w:rPr>
        <w:t>illion</w:t>
      </w:r>
      <w:r w:rsidRPr="0022195F">
        <w:rPr>
          <w:rFonts w:ascii="Arial" w:hAnsi="Arial" w:cs="Arial"/>
          <w:sz w:val="20"/>
          <w:szCs w:val="20"/>
        </w:rPr>
        <w:t>. This is a serious</w:t>
      </w:r>
      <w:r w:rsidR="00D96518">
        <w:rPr>
          <w:rFonts w:ascii="Arial" w:hAnsi="Arial" w:cs="Arial"/>
          <w:sz w:val="20"/>
          <w:szCs w:val="20"/>
        </w:rPr>
        <w:t>,</w:t>
      </w:r>
      <w:r w:rsidRPr="0022195F">
        <w:rPr>
          <w:rFonts w:ascii="Arial" w:hAnsi="Arial" w:cs="Arial"/>
          <w:sz w:val="20"/>
          <w:szCs w:val="20"/>
        </w:rPr>
        <w:t xml:space="preserve"> negative impact on the economy in difficult times. We believe a sound RIS and transparent process would have avoided this damaging over-recovery.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Seeing the original criteria the NTC provided to OBPR</w:t>
      </w:r>
      <w:r w:rsidR="00D96518">
        <w:rPr>
          <w:rFonts w:ascii="Arial" w:hAnsi="Arial" w:cs="Arial"/>
          <w:sz w:val="20"/>
          <w:szCs w:val="20"/>
        </w:rPr>
        <w:t>,</w:t>
      </w:r>
      <w:r w:rsidRPr="0022195F">
        <w:rPr>
          <w:rFonts w:ascii="Arial" w:hAnsi="Arial" w:cs="Arial"/>
          <w:sz w:val="20"/>
          <w:szCs w:val="20"/>
        </w:rPr>
        <w:t xml:space="preserve"> they were </w:t>
      </w:r>
      <w:r w:rsidR="00D96518">
        <w:rPr>
          <w:rFonts w:ascii="Arial" w:hAnsi="Arial" w:cs="Arial"/>
          <w:sz w:val="20"/>
          <w:szCs w:val="20"/>
        </w:rPr>
        <w:t xml:space="preserve">clearly wily </w:t>
      </w:r>
      <w:r w:rsidRPr="0022195F">
        <w:rPr>
          <w:rFonts w:ascii="Arial" w:hAnsi="Arial" w:cs="Arial"/>
          <w:sz w:val="20"/>
          <w:szCs w:val="20"/>
        </w:rPr>
        <w:t xml:space="preserve">in what they </w:t>
      </w:r>
      <w:r w:rsidR="00D96518">
        <w:rPr>
          <w:rFonts w:ascii="Arial" w:hAnsi="Arial" w:cs="Arial"/>
          <w:sz w:val="20"/>
          <w:szCs w:val="20"/>
        </w:rPr>
        <w:t>revealed</w:t>
      </w:r>
      <w:r w:rsidR="00D96518" w:rsidRPr="0022195F">
        <w:rPr>
          <w:rFonts w:ascii="Arial" w:hAnsi="Arial" w:cs="Arial"/>
          <w:sz w:val="20"/>
          <w:szCs w:val="20"/>
        </w:rPr>
        <w:t xml:space="preserve"> </w:t>
      </w:r>
      <w:r w:rsidRPr="0022195F">
        <w:rPr>
          <w:rFonts w:ascii="Arial" w:hAnsi="Arial" w:cs="Arial"/>
          <w:sz w:val="20"/>
          <w:szCs w:val="20"/>
        </w:rPr>
        <w:t>as the effects of the changes they were proposing. There was less than full disclosure</w:t>
      </w:r>
      <w:r w:rsidR="00D96518">
        <w:rPr>
          <w:rFonts w:ascii="Arial" w:hAnsi="Arial" w:cs="Arial"/>
          <w:sz w:val="20"/>
          <w:szCs w:val="20"/>
        </w:rPr>
        <w:t>,</w:t>
      </w:r>
      <w:r w:rsidRPr="0022195F">
        <w:rPr>
          <w:rFonts w:ascii="Arial" w:hAnsi="Arial" w:cs="Arial"/>
          <w:sz w:val="20"/>
          <w:szCs w:val="20"/>
        </w:rPr>
        <w:t xml:space="preserve"> and no impact estimates provided to OBPR. </w:t>
      </w:r>
    </w:p>
    <w:p w:rsidR="00DF6C5D" w:rsidRPr="0022195F" w:rsidRDefault="00DF6C5D" w:rsidP="0022195F">
      <w:pPr>
        <w:spacing w:line="269" w:lineRule="auto"/>
        <w:rPr>
          <w:rFonts w:ascii="Arial" w:hAnsi="Arial" w:cs="Arial"/>
          <w:sz w:val="20"/>
          <w:szCs w:val="20"/>
        </w:rPr>
      </w:pPr>
    </w:p>
    <w:p w:rsidR="00DF6C5D" w:rsidRPr="0022195F" w:rsidRDefault="00693CE9" w:rsidP="0022195F">
      <w:pPr>
        <w:spacing w:line="269" w:lineRule="auto"/>
        <w:ind w:left="567" w:right="567"/>
        <w:rPr>
          <w:rFonts w:ascii="Arial" w:hAnsi="Arial" w:cs="Arial"/>
          <w:bCs/>
          <w:sz w:val="20"/>
          <w:szCs w:val="20"/>
        </w:rPr>
      </w:pPr>
      <w:r w:rsidRPr="0022195F">
        <w:rPr>
          <w:rFonts w:ascii="Arial" w:hAnsi="Arial" w:cs="Arial"/>
          <w:bCs/>
          <w:sz w:val="20"/>
          <w:szCs w:val="20"/>
        </w:rPr>
        <w:t>‘</w:t>
      </w:r>
      <w:r w:rsidR="00DF6C5D" w:rsidRPr="0022195F">
        <w:rPr>
          <w:rFonts w:ascii="Arial" w:hAnsi="Arial" w:cs="Arial"/>
          <w:bCs/>
          <w:sz w:val="20"/>
          <w:szCs w:val="20"/>
        </w:rPr>
        <w:t xml:space="preserve">In general terms, the more the proposed regulation impacts on business operations, and the greater the number of businesses or not-for-profit organisations that will be affected, the more likely it is that a RIS will be </w:t>
      </w:r>
      <w:r w:rsidRPr="0022195F">
        <w:rPr>
          <w:rFonts w:ascii="Arial" w:hAnsi="Arial" w:cs="Arial"/>
          <w:bCs/>
          <w:sz w:val="20"/>
          <w:szCs w:val="20"/>
        </w:rPr>
        <w:t>required.’</w:t>
      </w:r>
      <w:r w:rsidR="00F7475D" w:rsidRPr="00F7475D">
        <w:rPr>
          <w:rStyle w:val="FootnoteReference"/>
          <w:rFonts w:ascii="Arial" w:hAnsi="Arial"/>
          <w:bCs/>
          <w:sz w:val="20"/>
          <w:szCs w:val="20"/>
        </w:rPr>
        <w:t xml:space="preserve"> </w:t>
      </w:r>
      <w:r w:rsidR="00F7475D">
        <w:rPr>
          <w:rStyle w:val="FootnoteReference"/>
          <w:rFonts w:ascii="Arial" w:hAnsi="Arial"/>
          <w:bCs/>
          <w:sz w:val="20"/>
          <w:szCs w:val="20"/>
        </w:rPr>
        <w:footnoteReference w:id="4"/>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The changes made will </w:t>
      </w:r>
      <w:r w:rsidR="00D96518">
        <w:rPr>
          <w:rFonts w:ascii="Arial" w:hAnsi="Arial" w:cs="Arial"/>
          <w:sz w:val="20"/>
          <w:szCs w:val="20"/>
        </w:rPr>
        <w:t xml:space="preserve">negatively </w:t>
      </w:r>
      <w:r w:rsidRPr="0022195F">
        <w:rPr>
          <w:rFonts w:ascii="Arial" w:hAnsi="Arial" w:cs="Arial"/>
          <w:sz w:val="20"/>
          <w:szCs w:val="20"/>
        </w:rPr>
        <w:t xml:space="preserve">affect every single operator in the industry. The NTC were given the </w:t>
      </w:r>
      <w:r w:rsidR="00D96518">
        <w:rPr>
          <w:rFonts w:ascii="Arial" w:hAnsi="Arial" w:cs="Arial"/>
          <w:sz w:val="20"/>
          <w:szCs w:val="20"/>
        </w:rPr>
        <w:t>task of</w:t>
      </w:r>
      <w:r w:rsidR="00D96518" w:rsidRPr="0022195F">
        <w:rPr>
          <w:rFonts w:ascii="Arial" w:hAnsi="Arial" w:cs="Arial"/>
          <w:sz w:val="20"/>
          <w:szCs w:val="20"/>
        </w:rPr>
        <w:t xml:space="preserve"> </w:t>
      </w:r>
      <w:r w:rsidRPr="0022195F">
        <w:rPr>
          <w:rFonts w:ascii="Arial" w:hAnsi="Arial" w:cs="Arial"/>
          <w:sz w:val="20"/>
          <w:szCs w:val="20"/>
        </w:rPr>
        <w:t>fix</w:t>
      </w:r>
      <w:r w:rsidR="00D96518">
        <w:rPr>
          <w:rFonts w:ascii="Arial" w:hAnsi="Arial" w:cs="Arial"/>
          <w:sz w:val="20"/>
          <w:szCs w:val="20"/>
        </w:rPr>
        <w:t>ing</w:t>
      </w:r>
      <w:r w:rsidRPr="0022195F">
        <w:rPr>
          <w:rFonts w:ascii="Arial" w:hAnsi="Arial" w:cs="Arial"/>
          <w:sz w:val="20"/>
          <w:szCs w:val="20"/>
        </w:rPr>
        <w:t xml:space="preserve"> the A-trailer problem, </w:t>
      </w:r>
      <w:r w:rsidR="00D96518">
        <w:rPr>
          <w:rFonts w:ascii="Arial" w:hAnsi="Arial" w:cs="Arial"/>
          <w:sz w:val="20"/>
          <w:szCs w:val="20"/>
        </w:rPr>
        <w:t xml:space="preserve">but </w:t>
      </w:r>
      <w:r w:rsidRPr="0022195F">
        <w:rPr>
          <w:rFonts w:ascii="Arial" w:hAnsi="Arial" w:cs="Arial"/>
          <w:sz w:val="20"/>
          <w:szCs w:val="20"/>
        </w:rPr>
        <w:t>in the process of halving the charges for A-trailers</w:t>
      </w:r>
      <w:r w:rsidR="00D96518">
        <w:rPr>
          <w:rFonts w:ascii="Arial" w:hAnsi="Arial" w:cs="Arial"/>
          <w:sz w:val="20"/>
          <w:szCs w:val="20"/>
        </w:rPr>
        <w:t>,</w:t>
      </w:r>
      <w:r w:rsidRPr="0022195F">
        <w:rPr>
          <w:rFonts w:ascii="Arial" w:hAnsi="Arial" w:cs="Arial"/>
          <w:sz w:val="20"/>
          <w:szCs w:val="20"/>
        </w:rPr>
        <w:t xml:space="preserve"> they increased all other component charges between 6</w:t>
      </w:r>
      <w:r w:rsidR="00D96518">
        <w:rPr>
          <w:rFonts w:ascii="Arial" w:hAnsi="Arial" w:cs="Arial"/>
          <w:sz w:val="20"/>
          <w:szCs w:val="20"/>
        </w:rPr>
        <w:t>%</w:t>
      </w:r>
      <w:r w:rsidRPr="0022195F">
        <w:rPr>
          <w:rFonts w:ascii="Arial" w:hAnsi="Arial" w:cs="Arial"/>
          <w:sz w:val="20"/>
          <w:szCs w:val="20"/>
        </w:rPr>
        <w:t xml:space="preserve">-32% and </w:t>
      </w:r>
      <w:r w:rsidR="00D96518">
        <w:rPr>
          <w:rFonts w:ascii="Arial" w:hAnsi="Arial" w:cs="Arial"/>
          <w:sz w:val="20"/>
          <w:szCs w:val="20"/>
        </w:rPr>
        <w:t xml:space="preserve">hit industry with </w:t>
      </w:r>
      <w:r w:rsidRPr="0022195F">
        <w:rPr>
          <w:rFonts w:ascii="Arial" w:hAnsi="Arial" w:cs="Arial"/>
          <w:sz w:val="20"/>
          <w:szCs w:val="20"/>
        </w:rPr>
        <w:t xml:space="preserve">a 10% fuel </w:t>
      </w:r>
      <w:r w:rsidR="00D96518">
        <w:rPr>
          <w:rFonts w:ascii="Arial" w:hAnsi="Arial" w:cs="Arial"/>
          <w:sz w:val="20"/>
          <w:szCs w:val="20"/>
        </w:rPr>
        <w:t xml:space="preserve">tax </w:t>
      </w:r>
      <w:r w:rsidRPr="0022195F">
        <w:rPr>
          <w:rFonts w:ascii="Arial" w:hAnsi="Arial" w:cs="Arial"/>
          <w:sz w:val="20"/>
          <w:szCs w:val="20"/>
        </w:rPr>
        <w:t>increase</w:t>
      </w:r>
      <w:r w:rsidR="00735822">
        <w:rPr>
          <w:rFonts w:ascii="Arial" w:hAnsi="Arial" w:cs="Arial"/>
          <w:sz w:val="20"/>
          <w:szCs w:val="20"/>
        </w:rPr>
        <w:t xml:space="preserve"> (attachment C)</w:t>
      </w:r>
      <w:r w:rsidRPr="0022195F">
        <w:rPr>
          <w:rFonts w:ascii="Arial" w:hAnsi="Arial" w:cs="Arial"/>
          <w:sz w:val="20"/>
          <w:szCs w:val="20"/>
        </w:rPr>
        <w:t xml:space="preserve">. To think these charges do not have a measurable impact on the industry is arrogant. The wider community will be affected by this.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The</w:t>
      </w:r>
      <w:r w:rsidR="00D96518">
        <w:rPr>
          <w:rFonts w:ascii="Arial" w:hAnsi="Arial" w:cs="Arial"/>
          <w:sz w:val="20"/>
          <w:szCs w:val="20"/>
        </w:rPr>
        <w:t xml:space="preserve"> NTC</w:t>
      </w:r>
      <w:r w:rsidRPr="0022195F">
        <w:rPr>
          <w:rFonts w:ascii="Arial" w:hAnsi="Arial" w:cs="Arial"/>
          <w:sz w:val="20"/>
          <w:szCs w:val="20"/>
        </w:rPr>
        <w:t xml:space="preserve"> did not assess the likely impact of the regulation, </w:t>
      </w:r>
      <w:r w:rsidR="00D96518">
        <w:rPr>
          <w:rFonts w:ascii="Arial" w:hAnsi="Arial" w:cs="Arial"/>
          <w:sz w:val="20"/>
          <w:szCs w:val="20"/>
        </w:rPr>
        <w:t xml:space="preserve">the </w:t>
      </w:r>
      <w:r w:rsidRPr="0022195F">
        <w:rPr>
          <w:rFonts w:ascii="Arial" w:hAnsi="Arial" w:cs="Arial"/>
          <w:sz w:val="20"/>
          <w:szCs w:val="20"/>
        </w:rPr>
        <w:t>nature of the impacts</w:t>
      </w:r>
      <w:r w:rsidR="00D96518">
        <w:rPr>
          <w:rFonts w:ascii="Arial" w:hAnsi="Arial" w:cs="Arial"/>
          <w:sz w:val="20"/>
          <w:szCs w:val="20"/>
        </w:rPr>
        <w:t>,</w:t>
      </w:r>
      <w:r w:rsidRPr="0022195F">
        <w:rPr>
          <w:rFonts w:ascii="Arial" w:hAnsi="Arial" w:cs="Arial"/>
          <w:sz w:val="20"/>
          <w:szCs w:val="20"/>
        </w:rPr>
        <w:t xml:space="preserve"> or the size of the impacts. While the information given to OBPR cannot be as accurate as the information given to ministers, the NTC had already made a decision on how they would charge industry</w:t>
      </w:r>
      <w:r w:rsidR="00D96518">
        <w:rPr>
          <w:rFonts w:ascii="Arial" w:hAnsi="Arial" w:cs="Arial"/>
          <w:sz w:val="20"/>
          <w:szCs w:val="20"/>
        </w:rPr>
        <w:t>,</w:t>
      </w:r>
      <w:r w:rsidRPr="0022195F">
        <w:rPr>
          <w:rFonts w:ascii="Arial" w:hAnsi="Arial" w:cs="Arial"/>
          <w:sz w:val="20"/>
          <w:szCs w:val="20"/>
        </w:rPr>
        <w:t xml:space="preserve"> and they had already increased the cost base by $144m</w:t>
      </w:r>
      <w:r w:rsidR="00D96518">
        <w:rPr>
          <w:rFonts w:ascii="Arial" w:hAnsi="Arial" w:cs="Arial"/>
          <w:sz w:val="20"/>
          <w:szCs w:val="20"/>
        </w:rPr>
        <w:t>. Further, the NTC have erroneously</w:t>
      </w:r>
      <w:r w:rsidRPr="0022195F">
        <w:rPr>
          <w:rFonts w:ascii="Arial" w:hAnsi="Arial" w:cs="Arial"/>
          <w:sz w:val="20"/>
          <w:szCs w:val="20"/>
        </w:rPr>
        <w:t xml:space="preserve"> included flood recovery money</w:t>
      </w:r>
      <w:r w:rsidR="00D96518">
        <w:rPr>
          <w:rFonts w:ascii="Arial" w:hAnsi="Arial" w:cs="Arial"/>
          <w:sz w:val="20"/>
          <w:szCs w:val="20"/>
        </w:rPr>
        <w:t xml:space="preserve"> that</w:t>
      </w:r>
      <w:r w:rsidRPr="0022195F">
        <w:rPr>
          <w:rFonts w:ascii="Arial" w:hAnsi="Arial" w:cs="Arial"/>
          <w:sz w:val="20"/>
          <w:szCs w:val="20"/>
        </w:rPr>
        <w:t xml:space="preserve"> industry was not meant to pay for</w:t>
      </w:r>
      <w:r w:rsidR="003B4987">
        <w:rPr>
          <w:rFonts w:ascii="Arial" w:hAnsi="Arial" w:cs="Arial"/>
          <w:sz w:val="20"/>
          <w:szCs w:val="20"/>
        </w:rPr>
        <w:t>, while most flood money has been discounted</w:t>
      </w:r>
      <w:r w:rsidR="00B76863">
        <w:rPr>
          <w:rFonts w:ascii="Arial" w:hAnsi="Arial" w:cs="Arial"/>
          <w:sz w:val="20"/>
          <w:szCs w:val="20"/>
        </w:rPr>
        <w:t>,</w:t>
      </w:r>
      <w:r w:rsidR="003B4987">
        <w:rPr>
          <w:rFonts w:ascii="Arial" w:hAnsi="Arial" w:cs="Arial"/>
          <w:sz w:val="20"/>
          <w:szCs w:val="20"/>
        </w:rPr>
        <w:t xml:space="preserve"> 25% still remains in heavy vehicle expenditure to be recovered</w:t>
      </w:r>
      <w:r w:rsidRPr="0022195F">
        <w:rPr>
          <w:rFonts w:ascii="Arial" w:hAnsi="Arial" w:cs="Arial"/>
          <w:sz w:val="20"/>
          <w:szCs w:val="20"/>
        </w:rPr>
        <w:t xml:space="preserve">. However, not solving the A-trailer charge and increasing charges across the bar, it was obvious what effect this would have on industry.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ind w:left="567" w:right="567"/>
        <w:rPr>
          <w:rFonts w:ascii="Arial" w:hAnsi="Arial" w:cs="Arial"/>
          <w:bCs/>
          <w:sz w:val="20"/>
          <w:szCs w:val="20"/>
        </w:rPr>
      </w:pPr>
      <w:r w:rsidRPr="0022195F">
        <w:rPr>
          <w:rFonts w:ascii="Arial" w:hAnsi="Arial" w:cs="Arial"/>
          <w:bCs/>
          <w:sz w:val="20"/>
          <w:szCs w:val="20"/>
        </w:rPr>
        <w:t>‘The office conducts training programs to assist agencies to prepare RISs, use the Business Cost Calculator (BCC) to assess compliance costs, and fulfil other regulatory review and reform obligations. The OBPR also provides technical assistance and training to policy officers on cost-benefit analysis and risk analysis.’</w:t>
      </w:r>
      <w:r w:rsidR="00F7475D" w:rsidRPr="00F7475D">
        <w:rPr>
          <w:rStyle w:val="FootnoteReference"/>
          <w:rFonts w:ascii="Arial" w:hAnsi="Arial"/>
          <w:sz w:val="20"/>
          <w:szCs w:val="20"/>
        </w:rPr>
        <w:t xml:space="preserve"> </w:t>
      </w:r>
      <w:r w:rsidR="00F7475D">
        <w:rPr>
          <w:rStyle w:val="FootnoteReference"/>
          <w:rFonts w:ascii="Arial" w:hAnsi="Arial"/>
          <w:sz w:val="20"/>
          <w:szCs w:val="20"/>
        </w:rPr>
        <w:footnoteReference w:id="5"/>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Costs and benefits should have been </w:t>
      </w:r>
      <w:r w:rsidR="00D96518">
        <w:rPr>
          <w:rFonts w:ascii="Arial" w:hAnsi="Arial" w:cs="Arial"/>
          <w:sz w:val="20"/>
          <w:szCs w:val="20"/>
        </w:rPr>
        <w:t>assessed</w:t>
      </w:r>
      <w:r w:rsidRPr="0022195F">
        <w:rPr>
          <w:rFonts w:ascii="Arial" w:hAnsi="Arial" w:cs="Arial"/>
          <w:sz w:val="20"/>
          <w:szCs w:val="20"/>
        </w:rPr>
        <w:t xml:space="preserve">. There was no work </w:t>
      </w:r>
      <w:r w:rsidR="00D96518">
        <w:rPr>
          <w:rFonts w:ascii="Arial" w:hAnsi="Arial" w:cs="Arial"/>
          <w:sz w:val="20"/>
          <w:szCs w:val="20"/>
        </w:rPr>
        <w:t>completed</w:t>
      </w:r>
      <w:r w:rsidR="00D96518" w:rsidRPr="0022195F">
        <w:rPr>
          <w:rFonts w:ascii="Arial" w:hAnsi="Arial" w:cs="Arial"/>
          <w:sz w:val="20"/>
          <w:szCs w:val="20"/>
        </w:rPr>
        <w:t xml:space="preserve"> </w:t>
      </w:r>
      <w:r w:rsidRPr="0022195F">
        <w:rPr>
          <w:rFonts w:ascii="Arial" w:hAnsi="Arial" w:cs="Arial"/>
          <w:sz w:val="20"/>
          <w:szCs w:val="20"/>
        </w:rPr>
        <w:t>on the effects of the charges on the wider community. With the heavy vehicle industry being an ancillary service industry</w:t>
      </w:r>
      <w:r w:rsidR="00D96518">
        <w:rPr>
          <w:rFonts w:ascii="Arial" w:hAnsi="Arial" w:cs="Arial"/>
          <w:sz w:val="20"/>
          <w:szCs w:val="20"/>
        </w:rPr>
        <w:t>,</w:t>
      </w:r>
      <w:r w:rsidRPr="0022195F">
        <w:rPr>
          <w:rFonts w:ascii="Arial" w:hAnsi="Arial" w:cs="Arial"/>
          <w:sz w:val="20"/>
          <w:szCs w:val="20"/>
        </w:rPr>
        <w:t xml:space="preserve"> costs that fall on it are passed onto customers and clients. However, the impact analysis would have </w:t>
      </w:r>
      <w:r w:rsidR="00D96518">
        <w:rPr>
          <w:rFonts w:ascii="Arial" w:hAnsi="Arial" w:cs="Arial"/>
          <w:sz w:val="20"/>
          <w:szCs w:val="20"/>
        </w:rPr>
        <w:t>identified</w:t>
      </w:r>
      <w:r w:rsidRPr="0022195F">
        <w:rPr>
          <w:rFonts w:ascii="Arial" w:hAnsi="Arial" w:cs="Arial"/>
          <w:sz w:val="20"/>
          <w:szCs w:val="20"/>
        </w:rPr>
        <w:t xml:space="preserve"> that many operators could not pass on increases in costs due to stiff competition. This will lead to structural distress for the industry</w:t>
      </w:r>
      <w:r w:rsidR="00D96518">
        <w:rPr>
          <w:rFonts w:ascii="Arial" w:hAnsi="Arial" w:cs="Arial"/>
          <w:sz w:val="20"/>
          <w:szCs w:val="20"/>
        </w:rPr>
        <w:t>,</w:t>
      </w:r>
      <w:r w:rsidRPr="0022195F">
        <w:rPr>
          <w:rFonts w:ascii="Arial" w:hAnsi="Arial" w:cs="Arial"/>
          <w:sz w:val="20"/>
          <w:szCs w:val="20"/>
        </w:rPr>
        <w:t xml:space="preserve"> but ultimately the community will have to pay as new players enter the field to replace those businesses </w:t>
      </w:r>
      <w:r w:rsidR="00D96518">
        <w:rPr>
          <w:rFonts w:ascii="Arial" w:hAnsi="Arial" w:cs="Arial"/>
          <w:sz w:val="20"/>
          <w:szCs w:val="20"/>
        </w:rPr>
        <w:t xml:space="preserve">that </w:t>
      </w:r>
      <w:r w:rsidRPr="0022195F">
        <w:rPr>
          <w:rFonts w:ascii="Arial" w:hAnsi="Arial" w:cs="Arial"/>
          <w:sz w:val="20"/>
          <w:szCs w:val="20"/>
        </w:rPr>
        <w:t xml:space="preserve">fail.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lastRenderedPageBreak/>
        <w:t>A license fee or other charges level</w:t>
      </w:r>
      <w:r w:rsidR="00905439">
        <w:rPr>
          <w:rFonts w:ascii="Arial" w:hAnsi="Arial" w:cs="Arial"/>
          <w:sz w:val="20"/>
          <w:szCs w:val="20"/>
        </w:rPr>
        <w:t xml:space="preserve">s are </w:t>
      </w:r>
      <w:r w:rsidRPr="0022195F">
        <w:rPr>
          <w:rFonts w:ascii="Arial" w:hAnsi="Arial" w:cs="Arial"/>
          <w:sz w:val="20"/>
          <w:szCs w:val="20"/>
        </w:rPr>
        <w:t>indicators that count as an increased cost. Even without a RIS</w:t>
      </w:r>
      <w:r w:rsidR="00D96518">
        <w:rPr>
          <w:rFonts w:ascii="Arial" w:hAnsi="Arial" w:cs="Arial"/>
          <w:sz w:val="20"/>
          <w:szCs w:val="20"/>
        </w:rPr>
        <w:t>,</w:t>
      </w:r>
      <w:r w:rsidRPr="0022195F">
        <w:rPr>
          <w:rFonts w:ascii="Arial" w:hAnsi="Arial" w:cs="Arial"/>
          <w:sz w:val="20"/>
          <w:szCs w:val="20"/>
        </w:rPr>
        <w:t xml:space="preserve"> this should have been looked at in the RIA. </w:t>
      </w:r>
    </w:p>
    <w:p w:rsidR="00DF6C5D" w:rsidRPr="0022195F" w:rsidRDefault="00DF6C5D" w:rsidP="0022195F">
      <w:pPr>
        <w:spacing w:line="269" w:lineRule="auto"/>
        <w:rPr>
          <w:rFonts w:ascii="Arial" w:hAnsi="Arial" w:cs="Arial"/>
          <w:sz w:val="20"/>
          <w:szCs w:val="20"/>
        </w:rPr>
      </w:pPr>
    </w:p>
    <w:p w:rsidR="0070157F" w:rsidRDefault="00DF6C5D" w:rsidP="00F7475D">
      <w:pPr>
        <w:spacing w:line="269" w:lineRule="auto"/>
        <w:rPr>
          <w:rFonts w:ascii="Arial" w:hAnsi="Arial" w:cs="Arial"/>
          <w:sz w:val="20"/>
          <w:szCs w:val="20"/>
        </w:rPr>
      </w:pPr>
      <w:r w:rsidRPr="0022195F">
        <w:rPr>
          <w:rFonts w:ascii="Arial" w:hAnsi="Arial" w:cs="Arial"/>
          <w:sz w:val="20"/>
          <w:szCs w:val="20"/>
        </w:rPr>
        <w:t>The majority of businesses in the heavy vehicle industry are small operator</w:t>
      </w:r>
      <w:r w:rsidR="00D96518">
        <w:rPr>
          <w:rFonts w:ascii="Arial" w:hAnsi="Arial" w:cs="Arial"/>
          <w:sz w:val="20"/>
          <w:szCs w:val="20"/>
        </w:rPr>
        <w:t>s and owner-</w:t>
      </w:r>
      <w:r w:rsidRPr="0022195F">
        <w:rPr>
          <w:rFonts w:ascii="Arial" w:hAnsi="Arial" w:cs="Arial"/>
          <w:sz w:val="20"/>
          <w:szCs w:val="20"/>
        </w:rPr>
        <w:t xml:space="preserve">drivers. The Australian Government’s Small Business Advisory Committee should have been informed.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The OBPR business cost calculator is available to agencies. This tool indicates that the NTC should have been fully aware of what their responsibilities are. If additional resources are not available to do an adequate job, this should have warned agencies to respond accordingly.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While the reduction in the cost of A-trailers will have a benefit</w:t>
      </w:r>
      <w:r w:rsidR="0070157F">
        <w:rPr>
          <w:rFonts w:ascii="Arial" w:hAnsi="Arial" w:cs="Arial"/>
          <w:sz w:val="20"/>
          <w:szCs w:val="20"/>
        </w:rPr>
        <w:t>,</w:t>
      </w:r>
      <w:r w:rsidRPr="0022195F">
        <w:rPr>
          <w:rFonts w:ascii="Arial" w:hAnsi="Arial" w:cs="Arial"/>
          <w:sz w:val="20"/>
          <w:szCs w:val="20"/>
        </w:rPr>
        <w:t xml:space="preserve"> </w:t>
      </w:r>
      <w:r w:rsidR="0070157F">
        <w:rPr>
          <w:rFonts w:ascii="Arial" w:hAnsi="Arial" w:cs="Arial"/>
          <w:sz w:val="20"/>
          <w:szCs w:val="20"/>
        </w:rPr>
        <w:t>a</w:t>
      </w:r>
      <w:r w:rsidRPr="0022195F">
        <w:rPr>
          <w:rFonts w:ascii="Arial" w:hAnsi="Arial" w:cs="Arial"/>
          <w:sz w:val="20"/>
          <w:szCs w:val="20"/>
        </w:rPr>
        <w:t xml:space="preserve"> cost</w:t>
      </w:r>
      <w:r w:rsidR="0070157F">
        <w:rPr>
          <w:rFonts w:ascii="Arial" w:hAnsi="Arial" w:cs="Arial"/>
          <w:sz w:val="20"/>
          <w:szCs w:val="20"/>
        </w:rPr>
        <w:t>-</w:t>
      </w:r>
      <w:r w:rsidRPr="0022195F">
        <w:rPr>
          <w:rFonts w:ascii="Arial" w:hAnsi="Arial" w:cs="Arial"/>
          <w:sz w:val="20"/>
          <w:szCs w:val="20"/>
        </w:rPr>
        <w:t>versus</w:t>
      </w:r>
      <w:r w:rsidR="0070157F">
        <w:rPr>
          <w:rFonts w:ascii="Arial" w:hAnsi="Arial" w:cs="Arial"/>
          <w:sz w:val="20"/>
          <w:szCs w:val="20"/>
        </w:rPr>
        <w:t>-</w:t>
      </w:r>
      <w:r w:rsidRPr="0022195F">
        <w:rPr>
          <w:rFonts w:ascii="Arial" w:hAnsi="Arial" w:cs="Arial"/>
          <w:sz w:val="20"/>
          <w:szCs w:val="20"/>
        </w:rPr>
        <w:t xml:space="preserve">benefit process would show an overall cost to industry. The case studies provided support this. The ATA created our own cost calculator to provide to members, in order for them to work out the effects of the new charges. The </w:t>
      </w:r>
      <w:r w:rsidR="0070157F">
        <w:rPr>
          <w:rFonts w:ascii="Arial" w:hAnsi="Arial" w:cs="Arial"/>
          <w:sz w:val="20"/>
          <w:szCs w:val="20"/>
        </w:rPr>
        <w:t>onus</w:t>
      </w:r>
      <w:r w:rsidR="0070157F" w:rsidRPr="0022195F">
        <w:rPr>
          <w:rFonts w:ascii="Arial" w:hAnsi="Arial" w:cs="Arial"/>
          <w:sz w:val="20"/>
          <w:szCs w:val="20"/>
        </w:rPr>
        <w:t xml:space="preserve"> </w:t>
      </w:r>
      <w:r w:rsidRPr="0022195F">
        <w:rPr>
          <w:rFonts w:ascii="Arial" w:hAnsi="Arial" w:cs="Arial"/>
          <w:sz w:val="20"/>
          <w:szCs w:val="20"/>
        </w:rPr>
        <w:t xml:space="preserve">for </w:t>
      </w:r>
      <w:r w:rsidR="0070157F">
        <w:rPr>
          <w:rFonts w:ascii="Arial" w:hAnsi="Arial" w:cs="Arial"/>
          <w:sz w:val="20"/>
          <w:szCs w:val="20"/>
        </w:rPr>
        <w:t>calculating</w:t>
      </w:r>
      <w:r w:rsidRPr="0022195F">
        <w:rPr>
          <w:rFonts w:ascii="Arial" w:hAnsi="Arial" w:cs="Arial"/>
          <w:sz w:val="20"/>
          <w:szCs w:val="20"/>
        </w:rPr>
        <w:t xml:space="preserve"> the effects should not have to be done out of </w:t>
      </w:r>
      <w:r w:rsidR="0070157F">
        <w:rPr>
          <w:rFonts w:ascii="Arial" w:hAnsi="Arial" w:cs="Arial"/>
          <w:sz w:val="20"/>
          <w:szCs w:val="20"/>
        </w:rPr>
        <w:t xml:space="preserve">sheer </w:t>
      </w:r>
      <w:r w:rsidRPr="0022195F">
        <w:rPr>
          <w:rFonts w:ascii="Arial" w:hAnsi="Arial" w:cs="Arial"/>
          <w:sz w:val="20"/>
          <w:szCs w:val="20"/>
        </w:rPr>
        <w:t xml:space="preserve">desperation by industry, this should have been done </w:t>
      </w:r>
      <w:r w:rsidR="0070157F">
        <w:rPr>
          <w:rFonts w:ascii="Arial" w:hAnsi="Arial" w:cs="Arial"/>
          <w:sz w:val="20"/>
          <w:szCs w:val="20"/>
        </w:rPr>
        <w:t xml:space="preserve">in the first instance </w:t>
      </w:r>
      <w:r w:rsidRPr="0022195F">
        <w:rPr>
          <w:rFonts w:ascii="Arial" w:hAnsi="Arial" w:cs="Arial"/>
          <w:sz w:val="20"/>
          <w:szCs w:val="20"/>
        </w:rPr>
        <w:t xml:space="preserve">by the NTC. </w:t>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ind w:left="567" w:right="567"/>
        <w:rPr>
          <w:rFonts w:ascii="Arial" w:hAnsi="Arial" w:cs="Arial"/>
          <w:bCs/>
          <w:sz w:val="20"/>
          <w:szCs w:val="20"/>
        </w:rPr>
      </w:pPr>
      <w:r w:rsidRPr="0022195F">
        <w:rPr>
          <w:rFonts w:ascii="Arial" w:hAnsi="Arial" w:cs="Arial"/>
          <w:bCs/>
          <w:sz w:val="20"/>
          <w:szCs w:val="20"/>
        </w:rPr>
        <w:t>‘Where a proposal proceeds (either through the Cabinet or another decision maker) without an adequate RIS, the resulting regulation must be the subject of a post implementation review (PIR). The review must commence within one to two years of the regulation being implemented, and will be required regardless of whether or not an exemption from the RIS requirements for exceptional circumstances was granted by the Prime Minister.’</w:t>
      </w:r>
      <w:r w:rsidR="00F7475D" w:rsidRPr="00F7475D">
        <w:rPr>
          <w:rStyle w:val="FootnoteReference"/>
          <w:rFonts w:ascii="Arial" w:hAnsi="Arial"/>
          <w:sz w:val="20"/>
          <w:szCs w:val="20"/>
        </w:rPr>
        <w:t xml:space="preserve"> </w:t>
      </w:r>
      <w:r w:rsidR="00F7475D">
        <w:rPr>
          <w:rStyle w:val="FootnoteReference"/>
          <w:rFonts w:ascii="Arial" w:hAnsi="Arial"/>
          <w:sz w:val="20"/>
          <w:szCs w:val="20"/>
        </w:rPr>
        <w:footnoteReference w:id="6"/>
      </w:r>
    </w:p>
    <w:p w:rsidR="00DF6C5D" w:rsidRPr="0022195F" w:rsidRDefault="00DF6C5D" w:rsidP="0022195F">
      <w:pPr>
        <w:spacing w:line="269" w:lineRule="auto"/>
        <w:rPr>
          <w:rFonts w:ascii="Arial" w:hAnsi="Arial" w:cs="Arial"/>
          <w:sz w:val="20"/>
          <w:szCs w:val="20"/>
        </w:rPr>
      </w:pPr>
    </w:p>
    <w:p w:rsidR="00DF6C5D" w:rsidRPr="0022195F" w:rsidRDefault="00DF6C5D" w:rsidP="0022195F">
      <w:pPr>
        <w:spacing w:line="269" w:lineRule="auto"/>
        <w:rPr>
          <w:rFonts w:ascii="Arial" w:hAnsi="Arial" w:cs="Arial"/>
          <w:sz w:val="20"/>
          <w:szCs w:val="20"/>
        </w:rPr>
      </w:pPr>
      <w:r w:rsidRPr="0022195F">
        <w:rPr>
          <w:rFonts w:ascii="Arial" w:hAnsi="Arial" w:cs="Arial"/>
          <w:sz w:val="20"/>
          <w:szCs w:val="20"/>
        </w:rPr>
        <w:t xml:space="preserve">A PIR would accurately examine the impacts of the decision and would give a perspective of the effect of the regulation. We believe the impacts which </w:t>
      </w:r>
      <w:r w:rsidR="0070157F">
        <w:rPr>
          <w:rFonts w:ascii="Arial" w:hAnsi="Arial" w:cs="Arial"/>
          <w:sz w:val="20"/>
          <w:szCs w:val="20"/>
        </w:rPr>
        <w:t>went</w:t>
      </w:r>
      <w:r w:rsidR="0070157F" w:rsidRPr="0022195F">
        <w:rPr>
          <w:rFonts w:ascii="Arial" w:hAnsi="Arial" w:cs="Arial"/>
          <w:sz w:val="20"/>
          <w:szCs w:val="20"/>
        </w:rPr>
        <w:t xml:space="preserve"> </w:t>
      </w:r>
      <w:r w:rsidRPr="0022195F">
        <w:rPr>
          <w:rFonts w:ascii="Arial" w:hAnsi="Arial" w:cs="Arial"/>
          <w:sz w:val="20"/>
          <w:szCs w:val="20"/>
        </w:rPr>
        <w:t xml:space="preserve">un-examined in a PIR would show they were huge and widespread in their effects and compliance costs. </w:t>
      </w:r>
    </w:p>
    <w:p w:rsidR="00DF6C5D" w:rsidRPr="0022195F" w:rsidRDefault="00DF6C5D" w:rsidP="0022195F">
      <w:pPr>
        <w:spacing w:line="269" w:lineRule="auto"/>
        <w:rPr>
          <w:rFonts w:ascii="Arial" w:hAnsi="Arial" w:cs="Arial"/>
          <w:sz w:val="20"/>
          <w:szCs w:val="20"/>
        </w:rPr>
      </w:pPr>
    </w:p>
    <w:p w:rsidR="005B35D2" w:rsidRPr="00634D43" w:rsidRDefault="00DF6C5D" w:rsidP="0022195F">
      <w:pPr>
        <w:spacing w:line="269" w:lineRule="auto"/>
        <w:rPr>
          <w:rFonts w:ascii="Arial" w:hAnsi="Arial" w:cs="Arial"/>
          <w:sz w:val="20"/>
          <w:szCs w:val="20"/>
        </w:rPr>
      </w:pPr>
      <w:r w:rsidRPr="00634D43">
        <w:rPr>
          <w:rFonts w:ascii="Arial" w:hAnsi="Arial" w:cs="Arial"/>
          <w:sz w:val="20"/>
          <w:szCs w:val="20"/>
        </w:rPr>
        <w:t xml:space="preserve">We have included email extracts with highlighted areas to show the frustration and the vague nature of the NTC justification for RIS exemption. </w:t>
      </w:r>
      <w:r w:rsidR="00735822">
        <w:rPr>
          <w:rFonts w:ascii="Arial" w:hAnsi="Arial" w:cs="Arial"/>
          <w:sz w:val="20"/>
          <w:szCs w:val="20"/>
        </w:rPr>
        <w:t>(Attachment E</w:t>
      </w:r>
      <w:r w:rsidR="00634D43">
        <w:rPr>
          <w:rFonts w:ascii="Arial" w:hAnsi="Arial" w:cs="Arial"/>
          <w:sz w:val="20"/>
          <w:szCs w:val="20"/>
        </w:rPr>
        <w:t>)</w:t>
      </w:r>
      <w:r w:rsidR="00963468">
        <w:rPr>
          <w:rFonts w:ascii="Arial" w:hAnsi="Arial" w:cs="Arial"/>
          <w:sz w:val="20"/>
          <w:szCs w:val="20"/>
        </w:rPr>
        <w:t>.</w:t>
      </w:r>
    </w:p>
    <w:p w:rsidR="005B35D2" w:rsidRPr="009F0928" w:rsidRDefault="005B35D2" w:rsidP="00EB0B2D">
      <w:pPr>
        <w:pStyle w:val="RecommendationStyle"/>
        <w:tabs>
          <w:tab w:val="clear" w:pos="57"/>
        </w:tabs>
      </w:pPr>
      <w:bookmarkStart w:id="144" w:name="_Toc326135037"/>
      <w:bookmarkStart w:id="145" w:name="_Toc326136539"/>
      <w:bookmarkStart w:id="146" w:name="_Toc326137011"/>
      <w:bookmarkStart w:id="147" w:name="_Toc326156187"/>
      <w:bookmarkStart w:id="148" w:name="_Toc326157484"/>
      <w:bookmarkStart w:id="149" w:name="_Toc326219484"/>
      <w:bookmarkStart w:id="150" w:name="_Toc326243424"/>
      <w:bookmarkEnd w:id="144"/>
      <w:bookmarkEnd w:id="145"/>
      <w:bookmarkEnd w:id="146"/>
      <w:bookmarkEnd w:id="147"/>
      <w:bookmarkEnd w:id="148"/>
      <w:bookmarkEnd w:id="149"/>
      <w:bookmarkEnd w:id="150"/>
    </w:p>
    <w:p w:rsidR="00176A04" w:rsidRPr="007B53F8" w:rsidRDefault="005B35D2" w:rsidP="007B53F8">
      <w:pPr>
        <w:pStyle w:val="RecommendationStyle2"/>
        <w:spacing w:line="269" w:lineRule="auto"/>
        <w:jc w:val="left"/>
        <w:rPr>
          <w:color w:val="000000" w:themeColor="text1"/>
        </w:rPr>
      </w:pPr>
      <w:bookmarkStart w:id="151" w:name="_Toc325467722"/>
      <w:bookmarkStart w:id="152" w:name="_Toc325530364"/>
      <w:bookmarkStart w:id="153" w:name="_Toc325532651"/>
      <w:bookmarkStart w:id="154" w:name="_Toc325984610"/>
      <w:bookmarkStart w:id="155" w:name="_Toc326135038"/>
      <w:bookmarkStart w:id="156" w:name="_Toc326136540"/>
      <w:bookmarkStart w:id="157" w:name="_Toc326137012"/>
      <w:bookmarkStart w:id="158" w:name="_Toc326156188"/>
      <w:bookmarkStart w:id="159" w:name="_Toc326157485"/>
      <w:bookmarkStart w:id="160" w:name="_Toc326219485"/>
      <w:bookmarkStart w:id="161" w:name="_Toc326243425"/>
      <w:r w:rsidRPr="007B53F8">
        <w:rPr>
          <w:color w:val="000000" w:themeColor="text1"/>
        </w:rPr>
        <w:t xml:space="preserve">OBPR should be contacted as soon as options may require a RIS in order to have </w:t>
      </w:r>
      <w:r w:rsidR="00F7475D" w:rsidRPr="007B53F8">
        <w:rPr>
          <w:color w:val="000000" w:themeColor="text1"/>
        </w:rPr>
        <w:t>an</w:t>
      </w:r>
      <w:r w:rsidRPr="007B53F8">
        <w:rPr>
          <w:color w:val="000000" w:themeColor="text1"/>
        </w:rPr>
        <w:t xml:space="preserve"> adequate regulatory impact assessment done.</w:t>
      </w:r>
      <w:bookmarkEnd w:id="151"/>
      <w:bookmarkEnd w:id="152"/>
      <w:bookmarkEnd w:id="153"/>
      <w:bookmarkEnd w:id="154"/>
      <w:bookmarkEnd w:id="155"/>
      <w:bookmarkEnd w:id="156"/>
      <w:bookmarkEnd w:id="157"/>
      <w:bookmarkEnd w:id="158"/>
      <w:bookmarkEnd w:id="159"/>
      <w:bookmarkEnd w:id="160"/>
      <w:bookmarkEnd w:id="161"/>
      <w:r w:rsidRPr="007B53F8">
        <w:rPr>
          <w:color w:val="000000" w:themeColor="text1"/>
        </w:rPr>
        <w:t xml:space="preserve"> </w:t>
      </w:r>
    </w:p>
    <w:p w:rsidR="005B35D2" w:rsidRPr="009F0928" w:rsidRDefault="005B35D2" w:rsidP="00EB0B2D">
      <w:pPr>
        <w:pStyle w:val="RecommendationStyle"/>
        <w:tabs>
          <w:tab w:val="clear" w:pos="57"/>
        </w:tabs>
      </w:pPr>
      <w:bookmarkStart w:id="162" w:name="_Toc326135039"/>
      <w:bookmarkStart w:id="163" w:name="_Toc326136541"/>
      <w:bookmarkStart w:id="164" w:name="_Toc326137013"/>
      <w:bookmarkStart w:id="165" w:name="_Toc326156189"/>
      <w:bookmarkStart w:id="166" w:name="_Toc326157486"/>
      <w:bookmarkStart w:id="167" w:name="_Toc326219486"/>
      <w:bookmarkStart w:id="168" w:name="_Toc326243426"/>
      <w:bookmarkEnd w:id="162"/>
      <w:bookmarkEnd w:id="163"/>
      <w:bookmarkEnd w:id="164"/>
      <w:bookmarkEnd w:id="165"/>
      <w:bookmarkEnd w:id="166"/>
      <w:bookmarkEnd w:id="167"/>
      <w:bookmarkEnd w:id="168"/>
    </w:p>
    <w:p w:rsidR="00963468" w:rsidRPr="00753FA4" w:rsidRDefault="00F6373C" w:rsidP="00753FA4">
      <w:pPr>
        <w:pStyle w:val="RecommendationStyle2"/>
        <w:spacing w:line="269" w:lineRule="auto"/>
        <w:jc w:val="left"/>
        <w:rPr>
          <w:color w:val="000000" w:themeColor="text1"/>
        </w:rPr>
      </w:pPr>
      <w:bookmarkStart w:id="169" w:name="_Toc326219487"/>
      <w:bookmarkStart w:id="170" w:name="_Toc325530370"/>
      <w:bookmarkStart w:id="171" w:name="_Toc325532657"/>
      <w:bookmarkStart w:id="172" w:name="_Toc325984618"/>
      <w:bookmarkStart w:id="173" w:name="_Toc326135040"/>
      <w:bookmarkStart w:id="174" w:name="_Toc326136542"/>
      <w:bookmarkStart w:id="175" w:name="_Toc326137014"/>
      <w:bookmarkStart w:id="176" w:name="_Toc326156190"/>
      <w:bookmarkStart w:id="177" w:name="_Toc326157487"/>
      <w:bookmarkStart w:id="178" w:name="_Toc326243427"/>
      <w:r>
        <w:rPr>
          <w:color w:val="000000" w:themeColor="text1"/>
        </w:rPr>
        <w:t>The OBPR cost calculator should be used in order to work out the costs of compliance.</w:t>
      </w:r>
      <w:bookmarkEnd w:id="169"/>
      <w:bookmarkEnd w:id="178"/>
      <w:r>
        <w:rPr>
          <w:color w:val="000000" w:themeColor="text1"/>
        </w:rPr>
        <w:t xml:space="preserve"> </w:t>
      </w:r>
      <w:bookmarkStart w:id="179" w:name="_Toc301962924"/>
      <w:bookmarkStart w:id="180" w:name="_Toc301963181"/>
      <w:bookmarkStart w:id="181" w:name="_Toc310334027"/>
      <w:bookmarkStart w:id="182" w:name="_Toc323306640"/>
      <w:bookmarkStart w:id="183" w:name="_Toc325467725"/>
      <w:bookmarkStart w:id="184" w:name="_Toc325530371"/>
      <w:bookmarkStart w:id="185" w:name="_Toc325532658"/>
      <w:bookmarkStart w:id="186" w:name="_Toc325984619"/>
      <w:bookmarkStart w:id="187" w:name="_Toc326135041"/>
      <w:bookmarkStart w:id="188" w:name="_Toc326136543"/>
      <w:bookmarkStart w:id="189" w:name="_Toc326137015"/>
      <w:bookmarkStart w:id="190" w:name="_Toc326156191"/>
      <w:bookmarkStart w:id="191" w:name="_Toc326157488"/>
      <w:bookmarkStart w:id="192" w:name="_Toc326219488"/>
      <w:bookmarkStart w:id="193" w:name="_Toc325532659"/>
      <w:bookmarkStart w:id="194" w:name="_Toc325984620"/>
      <w:bookmarkStart w:id="195" w:name="_Toc326135042"/>
      <w:bookmarkStart w:id="196" w:name="_Toc326136544"/>
      <w:bookmarkStart w:id="197" w:name="_Toc326137016"/>
      <w:bookmarkStart w:id="198" w:name="_Toc326156192"/>
      <w:bookmarkStart w:id="199" w:name="_Toc326157489"/>
      <w:bookmarkStart w:id="200" w:name="_Toc326219489"/>
      <w:bookmarkEnd w:id="170"/>
      <w:bookmarkEnd w:id="171"/>
      <w:bookmarkEnd w:id="172"/>
      <w:bookmarkEnd w:id="173"/>
      <w:bookmarkEnd w:id="174"/>
      <w:bookmarkEnd w:id="175"/>
      <w:bookmarkEnd w:id="176"/>
      <w:bookmarkEnd w:id="17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963468" w:rsidRDefault="00963468" w:rsidP="00963468">
      <w:pPr>
        <w:pStyle w:val="RecommendationStyle"/>
        <w:tabs>
          <w:tab w:val="clear" w:pos="57"/>
        </w:tabs>
      </w:pPr>
      <w:bookmarkStart w:id="201" w:name="_Toc326243428"/>
      <w:bookmarkEnd w:id="201"/>
    </w:p>
    <w:p w:rsidR="0022195F" w:rsidRPr="00735822" w:rsidRDefault="005B35D2" w:rsidP="008526F9">
      <w:pPr>
        <w:pStyle w:val="RecommendationStyle"/>
        <w:numPr>
          <w:ilvl w:val="0"/>
          <w:numId w:val="0"/>
        </w:numPr>
        <w:rPr>
          <w:i w:val="0"/>
        </w:rPr>
      </w:pPr>
      <w:bookmarkStart w:id="202" w:name="_Toc326243429"/>
      <w:r w:rsidRPr="00735822">
        <w:rPr>
          <w:i w:val="0"/>
        </w:rPr>
        <w:t>A post implementation RIS should be commissioned urgently to review the effects of the changes to charges.</w:t>
      </w:r>
      <w:bookmarkEnd w:id="193"/>
      <w:bookmarkEnd w:id="194"/>
      <w:bookmarkEnd w:id="195"/>
      <w:bookmarkEnd w:id="196"/>
      <w:bookmarkEnd w:id="197"/>
      <w:bookmarkEnd w:id="198"/>
      <w:bookmarkEnd w:id="199"/>
      <w:bookmarkEnd w:id="200"/>
      <w:bookmarkEnd w:id="202"/>
      <w:r w:rsidRPr="00735822">
        <w:rPr>
          <w:i w:val="0"/>
        </w:rPr>
        <w:t xml:space="preserve"> </w:t>
      </w:r>
      <w:bookmarkStart w:id="203" w:name="_Toc301962922"/>
      <w:bookmarkStart w:id="204" w:name="_Toc301963179"/>
      <w:bookmarkStart w:id="205" w:name="_Toc310334025"/>
      <w:bookmarkStart w:id="206" w:name="_Toc323306638"/>
      <w:bookmarkStart w:id="207" w:name="_Toc325467723"/>
      <w:bookmarkStart w:id="208" w:name="_Toc325530369"/>
      <w:bookmarkStart w:id="209" w:name="_Toc325532656"/>
      <w:bookmarkStart w:id="210" w:name="_Toc325984617"/>
      <w:bookmarkStart w:id="211" w:name="_Toc301962926"/>
      <w:bookmarkStart w:id="212" w:name="_Toc292437885"/>
      <w:bookmarkStart w:id="213" w:name="_Toc292438370"/>
      <w:bookmarkStart w:id="214" w:name="_Toc292438581"/>
      <w:bookmarkStart w:id="215" w:name="_Toc292438793"/>
      <w:bookmarkStart w:id="216" w:name="_Toc292439004"/>
      <w:bookmarkStart w:id="217" w:name="_Toc292439218"/>
      <w:bookmarkStart w:id="218" w:name="_Toc292439429"/>
      <w:bookmarkStart w:id="219" w:name="_Toc292439640"/>
      <w:bookmarkStart w:id="220" w:name="_Toc292448896"/>
      <w:bookmarkStart w:id="221" w:name="_Toc292455397"/>
      <w:bookmarkStart w:id="222" w:name="_Toc292455721"/>
      <w:bookmarkStart w:id="223" w:name="_Toc292457142"/>
      <w:bookmarkStart w:id="224" w:name="_Toc292460806"/>
      <w:bookmarkStart w:id="225" w:name="_Toc29246100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B53F8" w:rsidRPr="0022195F" w:rsidRDefault="007B53F8" w:rsidP="0022195F">
      <w:pPr>
        <w:spacing w:line="269" w:lineRule="auto"/>
        <w:rPr>
          <w:rFonts w:ascii="Arial" w:hAnsi="Arial" w:cs="Arial"/>
          <w:sz w:val="20"/>
          <w:szCs w:val="20"/>
        </w:rPr>
      </w:pPr>
    </w:p>
    <w:p w:rsidR="00E33C84" w:rsidRPr="009F0928" w:rsidRDefault="00E33C84" w:rsidP="00EB0B2D">
      <w:pPr>
        <w:pStyle w:val="Heading1"/>
      </w:pPr>
      <w:bookmarkStart w:id="226" w:name="_Toc326240362"/>
      <w:r w:rsidRPr="009F0928">
        <w:t>Concerns for the future</w:t>
      </w:r>
      <w:bookmarkEnd w:id="226"/>
      <w:r w:rsidRPr="009F0928">
        <w:t xml:space="preserve"> </w:t>
      </w:r>
    </w:p>
    <w:p w:rsidR="00E33C84" w:rsidRPr="0022195F" w:rsidRDefault="00E33C84" w:rsidP="0022195F">
      <w:pPr>
        <w:spacing w:line="269" w:lineRule="auto"/>
        <w:rPr>
          <w:rFonts w:ascii="Arial" w:hAnsi="Arial" w:cs="Arial"/>
          <w:sz w:val="20"/>
          <w:szCs w:val="20"/>
        </w:rPr>
      </w:pPr>
    </w:p>
    <w:p w:rsidR="00916676" w:rsidRPr="0022195F" w:rsidRDefault="005433BB" w:rsidP="0022195F">
      <w:pPr>
        <w:spacing w:line="269" w:lineRule="auto"/>
        <w:rPr>
          <w:rFonts w:ascii="Arial" w:hAnsi="Arial" w:cs="Arial"/>
          <w:sz w:val="20"/>
          <w:szCs w:val="20"/>
        </w:rPr>
      </w:pPr>
      <w:bookmarkStart w:id="227" w:name="_Toc325530373"/>
      <w:bookmarkStart w:id="228" w:name="_Toc325532660"/>
      <w:bookmarkStart w:id="229" w:name="_Toc325984621"/>
      <w:bookmarkStart w:id="230" w:name="_Toc326135043"/>
      <w:bookmarkStart w:id="231" w:name="_Toc326136545"/>
      <w:bookmarkStart w:id="232" w:name="_Toc326137017"/>
      <w:bookmarkStart w:id="233" w:name="_Toc326156193"/>
      <w:r w:rsidRPr="0022195F">
        <w:rPr>
          <w:rFonts w:ascii="Arial" w:hAnsi="Arial" w:cs="Arial"/>
          <w:sz w:val="20"/>
          <w:szCs w:val="20"/>
        </w:rPr>
        <w:t xml:space="preserve">On </w:t>
      </w:r>
      <w:r w:rsidR="0070157F">
        <w:rPr>
          <w:rFonts w:ascii="Arial" w:hAnsi="Arial" w:cs="Arial"/>
          <w:sz w:val="20"/>
          <w:szCs w:val="20"/>
        </w:rPr>
        <w:t>18 May 2012</w:t>
      </w:r>
      <w:r w:rsidRPr="0022195F">
        <w:rPr>
          <w:rFonts w:ascii="Arial" w:hAnsi="Arial" w:cs="Arial"/>
          <w:sz w:val="20"/>
          <w:szCs w:val="20"/>
        </w:rPr>
        <w:t xml:space="preserve"> SCOTI voted that the NTC should carry out a new charges determination</w:t>
      </w:r>
      <w:r w:rsidR="00E33C84" w:rsidRPr="0022195F">
        <w:rPr>
          <w:rFonts w:ascii="Arial" w:hAnsi="Arial" w:cs="Arial"/>
          <w:sz w:val="20"/>
          <w:szCs w:val="20"/>
        </w:rPr>
        <w:t>. The deadline f</w:t>
      </w:r>
      <w:r w:rsidR="00722C03" w:rsidRPr="0022195F">
        <w:rPr>
          <w:rFonts w:ascii="Arial" w:hAnsi="Arial" w:cs="Arial"/>
          <w:sz w:val="20"/>
          <w:szCs w:val="20"/>
        </w:rPr>
        <w:t>or the completion</w:t>
      </w:r>
      <w:r w:rsidR="00E33C84" w:rsidRPr="0022195F">
        <w:rPr>
          <w:rFonts w:ascii="Arial" w:hAnsi="Arial" w:cs="Arial"/>
          <w:sz w:val="20"/>
          <w:szCs w:val="20"/>
        </w:rPr>
        <w:t xml:space="preserve"> is mid</w:t>
      </w:r>
      <w:r w:rsidR="0070157F">
        <w:rPr>
          <w:rFonts w:ascii="Arial" w:hAnsi="Arial" w:cs="Arial"/>
          <w:sz w:val="20"/>
          <w:szCs w:val="20"/>
        </w:rPr>
        <w:t>-</w:t>
      </w:r>
      <w:r w:rsidR="00E33C84" w:rsidRPr="0022195F">
        <w:rPr>
          <w:rFonts w:ascii="Arial" w:hAnsi="Arial" w:cs="Arial"/>
          <w:sz w:val="20"/>
          <w:szCs w:val="20"/>
        </w:rPr>
        <w:t xml:space="preserve">2013. </w:t>
      </w:r>
      <w:r w:rsidR="00916676">
        <w:rPr>
          <w:rFonts w:ascii="Arial" w:hAnsi="Arial" w:cs="Arial"/>
          <w:sz w:val="20"/>
          <w:szCs w:val="20"/>
        </w:rPr>
        <w:t xml:space="preserve">Given the failings of this projects regulatory impact analysis, confidence that the NTC can conduct a professional review in the future is at rock bottom.  </w:t>
      </w:r>
      <w:bookmarkEnd w:id="227"/>
      <w:bookmarkEnd w:id="228"/>
      <w:bookmarkEnd w:id="229"/>
      <w:bookmarkEnd w:id="230"/>
      <w:bookmarkEnd w:id="231"/>
      <w:bookmarkEnd w:id="232"/>
      <w:bookmarkEnd w:id="233"/>
    </w:p>
    <w:p w:rsidR="00722C03" w:rsidRPr="0022195F" w:rsidRDefault="00722C03" w:rsidP="0022195F">
      <w:pPr>
        <w:spacing w:line="269" w:lineRule="auto"/>
        <w:rPr>
          <w:rFonts w:ascii="Arial" w:hAnsi="Arial" w:cs="Arial"/>
          <w:sz w:val="20"/>
          <w:szCs w:val="20"/>
        </w:rPr>
      </w:pPr>
    </w:p>
    <w:p w:rsidR="00722C03" w:rsidRPr="0022195F" w:rsidRDefault="00722C03" w:rsidP="0022195F">
      <w:pPr>
        <w:spacing w:line="269" w:lineRule="auto"/>
        <w:rPr>
          <w:rFonts w:ascii="Arial" w:hAnsi="Arial" w:cs="Arial"/>
          <w:sz w:val="20"/>
          <w:szCs w:val="20"/>
        </w:rPr>
      </w:pPr>
      <w:bookmarkStart w:id="234" w:name="_Toc325530374"/>
      <w:bookmarkStart w:id="235" w:name="_Toc325532661"/>
      <w:bookmarkStart w:id="236" w:name="_Toc325984622"/>
      <w:bookmarkStart w:id="237" w:name="_Toc326135044"/>
      <w:bookmarkStart w:id="238" w:name="_Toc326136546"/>
      <w:bookmarkStart w:id="239" w:name="_Toc326137018"/>
      <w:bookmarkStart w:id="240" w:name="_Toc326156194"/>
      <w:r w:rsidRPr="0022195F">
        <w:rPr>
          <w:rFonts w:ascii="Arial" w:hAnsi="Arial" w:cs="Arial"/>
          <w:sz w:val="20"/>
          <w:szCs w:val="20"/>
        </w:rPr>
        <w:t>In order to feel that the NTC is working with industry</w:t>
      </w:r>
      <w:r w:rsidR="0070157F">
        <w:rPr>
          <w:rFonts w:ascii="Arial" w:hAnsi="Arial" w:cs="Arial"/>
          <w:sz w:val="20"/>
          <w:szCs w:val="20"/>
        </w:rPr>
        <w:t>,</w:t>
      </w:r>
      <w:r w:rsidRPr="0022195F">
        <w:rPr>
          <w:rFonts w:ascii="Arial" w:hAnsi="Arial" w:cs="Arial"/>
          <w:sz w:val="20"/>
          <w:szCs w:val="20"/>
        </w:rPr>
        <w:t xml:space="preserve"> </w:t>
      </w:r>
      <w:r w:rsidR="0070157F">
        <w:rPr>
          <w:rFonts w:ascii="Arial" w:hAnsi="Arial" w:cs="Arial"/>
          <w:sz w:val="20"/>
          <w:szCs w:val="20"/>
        </w:rPr>
        <w:t>t</w:t>
      </w:r>
      <w:r w:rsidRPr="0022195F">
        <w:rPr>
          <w:rFonts w:ascii="Arial" w:hAnsi="Arial" w:cs="Arial"/>
          <w:sz w:val="20"/>
          <w:szCs w:val="20"/>
        </w:rPr>
        <w:t>here would have to be greater external review of the NTC work,</w:t>
      </w:r>
      <w:r w:rsidR="00E7739C" w:rsidRPr="0022195F">
        <w:rPr>
          <w:rFonts w:ascii="Arial" w:hAnsi="Arial" w:cs="Arial"/>
          <w:sz w:val="20"/>
          <w:szCs w:val="20"/>
        </w:rPr>
        <w:t xml:space="preserve"> by industry and </w:t>
      </w:r>
      <w:r w:rsidRPr="0022195F">
        <w:rPr>
          <w:rFonts w:ascii="Arial" w:hAnsi="Arial" w:cs="Arial"/>
          <w:sz w:val="20"/>
          <w:szCs w:val="20"/>
        </w:rPr>
        <w:t>road agencies taking the proper time to examine the NCT work</w:t>
      </w:r>
      <w:r w:rsidR="0070157F">
        <w:rPr>
          <w:rFonts w:ascii="Arial" w:hAnsi="Arial" w:cs="Arial"/>
          <w:sz w:val="20"/>
          <w:szCs w:val="20"/>
        </w:rPr>
        <w:t>. M</w:t>
      </w:r>
      <w:r w:rsidRPr="0022195F">
        <w:rPr>
          <w:rFonts w:ascii="Arial" w:hAnsi="Arial" w:cs="Arial"/>
          <w:sz w:val="20"/>
          <w:szCs w:val="20"/>
        </w:rPr>
        <w:t xml:space="preserve">any </w:t>
      </w:r>
      <w:r w:rsidR="00916676">
        <w:rPr>
          <w:rFonts w:ascii="Arial" w:hAnsi="Arial" w:cs="Arial"/>
          <w:sz w:val="20"/>
          <w:szCs w:val="20"/>
        </w:rPr>
        <w:t>l</w:t>
      </w:r>
      <w:r w:rsidRPr="0022195F">
        <w:rPr>
          <w:rFonts w:ascii="Arial" w:hAnsi="Arial" w:cs="Arial"/>
          <w:sz w:val="20"/>
          <w:szCs w:val="20"/>
        </w:rPr>
        <w:t>ack the in-depth knowledge required to scrutinise the charges model.</w:t>
      </w:r>
      <w:bookmarkEnd w:id="234"/>
      <w:bookmarkEnd w:id="235"/>
      <w:bookmarkEnd w:id="236"/>
      <w:bookmarkEnd w:id="237"/>
      <w:bookmarkEnd w:id="238"/>
      <w:bookmarkEnd w:id="239"/>
      <w:bookmarkEnd w:id="240"/>
      <w:r w:rsidRPr="0022195F">
        <w:rPr>
          <w:rFonts w:ascii="Arial" w:hAnsi="Arial" w:cs="Arial"/>
          <w:sz w:val="20"/>
          <w:szCs w:val="20"/>
        </w:rPr>
        <w:t xml:space="preserve"> </w:t>
      </w:r>
    </w:p>
    <w:p w:rsidR="00C31D5B" w:rsidRDefault="00C31D5B" w:rsidP="0022195F">
      <w:pPr>
        <w:spacing w:line="269" w:lineRule="auto"/>
        <w:rPr>
          <w:rFonts w:ascii="Arial" w:hAnsi="Arial" w:cs="Arial"/>
          <w:sz w:val="20"/>
          <w:szCs w:val="20"/>
        </w:rPr>
      </w:pPr>
    </w:p>
    <w:p w:rsidR="00C31D5B" w:rsidRDefault="00C31D5B" w:rsidP="0022195F">
      <w:pPr>
        <w:spacing w:line="269" w:lineRule="auto"/>
        <w:rPr>
          <w:rFonts w:ascii="Arial" w:hAnsi="Arial" w:cs="Arial"/>
          <w:sz w:val="20"/>
          <w:szCs w:val="20"/>
        </w:rPr>
      </w:pPr>
      <w:r>
        <w:rPr>
          <w:rFonts w:ascii="Arial" w:hAnsi="Arial" w:cs="Arial"/>
          <w:sz w:val="20"/>
          <w:szCs w:val="20"/>
        </w:rPr>
        <w:t xml:space="preserve">Further frustration has arisen as even after providing </w:t>
      </w:r>
      <w:r w:rsidR="00CA1F74">
        <w:rPr>
          <w:rFonts w:ascii="Arial" w:hAnsi="Arial" w:cs="Arial"/>
          <w:sz w:val="20"/>
          <w:szCs w:val="20"/>
        </w:rPr>
        <w:t xml:space="preserve">sufficient and supported </w:t>
      </w:r>
      <w:r>
        <w:rPr>
          <w:rFonts w:ascii="Arial" w:hAnsi="Arial" w:cs="Arial"/>
          <w:sz w:val="20"/>
          <w:szCs w:val="20"/>
        </w:rPr>
        <w:t xml:space="preserve">evidence of the </w:t>
      </w:r>
      <w:r w:rsidRPr="00C31D5B">
        <w:rPr>
          <w:rFonts w:ascii="Arial" w:hAnsi="Arial" w:cs="Arial"/>
          <w:sz w:val="20"/>
          <w:szCs w:val="20"/>
        </w:rPr>
        <w:t>effects of what the charges will have on industry</w:t>
      </w:r>
      <w:r>
        <w:rPr>
          <w:rFonts w:ascii="Arial" w:hAnsi="Arial" w:cs="Arial"/>
          <w:sz w:val="20"/>
          <w:szCs w:val="20"/>
        </w:rPr>
        <w:t xml:space="preserve"> and the questionable inputs and process of the charges model</w:t>
      </w:r>
      <w:r w:rsidR="00CA1F74">
        <w:rPr>
          <w:rFonts w:ascii="Arial" w:hAnsi="Arial" w:cs="Arial"/>
          <w:sz w:val="20"/>
          <w:szCs w:val="20"/>
        </w:rPr>
        <w:t>, the NTC</w:t>
      </w:r>
      <w:r w:rsidR="00735822">
        <w:rPr>
          <w:rFonts w:ascii="Arial" w:hAnsi="Arial" w:cs="Arial"/>
          <w:sz w:val="20"/>
          <w:szCs w:val="20"/>
        </w:rPr>
        <w:t>’</w:t>
      </w:r>
      <w:r w:rsidR="00CA1F74">
        <w:rPr>
          <w:rFonts w:ascii="Arial" w:hAnsi="Arial" w:cs="Arial"/>
          <w:sz w:val="20"/>
          <w:szCs w:val="20"/>
        </w:rPr>
        <w:t xml:space="preserve">s recommendations were </w:t>
      </w:r>
      <w:r w:rsidR="003A6D8A">
        <w:rPr>
          <w:rFonts w:ascii="Arial" w:hAnsi="Arial" w:cs="Arial"/>
          <w:sz w:val="20"/>
          <w:szCs w:val="20"/>
        </w:rPr>
        <w:t>sanctioned</w:t>
      </w:r>
      <w:r w:rsidR="00CA1F74">
        <w:rPr>
          <w:rFonts w:ascii="Arial" w:hAnsi="Arial" w:cs="Arial"/>
          <w:sz w:val="20"/>
          <w:szCs w:val="20"/>
        </w:rPr>
        <w:t xml:space="preserve"> by the majority of Ministers. </w:t>
      </w:r>
    </w:p>
    <w:p w:rsidR="00C31D5B" w:rsidRDefault="00C31D5B" w:rsidP="0022195F">
      <w:pPr>
        <w:spacing w:line="269" w:lineRule="auto"/>
        <w:rPr>
          <w:rFonts w:ascii="Arial" w:hAnsi="Arial" w:cs="Arial"/>
          <w:sz w:val="20"/>
          <w:szCs w:val="20"/>
        </w:rPr>
      </w:pPr>
    </w:p>
    <w:p w:rsidR="00C31D5B" w:rsidRDefault="00C31D5B" w:rsidP="0022195F">
      <w:pPr>
        <w:spacing w:line="269" w:lineRule="auto"/>
        <w:rPr>
          <w:rFonts w:ascii="Arial" w:hAnsi="Arial" w:cs="Arial"/>
          <w:sz w:val="20"/>
          <w:szCs w:val="20"/>
        </w:rPr>
      </w:pPr>
    </w:p>
    <w:p w:rsidR="00C31D5B" w:rsidRDefault="00C31D5B" w:rsidP="0022195F">
      <w:pPr>
        <w:spacing w:line="269" w:lineRule="auto"/>
        <w:rPr>
          <w:rFonts w:ascii="Arial" w:hAnsi="Arial" w:cs="Arial"/>
          <w:sz w:val="20"/>
          <w:szCs w:val="20"/>
        </w:rPr>
      </w:pPr>
    </w:p>
    <w:p w:rsidR="00907971" w:rsidRPr="0022195F" w:rsidRDefault="00907971" w:rsidP="00753FA4">
      <w:pPr>
        <w:rPr>
          <w:rFonts w:ascii="Arial" w:hAnsi="Arial" w:cs="Arial"/>
          <w:sz w:val="20"/>
          <w:szCs w:val="20"/>
        </w:rPr>
      </w:pPr>
    </w:p>
    <w:p w:rsidR="007C4CDA" w:rsidRPr="0022195F" w:rsidRDefault="0070157F" w:rsidP="0022195F">
      <w:pPr>
        <w:spacing w:line="269" w:lineRule="auto"/>
        <w:rPr>
          <w:rFonts w:ascii="Arial" w:hAnsi="Arial" w:cs="Arial"/>
          <w:sz w:val="20"/>
          <w:szCs w:val="20"/>
        </w:rPr>
      </w:pPr>
      <w:bookmarkStart w:id="241" w:name="_Toc325529854"/>
      <w:bookmarkStart w:id="242" w:name="_Toc325530340"/>
      <w:bookmarkStart w:id="243" w:name="_Toc325532569"/>
      <w:bookmarkStart w:id="244" w:name="_Toc325984636"/>
      <w:bookmarkStart w:id="245" w:name="_Toc326133904"/>
      <w:bookmarkStart w:id="246" w:name="_Toc326156196"/>
      <w:r>
        <w:rPr>
          <w:rFonts w:ascii="Arial" w:hAnsi="Arial" w:cs="Arial"/>
          <w:sz w:val="20"/>
          <w:szCs w:val="20"/>
        </w:rPr>
        <w:t>T</w:t>
      </w:r>
      <w:r w:rsidR="00834350" w:rsidRPr="0022195F">
        <w:rPr>
          <w:rFonts w:ascii="Arial" w:hAnsi="Arial" w:cs="Arial"/>
          <w:sz w:val="20"/>
          <w:szCs w:val="20"/>
        </w:rPr>
        <w:t xml:space="preserve">he ATA supports the </w:t>
      </w:r>
      <w:r>
        <w:rPr>
          <w:rFonts w:ascii="Arial" w:hAnsi="Arial" w:cs="Arial"/>
          <w:sz w:val="20"/>
          <w:szCs w:val="20"/>
        </w:rPr>
        <w:t>P</w:t>
      </w:r>
      <w:r w:rsidR="00834350" w:rsidRPr="0022195F">
        <w:rPr>
          <w:rFonts w:ascii="Arial" w:hAnsi="Arial" w:cs="Arial"/>
          <w:sz w:val="20"/>
          <w:szCs w:val="20"/>
        </w:rPr>
        <w:t xml:space="preserve">roductivity Commission examining why poorly designed regulation still exists. It is evident that it isn’t because the information and guidelines are not available, more so that government agencies </w:t>
      </w:r>
      <w:r w:rsidR="00116409">
        <w:rPr>
          <w:rFonts w:ascii="Arial" w:hAnsi="Arial" w:cs="Arial"/>
          <w:sz w:val="20"/>
          <w:szCs w:val="20"/>
        </w:rPr>
        <w:t>appear not to be</w:t>
      </w:r>
      <w:r w:rsidR="00834350" w:rsidRPr="0022195F">
        <w:rPr>
          <w:rFonts w:ascii="Arial" w:hAnsi="Arial" w:cs="Arial"/>
          <w:sz w:val="20"/>
          <w:szCs w:val="20"/>
        </w:rPr>
        <w:t xml:space="preserve"> aware of their responsibilities</w:t>
      </w:r>
      <w:bookmarkEnd w:id="241"/>
      <w:bookmarkEnd w:id="242"/>
      <w:r w:rsidR="00896D3E" w:rsidRPr="0022195F">
        <w:rPr>
          <w:rFonts w:ascii="Arial" w:hAnsi="Arial" w:cs="Arial"/>
          <w:sz w:val="20"/>
          <w:szCs w:val="20"/>
        </w:rPr>
        <w:t xml:space="preserve"> to the public.</w:t>
      </w:r>
      <w:bookmarkEnd w:id="243"/>
      <w:r w:rsidR="00896D3E" w:rsidRPr="0022195F">
        <w:rPr>
          <w:rFonts w:ascii="Arial" w:hAnsi="Arial" w:cs="Arial"/>
          <w:sz w:val="20"/>
          <w:szCs w:val="20"/>
        </w:rPr>
        <w:t xml:space="preserve"> </w:t>
      </w:r>
      <w:r w:rsidR="00E7739C" w:rsidRPr="0022195F">
        <w:rPr>
          <w:rFonts w:ascii="Arial" w:hAnsi="Arial" w:cs="Arial"/>
          <w:sz w:val="20"/>
          <w:szCs w:val="20"/>
        </w:rPr>
        <w:t xml:space="preserve">This leaves </w:t>
      </w:r>
      <w:r w:rsidR="00116409">
        <w:rPr>
          <w:rFonts w:ascii="Arial" w:hAnsi="Arial" w:cs="Arial"/>
          <w:sz w:val="20"/>
          <w:szCs w:val="20"/>
        </w:rPr>
        <w:t xml:space="preserve">a </w:t>
      </w:r>
      <w:r w:rsidR="00E7739C" w:rsidRPr="0022195F">
        <w:rPr>
          <w:rFonts w:ascii="Arial" w:hAnsi="Arial" w:cs="Arial"/>
          <w:sz w:val="20"/>
          <w:szCs w:val="20"/>
        </w:rPr>
        <w:t>lack of accountability by agency CEOs as a major weakness that needs to be corrected</w:t>
      </w:r>
      <w:bookmarkEnd w:id="244"/>
      <w:bookmarkEnd w:id="245"/>
      <w:r w:rsidR="00A86657" w:rsidRPr="0022195F">
        <w:rPr>
          <w:rFonts w:ascii="Arial" w:hAnsi="Arial" w:cs="Arial"/>
          <w:sz w:val="20"/>
          <w:szCs w:val="20"/>
        </w:rPr>
        <w:t>.</w:t>
      </w:r>
      <w:bookmarkEnd w:id="246"/>
    </w:p>
    <w:p w:rsidR="005B35D2" w:rsidRPr="009F0928" w:rsidRDefault="005B35D2" w:rsidP="00EB0B2D">
      <w:pPr>
        <w:pStyle w:val="RecommendationStyle"/>
        <w:numPr>
          <w:ilvl w:val="0"/>
          <w:numId w:val="0"/>
        </w:numPr>
      </w:pPr>
      <w:bookmarkStart w:id="247" w:name="_Toc325984611"/>
      <w:bookmarkStart w:id="248" w:name="_Toc326135046"/>
      <w:bookmarkStart w:id="249" w:name="_Toc326136548"/>
      <w:bookmarkStart w:id="250" w:name="_Toc326137020"/>
      <w:bookmarkStart w:id="251" w:name="_Toc326156197"/>
      <w:bookmarkStart w:id="252" w:name="_Toc326157490"/>
      <w:bookmarkStart w:id="253" w:name="_Toc326219490"/>
      <w:bookmarkStart w:id="254" w:name="_Toc326243430"/>
      <w:r w:rsidRPr="009F0928">
        <w:t>Recommendation</w:t>
      </w:r>
      <w:bookmarkEnd w:id="247"/>
      <w:bookmarkEnd w:id="248"/>
      <w:bookmarkEnd w:id="249"/>
      <w:bookmarkEnd w:id="250"/>
      <w:bookmarkEnd w:id="251"/>
      <w:bookmarkEnd w:id="252"/>
      <w:bookmarkEnd w:id="253"/>
      <w:r w:rsidR="00753FA4">
        <w:t xml:space="preserve"> 12</w:t>
      </w:r>
      <w:bookmarkEnd w:id="254"/>
      <w:r w:rsidRPr="009F0928">
        <w:t xml:space="preserve"> </w:t>
      </w:r>
    </w:p>
    <w:p w:rsidR="00EB0B2D" w:rsidRDefault="005B35D2" w:rsidP="00753FA4">
      <w:pPr>
        <w:pStyle w:val="RecommendationStyle2"/>
        <w:spacing w:line="269" w:lineRule="auto"/>
        <w:jc w:val="left"/>
        <w:rPr>
          <w:color w:val="000000" w:themeColor="text1"/>
        </w:rPr>
        <w:sectPr w:rsidR="00EB0B2D" w:rsidSect="00A9141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134" w:header="703" w:footer="298" w:gutter="0"/>
          <w:cols w:space="708"/>
          <w:docGrid w:linePitch="360"/>
        </w:sectPr>
      </w:pPr>
      <w:bookmarkStart w:id="255" w:name="_Toc325984612"/>
      <w:bookmarkStart w:id="256" w:name="_Toc326135047"/>
      <w:bookmarkStart w:id="257" w:name="_Toc326136549"/>
      <w:bookmarkStart w:id="258" w:name="_Toc326137021"/>
      <w:bookmarkStart w:id="259" w:name="_Toc326156198"/>
      <w:bookmarkStart w:id="260" w:name="_Toc326157491"/>
      <w:bookmarkStart w:id="261" w:name="_Toc326219491"/>
      <w:bookmarkStart w:id="262" w:name="_Toc326243431"/>
      <w:r w:rsidRPr="007B53F8">
        <w:rPr>
          <w:color w:val="000000" w:themeColor="text1"/>
        </w:rPr>
        <w:t>The Productivity Commission should recommend stronger RIS requirements with meaningful obligations on CEOs of agencies to meet these obligations. CEOs must be publically accountable for compliance with RIS obligations.</w:t>
      </w:r>
      <w:bookmarkEnd w:id="255"/>
      <w:bookmarkEnd w:id="256"/>
      <w:bookmarkEnd w:id="257"/>
      <w:bookmarkEnd w:id="258"/>
      <w:bookmarkEnd w:id="259"/>
      <w:bookmarkEnd w:id="260"/>
      <w:bookmarkEnd w:id="261"/>
      <w:bookmarkEnd w:id="262"/>
      <w:r w:rsidRPr="007B53F8">
        <w:rPr>
          <w:color w:val="000000" w:themeColor="text1"/>
        </w:rPr>
        <w:t xml:space="preserve"> </w:t>
      </w:r>
    </w:p>
    <w:p w:rsidR="00BA0A58" w:rsidRPr="00E761DA" w:rsidRDefault="00BA0A58" w:rsidP="00BA0A58">
      <w:pPr>
        <w:pStyle w:val="Heading1"/>
        <w:numPr>
          <w:ilvl w:val="0"/>
          <w:numId w:val="0"/>
        </w:numPr>
        <w:ind w:left="360" w:hanging="360"/>
        <w:rPr>
          <w:sz w:val="24"/>
          <w:szCs w:val="24"/>
        </w:rPr>
      </w:pPr>
      <w:bookmarkStart w:id="263" w:name="_Toc316983979"/>
      <w:bookmarkStart w:id="264" w:name="_Toc326240363"/>
      <w:r>
        <w:rPr>
          <w:sz w:val="24"/>
          <w:szCs w:val="24"/>
        </w:rPr>
        <w:lastRenderedPageBreak/>
        <w:t>A</w:t>
      </w:r>
      <w:r w:rsidR="00A86657">
        <w:rPr>
          <w:sz w:val="24"/>
          <w:szCs w:val="24"/>
        </w:rPr>
        <w:t>ttachment</w:t>
      </w:r>
      <w:r>
        <w:rPr>
          <w:sz w:val="24"/>
          <w:szCs w:val="24"/>
        </w:rPr>
        <w:t xml:space="preserve"> A - The ATA and Barkwood Consulting Pty Ltd Truck Impact Chart</w:t>
      </w:r>
      <w:bookmarkEnd w:id="263"/>
      <w:bookmarkEnd w:id="264"/>
    </w:p>
    <w:p w:rsidR="00BA0A58" w:rsidRDefault="00BA0A58" w:rsidP="0022195F">
      <w:pPr>
        <w:spacing w:line="260" w:lineRule="atLeast"/>
        <w:rPr>
          <w:rFonts w:ascii="Arial" w:hAnsi="Arial" w:cs="Arial"/>
          <w:sz w:val="20"/>
          <w:szCs w:val="20"/>
        </w:rPr>
      </w:pPr>
    </w:p>
    <w:p w:rsidR="00BA0A58" w:rsidRDefault="00BA0A58" w:rsidP="0022195F">
      <w:pPr>
        <w:spacing w:line="260" w:lineRule="atLeast"/>
        <w:rPr>
          <w:rFonts w:ascii="Arial" w:hAnsi="Arial" w:cs="Arial"/>
          <w:sz w:val="20"/>
          <w:szCs w:val="20"/>
        </w:rPr>
      </w:pPr>
      <w:r>
        <w:rPr>
          <w:rFonts w:ascii="Arial" w:hAnsi="Arial" w:cs="Arial"/>
          <w:sz w:val="20"/>
          <w:szCs w:val="20"/>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BA0A58" w:rsidRDefault="00BA0A58" w:rsidP="0022195F">
      <w:pPr>
        <w:spacing w:line="260" w:lineRule="atLeast"/>
        <w:rPr>
          <w:rFonts w:ascii="Arial" w:hAnsi="Arial" w:cs="Arial"/>
          <w:sz w:val="20"/>
          <w:szCs w:val="20"/>
        </w:rPr>
      </w:pPr>
    </w:p>
    <w:p w:rsidR="00BA0A58" w:rsidRDefault="00BA0A58" w:rsidP="0022195F">
      <w:pPr>
        <w:spacing w:line="260" w:lineRule="atLeast"/>
        <w:rPr>
          <w:rFonts w:ascii="Arial" w:hAnsi="Arial" w:cs="Arial"/>
          <w:sz w:val="20"/>
          <w:szCs w:val="20"/>
        </w:rPr>
      </w:pPr>
      <w:r>
        <w:rPr>
          <w:rFonts w:ascii="Arial" w:hAnsi="Arial" w:cs="Arial"/>
          <w:sz w:val="20"/>
          <w:szCs w:val="20"/>
        </w:rPr>
        <w:t>The Truck Impact Chart h</w:t>
      </w:r>
      <w:r w:rsidRPr="00F8285B">
        <w:rPr>
          <w:rFonts w:ascii="Arial" w:hAnsi="Arial" w:cs="Arial"/>
          <w:sz w:val="20"/>
          <w:szCs w:val="20"/>
        </w:rPr>
        <w:t>as</w:t>
      </w:r>
      <w:r>
        <w:rPr>
          <w:rFonts w:ascii="Arial" w:hAnsi="Arial" w:cs="Arial"/>
          <w:sz w:val="20"/>
          <w:szCs w:val="20"/>
        </w:rPr>
        <w:t xml:space="preserve"> been reviewed </w:t>
      </w:r>
      <w:r w:rsidRPr="00F8285B">
        <w:rPr>
          <w:rFonts w:ascii="Arial" w:hAnsi="Arial" w:cs="Arial"/>
          <w:sz w:val="20"/>
          <w:szCs w:val="20"/>
        </w:rPr>
        <w:t>RTA’s Senior Pavement Engineer, Ravindra Prathapa</w:t>
      </w:r>
      <w:r>
        <w:rPr>
          <w:rFonts w:ascii="Arial" w:hAnsi="Arial" w:cs="Arial"/>
          <w:sz w:val="20"/>
          <w:szCs w:val="20"/>
        </w:rPr>
        <w:t xml:space="preserve">. </w:t>
      </w:r>
      <w:r w:rsidRPr="00F8285B">
        <w:rPr>
          <w:rFonts w:ascii="Arial" w:hAnsi="Arial" w:cs="Arial"/>
          <w:sz w:val="20"/>
          <w:szCs w:val="20"/>
        </w:rPr>
        <w:t>The Truck Impact Chart has also been separately peer reviewed by Bob Pearson, Pearson Transport Resources, and was referred to by TheCIE in the Benefit/Cost Analysis for the National Heavy Vehicle Regulator draft Regulatory Impact Statement, released in February 2011.</w:t>
      </w:r>
    </w:p>
    <w:p w:rsidR="00BA0A58" w:rsidRDefault="00BA0A58" w:rsidP="0022195F">
      <w:pPr>
        <w:spacing w:line="26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2"/>
        <w:gridCol w:w="1309"/>
        <w:gridCol w:w="5528"/>
        <w:gridCol w:w="4536"/>
      </w:tblGrid>
      <w:tr w:rsidR="00BA0A58" w:rsidTr="007B53F8">
        <w:trPr>
          <w:trHeight w:val="495"/>
        </w:trPr>
        <w:tc>
          <w:tcPr>
            <w:tcW w:w="3052" w:type="dxa"/>
            <w:vMerge w:val="restart"/>
          </w:tcPr>
          <w:p w:rsidR="00BA0A58" w:rsidRDefault="00BA0A58" w:rsidP="007B53F8">
            <w:pPr>
              <w:spacing w:line="280" w:lineRule="atLeast"/>
              <w:jc w:val="both"/>
              <w:rPr>
                <w:rFonts w:ascii="Arial" w:hAnsi="Arial" w:cs="Arial"/>
                <w:sz w:val="20"/>
                <w:szCs w:val="20"/>
              </w:rPr>
            </w:pPr>
            <w:r>
              <w:rPr>
                <w:noProof/>
                <w:lang w:eastAsia="en-AU"/>
              </w:rPr>
              <w:drawing>
                <wp:inline distT="0" distB="0" distL="0" distR="0">
                  <wp:extent cx="1440000" cy="632601"/>
                  <wp:effectExtent l="19050" t="0" r="7800" b="0"/>
                  <wp:docPr id="2"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19"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1309" w:type="dxa"/>
            <w:vMerge w:val="restart"/>
            <w:vAlign w:val="center"/>
          </w:tcPr>
          <w:p w:rsidR="00BA0A58" w:rsidRDefault="00BA0A58" w:rsidP="007B53F8">
            <w:pPr>
              <w:spacing w:line="280" w:lineRule="atLeast"/>
              <w:ind w:right="176"/>
              <w:jc w:val="right"/>
              <w:rPr>
                <w:rFonts w:ascii="Arial" w:hAnsi="Arial" w:cs="Arial"/>
                <w:sz w:val="20"/>
                <w:szCs w:val="20"/>
              </w:rPr>
            </w:pPr>
            <w:r w:rsidRPr="00502034">
              <w:rPr>
                <w:rFonts w:ascii="Arial" w:hAnsi="Arial" w:cs="Arial"/>
                <w:b/>
              </w:rPr>
              <w:t>Authors:</w:t>
            </w:r>
          </w:p>
        </w:tc>
        <w:tc>
          <w:tcPr>
            <w:tcW w:w="5528" w:type="dxa"/>
            <w:vAlign w:val="bottom"/>
          </w:tcPr>
          <w:p w:rsidR="00BA0A58" w:rsidRDefault="00BA0A58" w:rsidP="007B53F8">
            <w:pPr>
              <w:spacing w:line="280" w:lineRule="atLeast"/>
              <w:rPr>
                <w:rFonts w:ascii="Arial" w:hAnsi="Arial" w:cs="Arial"/>
                <w:sz w:val="20"/>
                <w:szCs w:val="20"/>
              </w:rPr>
            </w:pPr>
            <w:r w:rsidRPr="00502034">
              <w:rPr>
                <w:rFonts w:ascii="Arial" w:hAnsi="Arial" w:cs="Arial"/>
                <w:b/>
              </w:rPr>
              <w:t>David Coonan - Australian Trucking Association</w:t>
            </w:r>
          </w:p>
        </w:tc>
        <w:tc>
          <w:tcPr>
            <w:tcW w:w="4536" w:type="dxa"/>
            <w:vMerge w:val="restart"/>
            <w:vAlign w:val="center"/>
          </w:tcPr>
          <w:p w:rsidR="00BA0A58" w:rsidRDefault="00BA0A58" w:rsidP="007B53F8">
            <w:pPr>
              <w:spacing w:line="280" w:lineRule="atLeast"/>
              <w:jc w:val="right"/>
              <w:rPr>
                <w:rFonts w:ascii="Arial" w:hAnsi="Arial" w:cs="Arial"/>
                <w:sz w:val="20"/>
                <w:szCs w:val="20"/>
              </w:rPr>
            </w:pPr>
            <w:r w:rsidRPr="004623C2">
              <w:rPr>
                <w:rFonts w:ascii="Vineta BT" w:hAnsi="Vineta BT"/>
                <w:color w:val="0000FF"/>
                <w:sz w:val="28"/>
                <w:szCs w:val="28"/>
              </w:rPr>
              <w:t>BARKWOOD</w:t>
            </w:r>
            <w:r w:rsidRPr="004623C2">
              <w:rPr>
                <w:sz w:val="28"/>
                <w:szCs w:val="28"/>
              </w:rPr>
              <w:t xml:space="preserve"> </w:t>
            </w:r>
            <w:r w:rsidRPr="004623C2">
              <w:rPr>
                <w:rFonts w:ascii="Times New Roman" w:hAnsi="Times New Roman"/>
                <w:sz w:val="28"/>
                <w:szCs w:val="28"/>
              </w:rPr>
              <w:t>CONSULTING Pty Ltd</w:t>
            </w:r>
          </w:p>
        </w:tc>
      </w:tr>
      <w:tr w:rsidR="00BA0A58" w:rsidTr="007B53F8">
        <w:trPr>
          <w:trHeight w:val="495"/>
        </w:trPr>
        <w:tc>
          <w:tcPr>
            <w:tcW w:w="3052" w:type="dxa"/>
            <w:vMerge/>
          </w:tcPr>
          <w:p w:rsidR="00BA0A58" w:rsidRDefault="00BA0A58" w:rsidP="007B53F8">
            <w:pPr>
              <w:spacing w:line="280" w:lineRule="atLeast"/>
              <w:jc w:val="both"/>
              <w:rPr>
                <w:noProof/>
              </w:rPr>
            </w:pPr>
          </w:p>
        </w:tc>
        <w:tc>
          <w:tcPr>
            <w:tcW w:w="1309" w:type="dxa"/>
            <w:vMerge/>
          </w:tcPr>
          <w:p w:rsidR="00BA0A58" w:rsidRDefault="00BA0A58" w:rsidP="007B53F8">
            <w:pPr>
              <w:spacing w:line="280" w:lineRule="atLeast"/>
              <w:jc w:val="both"/>
              <w:rPr>
                <w:rFonts w:ascii="Arial" w:hAnsi="Arial" w:cs="Arial"/>
                <w:sz w:val="20"/>
                <w:szCs w:val="20"/>
              </w:rPr>
            </w:pPr>
          </w:p>
        </w:tc>
        <w:tc>
          <w:tcPr>
            <w:tcW w:w="5528" w:type="dxa"/>
          </w:tcPr>
          <w:p w:rsidR="00BA0A58" w:rsidRDefault="00BA0A58" w:rsidP="007B53F8">
            <w:pPr>
              <w:spacing w:line="280" w:lineRule="atLeast"/>
              <w:ind w:right="-250"/>
              <w:rPr>
                <w:rFonts w:ascii="Arial" w:hAnsi="Arial" w:cs="Arial"/>
                <w:sz w:val="20"/>
                <w:szCs w:val="20"/>
              </w:rPr>
            </w:pPr>
            <w:r w:rsidRPr="00502034">
              <w:rPr>
                <w:rFonts w:ascii="Arial" w:hAnsi="Arial" w:cs="Arial"/>
                <w:b/>
              </w:rPr>
              <w:t>Bob Woodward - Barkwood Consulting Pty Ltd.</w:t>
            </w:r>
          </w:p>
        </w:tc>
        <w:tc>
          <w:tcPr>
            <w:tcW w:w="4536" w:type="dxa"/>
            <w:vMerge/>
            <w:vAlign w:val="center"/>
          </w:tcPr>
          <w:p w:rsidR="00BA0A58" w:rsidRPr="004623C2" w:rsidRDefault="00BA0A58" w:rsidP="007B53F8">
            <w:pPr>
              <w:spacing w:line="280" w:lineRule="atLeast"/>
              <w:jc w:val="right"/>
              <w:rPr>
                <w:rFonts w:ascii="Vineta BT" w:hAnsi="Vineta BT"/>
                <w:color w:val="0000FF"/>
                <w:sz w:val="28"/>
                <w:szCs w:val="28"/>
              </w:rPr>
            </w:pPr>
          </w:p>
        </w:tc>
      </w:tr>
    </w:tbl>
    <w:p w:rsidR="00BA0A58" w:rsidRPr="00502034" w:rsidRDefault="00BA0A58" w:rsidP="0022195F">
      <w:pPr>
        <w:spacing w:after="120"/>
        <w:rPr>
          <w:rFonts w:ascii="Arial" w:hAnsi="Arial" w:cs="Arial"/>
          <w:sz w:val="20"/>
          <w:szCs w:val="20"/>
        </w:rPr>
      </w:pPr>
      <w:r w:rsidRPr="00502034">
        <w:rPr>
          <w:rFonts w:ascii="Arial" w:hAnsi="Arial" w:cs="Arial"/>
          <w:sz w:val="20"/>
          <w:szCs w:val="20"/>
        </w:rPr>
        <w:t>This document has been prepared to assist operators and road asset managers in assessing the merits of utilising larger vehicle combinations in a transport task.</w:t>
      </w:r>
    </w:p>
    <w:p w:rsidR="00BA0A58" w:rsidRPr="00502034" w:rsidRDefault="00BA0A58" w:rsidP="0022195F">
      <w:pPr>
        <w:spacing w:after="120"/>
        <w:rPr>
          <w:rFonts w:ascii="Arial" w:hAnsi="Arial" w:cs="Arial"/>
          <w:sz w:val="20"/>
          <w:szCs w:val="20"/>
        </w:rPr>
      </w:pPr>
      <w:r w:rsidRPr="00502034">
        <w:rPr>
          <w:rFonts w:ascii="Arial" w:hAnsi="Arial" w:cs="Arial"/>
          <w:sz w:val="20"/>
          <w:szCs w:val="20"/>
        </w:rPr>
        <w:t>The assessment process assumes that the vehicle is dedicated to a specific task, operating travel being 50% unladen and 50% laden.  The task relativities are 1000 tonnes with a lead of 1000 kilometres.</w:t>
      </w:r>
    </w:p>
    <w:tbl>
      <w:tblPr>
        <w:tblStyle w:val="TableGrid"/>
        <w:tblW w:w="0" w:type="auto"/>
        <w:tblLook w:val="04A0"/>
      </w:tblPr>
      <w:tblGrid>
        <w:gridCol w:w="3085"/>
        <w:gridCol w:w="12268"/>
      </w:tblGrid>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Equivalent Standard Axles:</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 xml:space="preserve">ESA’s are calculated by the average of the sum of ESA’s for zero </w:t>
            </w:r>
            <w:proofErr w:type="gramStart"/>
            <w:r w:rsidRPr="00502034">
              <w:rPr>
                <w:rFonts w:ascii="Arial" w:hAnsi="Arial" w:cs="Arial"/>
                <w:sz w:val="20"/>
                <w:szCs w:val="20"/>
              </w:rPr>
              <w:t>load</w:t>
            </w:r>
            <w:proofErr w:type="gramEnd"/>
            <w:r w:rsidRPr="00502034">
              <w:rPr>
                <w:rFonts w:ascii="Arial" w:hAnsi="Arial" w:cs="Arial"/>
                <w:sz w:val="20"/>
                <w:szCs w:val="20"/>
              </w:rPr>
              <w:t xml:space="preserve"> (empty) plus ESA’s for 100% load and multiplied by the number of trips as required for the transport task.</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Vehicle tare weights:</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 xml:space="preserve">Are predictions based on the averages for a range of equipment within each combination </w:t>
            </w:r>
            <w:proofErr w:type="gramStart"/>
            <w:r w:rsidRPr="00502034">
              <w:rPr>
                <w:rFonts w:ascii="Arial" w:hAnsi="Arial" w:cs="Arial"/>
                <w:sz w:val="20"/>
                <w:szCs w:val="20"/>
              </w:rPr>
              <w:t>category.</w:t>
            </w:r>
            <w:proofErr w:type="gramEnd"/>
            <w:r w:rsidRPr="00502034">
              <w:rPr>
                <w:rFonts w:ascii="Arial" w:hAnsi="Arial" w:cs="Arial"/>
                <w:sz w:val="20"/>
                <w:szCs w:val="20"/>
              </w:rPr>
              <w:t xml:space="preserve">  These estimates have been reviewed by a number of operators and confirmed as being representative of “real” vehicles of the category.</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Fuel consumption estimates:</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 xml:space="preserve">Are predictions based on accumulated averages where operation is nominally 50% unladen and 50% </w:t>
            </w:r>
            <w:proofErr w:type="gramStart"/>
            <w:r w:rsidRPr="00502034">
              <w:rPr>
                <w:rFonts w:ascii="Arial" w:hAnsi="Arial" w:cs="Arial"/>
                <w:sz w:val="20"/>
                <w:szCs w:val="20"/>
              </w:rPr>
              <w:t>laden.</w:t>
            </w:r>
            <w:proofErr w:type="gramEnd"/>
            <w:r w:rsidRPr="00502034">
              <w:rPr>
                <w:rFonts w:ascii="Arial" w:hAnsi="Arial" w:cs="Arial"/>
                <w:sz w:val="20"/>
                <w:szCs w:val="20"/>
              </w:rPr>
              <w:t xml:space="preserve">  Actual consumption will vary with operating conditions.</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Emissions:</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Reference is based on total fuel consumption only.</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20 metre 7 axle Truck &amp; Dog:</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The maximum allowable mass limits for this combination at either CML or HML (for standard combination) is 55.5 tonnes.</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19 metre 7 Axle B-double:</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The maximum allowable mass limits for this combination at either CML or HML (for standard combination) is 55.5 tonnes.</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B-triple:</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Consists of a complying B-double with an additional complying leading trailer.</w:t>
            </w:r>
          </w:p>
        </w:tc>
      </w:tr>
      <w:tr w:rsidR="00BA0A58" w:rsidRPr="00502034" w:rsidTr="007B53F8">
        <w:trPr>
          <w:trHeight w:val="460"/>
        </w:trPr>
        <w:tc>
          <w:tcPr>
            <w:tcW w:w="3085" w:type="dxa"/>
            <w:vAlign w:val="center"/>
          </w:tcPr>
          <w:p w:rsidR="00BA0A58" w:rsidRPr="00502034" w:rsidRDefault="00BA0A58" w:rsidP="007B53F8">
            <w:pPr>
              <w:rPr>
                <w:rFonts w:ascii="Arial" w:hAnsi="Arial" w:cs="Arial"/>
                <w:sz w:val="20"/>
                <w:szCs w:val="20"/>
              </w:rPr>
            </w:pPr>
            <w:r w:rsidRPr="00502034">
              <w:rPr>
                <w:rFonts w:ascii="Arial" w:hAnsi="Arial" w:cs="Arial"/>
                <w:b/>
                <w:sz w:val="20"/>
                <w:szCs w:val="20"/>
              </w:rPr>
              <w:t>Converter Dolly:</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All combinations utilizing a converter dolly are configured with a tandem axle.   The configured vertical imposed loading of a 6x4 prime mover is similar to the allowable imposed vertical loading of a tandem axle converter dolly.</w:t>
            </w:r>
          </w:p>
        </w:tc>
      </w:tr>
      <w:tr w:rsidR="00BA0A58" w:rsidRPr="00502034" w:rsidTr="007B53F8">
        <w:trPr>
          <w:trHeight w:val="460"/>
        </w:trPr>
        <w:tc>
          <w:tcPr>
            <w:tcW w:w="3085" w:type="dxa"/>
            <w:vAlign w:val="center"/>
          </w:tcPr>
          <w:p w:rsidR="00BA0A58" w:rsidRPr="00502034" w:rsidRDefault="00BA0A58" w:rsidP="007B53F8">
            <w:pPr>
              <w:rPr>
                <w:rFonts w:ascii="Arial" w:hAnsi="Arial" w:cs="Arial"/>
                <w:b/>
                <w:sz w:val="20"/>
                <w:szCs w:val="20"/>
              </w:rPr>
            </w:pPr>
            <w:r w:rsidRPr="00502034">
              <w:rPr>
                <w:rFonts w:ascii="Arial" w:hAnsi="Arial" w:cs="Arial"/>
                <w:b/>
                <w:sz w:val="20"/>
                <w:szCs w:val="20"/>
              </w:rPr>
              <w:t>AB-triple:</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Consists of a complying B-double with an additional complying road train leading trailer and a complying converter dolly.</w:t>
            </w:r>
          </w:p>
        </w:tc>
      </w:tr>
      <w:tr w:rsidR="00BA0A58" w:rsidRPr="00502034" w:rsidTr="007B53F8">
        <w:trPr>
          <w:trHeight w:val="460"/>
        </w:trPr>
        <w:tc>
          <w:tcPr>
            <w:tcW w:w="3085" w:type="dxa"/>
            <w:vAlign w:val="center"/>
          </w:tcPr>
          <w:p w:rsidR="00BA0A58" w:rsidRPr="00502034" w:rsidRDefault="00BA0A58" w:rsidP="007B53F8">
            <w:pPr>
              <w:rPr>
                <w:rFonts w:ascii="Arial" w:hAnsi="Arial" w:cs="Arial"/>
                <w:b/>
                <w:sz w:val="20"/>
                <w:szCs w:val="20"/>
              </w:rPr>
            </w:pPr>
            <w:r w:rsidRPr="00502034">
              <w:rPr>
                <w:rFonts w:ascii="Arial" w:hAnsi="Arial" w:cs="Arial"/>
                <w:b/>
                <w:sz w:val="20"/>
                <w:szCs w:val="20"/>
              </w:rPr>
              <w:t>BAB-Quad:</w:t>
            </w:r>
            <w:r w:rsidRPr="00502034">
              <w:rPr>
                <w:rFonts w:ascii="Arial" w:hAnsi="Arial" w:cs="Arial"/>
                <w:sz w:val="20"/>
                <w:szCs w:val="20"/>
              </w:rPr>
              <w:t xml:space="preserve">  </w:t>
            </w:r>
          </w:p>
        </w:tc>
        <w:tc>
          <w:tcPr>
            <w:tcW w:w="12268" w:type="dxa"/>
            <w:vAlign w:val="center"/>
          </w:tcPr>
          <w:p w:rsidR="00BA0A58" w:rsidRPr="00502034" w:rsidRDefault="00BA0A58" w:rsidP="007B53F8">
            <w:pPr>
              <w:rPr>
                <w:rFonts w:ascii="Arial" w:hAnsi="Arial" w:cs="Arial"/>
                <w:sz w:val="20"/>
                <w:szCs w:val="20"/>
              </w:rPr>
            </w:pPr>
            <w:r w:rsidRPr="00502034">
              <w:rPr>
                <w:rFonts w:ascii="Arial" w:hAnsi="Arial" w:cs="Arial"/>
                <w:sz w:val="20"/>
                <w:szCs w:val="20"/>
              </w:rPr>
              <w:t>Consists of a complying B-double with an additional complying converter dolly and additional complying set of B-double trailers.</w:t>
            </w:r>
          </w:p>
        </w:tc>
      </w:tr>
    </w:tbl>
    <w:p w:rsidR="00BA0A58" w:rsidRDefault="00BA0A58" w:rsidP="00896D3E">
      <w:pPr>
        <w:pStyle w:val="Heading1"/>
        <w:numPr>
          <w:ilvl w:val="0"/>
          <w:numId w:val="0"/>
        </w:numPr>
        <w:rPr>
          <w:sz w:val="4"/>
          <w:szCs w:val="4"/>
        </w:rPr>
      </w:pPr>
      <w:r w:rsidRPr="00BA0A58">
        <w:rPr>
          <w:b w:val="0"/>
          <w:noProof/>
          <w:sz w:val="16"/>
          <w:szCs w:val="16"/>
          <w:lang w:eastAsia="en-AU"/>
        </w:rPr>
        <w:lastRenderedPageBreak/>
        <w:drawing>
          <wp:inline distT="0" distB="0" distL="0" distR="0">
            <wp:extent cx="9611995" cy="6115050"/>
            <wp:effectExtent l="19050" t="0" r="8255"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9611995" cy="6115050"/>
                    </a:xfrm>
                    <a:prstGeom prst="rect">
                      <a:avLst/>
                    </a:prstGeom>
                    <a:noFill/>
                    <a:ln w="9525">
                      <a:noFill/>
                      <a:miter lim="800000"/>
                      <a:headEnd/>
                      <a:tailEnd/>
                    </a:ln>
                  </pic:spPr>
                </pic:pic>
              </a:graphicData>
            </a:graphic>
          </wp:inline>
        </w:drawing>
      </w:r>
    </w:p>
    <w:p w:rsidR="00BA0A58" w:rsidRPr="00BA0A58" w:rsidRDefault="00BA0A58" w:rsidP="00896D3E">
      <w:pPr>
        <w:pStyle w:val="Heading1"/>
        <w:numPr>
          <w:ilvl w:val="0"/>
          <w:numId w:val="0"/>
        </w:numPr>
        <w:rPr>
          <w:sz w:val="16"/>
          <w:szCs w:val="16"/>
        </w:rPr>
        <w:sectPr w:rsidR="00BA0A58" w:rsidRPr="00BA0A58" w:rsidSect="00EB0B2D">
          <w:footerReference w:type="default" r:id="rId21"/>
          <w:pgSz w:w="16838" w:h="11906" w:orient="landscape"/>
          <w:pgMar w:top="1134" w:right="1134" w:bottom="1134" w:left="567" w:header="703" w:footer="298" w:gutter="0"/>
          <w:cols w:space="708"/>
          <w:docGrid w:linePitch="360"/>
        </w:sectPr>
      </w:pPr>
    </w:p>
    <w:p w:rsidR="00834350" w:rsidRPr="00BA0A58" w:rsidRDefault="004D58E8" w:rsidP="004D58E8">
      <w:pPr>
        <w:pStyle w:val="Heading1"/>
        <w:numPr>
          <w:ilvl w:val="0"/>
          <w:numId w:val="0"/>
        </w:numPr>
        <w:rPr>
          <w:sz w:val="24"/>
          <w:szCs w:val="24"/>
        </w:rPr>
      </w:pPr>
      <w:bookmarkStart w:id="265" w:name="_Toc326240364"/>
      <w:r>
        <w:rPr>
          <w:sz w:val="24"/>
          <w:szCs w:val="24"/>
        </w:rPr>
        <w:lastRenderedPageBreak/>
        <w:t xml:space="preserve">Attachment B: - </w:t>
      </w:r>
      <w:r w:rsidR="00834350" w:rsidRPr="00BA0A58">
        <w:rPr>
          <w:sz w:val="24"/>
          <w:szCs w:val="24"/>
        </w:rPr>
        <w:t xml:space="preserve">Work provided to NTC </w:t>
      </w:r>
      <w:r>
        <w:rPr>
          <w:sz w:val="24"/>
          <w:szCs w:val="24"/>
        </w:rPr>
        <w:t>about Productivity, Safety and E</w:t>
      </w:r>
      <w:r w:rsidR="00834350" w:rsidRPr="00BA0A58">
        <w:rPr>
          <w:sz w:val="24"/>
          <w:szCs w:val="24"/>
        </w:rPr>
        <w:t>nvironmental</w:t>
      </w:r>
      <w:r>
        <w:rPr>
          <w:sz w:val="24"/>
          <w:szCs w:val="24"/>
        </w:rPr>
        <w:t xml:space="preserve"> Credentials of the I</w:t>
      </w:r>
      <w:r w:rsidR="00834350" w:rsidRPr="00BA0A58">
        <w:rPr>
          <w:sz w:val="24"/>
          <w:szCs w:val="24"/>
        </w:rPr>
        <w:t>ndustry.</w:t>
      </w:r>
      <w:bookmarkEnd w:id="265"/>
      <w:r w:rsidR="00834350" w:rsidRPr="00BA0A58">
        <w:rPr>
          <w:sz w:val="24"/>
          <w:szCs w:val="24"/>
        </w:rPr>
        <w:t xml:space="preserve"> </w:t>
      </w:r>
    </w:p>
    <w:p w:rsidR="00834350" w:rsidRPr="0022195F" w:rsidRDefault="00834350" w:rsidP="0022195F">
      <w:pPr>
        <w:spacing w:line="269" w:lineRule="auto"/>
        <w:rPr>
          <w:rFonts w:ascii="Arial" w:hAnsi="Arial" w:cs="Arial"/>
          <w:sz w:val="20"/>
          <w:szCs w:val="20"/>
        </w:rPr>
      </w:pPr>
    </w:p>
    <w:p w:rsidR="00834350" w:rsidRPr="009F0928" w:rsidRDefault="00834350" w:rsidP="00BA0A58">
      <w:pPr>
        <w:rPr>
          <w:rFonts w:ascii="Arial" w:hAnsi="Arial" w:cs="Arial"/>
          <w:b/>
          <w:sz w:val="24"/>
          <w:szCs w:val="24"/>
        </w:rPr>
      </w:pPr>
      <w:r w:rsidRPr="009F0928">
        <w:rPr>
          <w:rFonts w:ascii="Arial" w:hAnsi="Arial" w:cs="Arial"/>
          <w:b/>
          <w:sz w:val="24"/>
          <w:szCs w:val="24"/>
        </w:rPr>
        <w:t>APPENDIX A</w:t>
      </w:r>
    </w:p>
    <w:p w:rsidR="00834350" w:rsidRPr="0022195F" w:rsidRDefault="00834350" w:rsidP="0022195F">
      <w:pPr>
        <w:spacing w:line="269" w:lineRule="auto"/>
        <w:rPr>
          <w:rFonts w:ascii="Arial" w:hAnsi="Arial" w:cs="Arial"/>
          <w:sz w:val="20"/>
          <w:szCs w:val="20"/>
        </w:rPr>
      </w:pPr>
    </w:p>
    <w:p w:rsidR="00834350" w:rsidRPr="009F0928" w:rsidRDefault="00834350" w:rsidP="00BA0A58">
      <w:pPr>
        <w:rPr>
          <w:rFonts w:ascii="Arial" w:hAnsi="Arial" w:cs="Arial"/>
          <w:b/>
          <w:sz w:val="20"/>
          <w:szCs w:val="20"/>
        </w:rPr>
      </w:pPr>
      <w:r w:rsidRPr="009F0928">
        <w:rPr>
          <w:rFonts w:ascii="Arial" w:hAnsi="Arial" w:cs="Arial"/>
          <w:b/>
          <w:sz w:val="20"/>
          <w:szCs w:val="20"/>
        </w:rPr>
        <w:t>SAFETY CONCERNS</w:t>
      </w:r>
    </w:p>
    <w:p w:rsidR="00834350" w:rsidRPr="0022195F"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 xml:space="preserve">Safety gains from B-doubles come from the fact there is increased stability in the B-double configuration, which makes a roll over less likely. B-doubles also travel on roads with better competence, they stay in their lane well, and have gained acceptance from other drivers. </w:t>
      </w:r>
    </w:p>
    <w:p w:rsidR="00834350" w:rsidRPr="009F0928"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The industry strived to improve standards and is still motivated to do so; the implementation of this registration rise is negating the effectiveness of most of the improvements that the industry has gained through adoption the safest vehicle - B-doubles. The high charge on A-trailers has adverse flow on effects into other longer, safer combinations such as B-triples, AB triples, BAB-quads and AB-quads.</w:t>
      </w:r>
    </w:p>
    <w:p w:rsidR="00834350" w:rsidRPr="009F0928"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Research has shown that the introduction of B-doubles saved more than 350 lives between 1990 and 2003. The number of crashes caused by B-doubles between those times showed that B-doubles were involved in 2 fatal crashes compared to 329 fatal crashes caused by single articulated vehicles over the same period</w:t>
      </w:r>
      <w:r w:rsidRPr="0022195F">
        <w:rPr>
          <w:rFonts w:ascii="Arial" w:hAnsi="Arial" w:cs="Arial"/>
          <w:sz w:val="20"/>
          <w:szCs w:val="20"/>
          <w:vertAlign w:val="superscript"/>
        </w:rPr>
        <w:footnoteReference w:id="7"/>
      </w:r>
      <w:r w:rsidRPr="009F0928">
        <w:rPr>
          <w:rFonts w:ascii="Arial" w:hAnsi="Arial" w:cs="Arial"/>
          <w:sz w:val="20"/>
          <w:szCs w:val="20"/>
        </w:rPr>
        <w:t>. These well researched figures show that a turn away from B-doubles is in contradiction to the safety aspects of the safest configuration.</w:t>
      </w:r>
    </w:p>
    <w:p w:rsidR="00834350" w:rsidRPr="009F0928"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i/>
          <w:sz w:val="20"/>
          <w:szCs w:val="20"/>
        </w:rPr>
      </w:pPr>
      <w:r w:rsidRPr="009F0928">
        <w:rPr>
          <w:rFonts w:ascii="Arial" w:hAnsi="Arial" w:cs="Arial"/>
          <w:sz w:val="20"/>
          <w:szCs w:val="20"/>
        </w:rPr>
        <w:t>A report published in the 2004 by the Commercial Vehicle Industry Association of Queensland and Truck Industry Council:</w:t>
      </w:r>
      <w:r w:rsidRPr="009F0928">
        <w:rPr>
          <w:rFonts w:ascii="Arial" w:hAnsi="Arial" w:cs="Arial"/>
          <w:i/>
          <w:sz w:val="20"/>
          <w:szCs w:val="20"/>
        </w:rPr>
        <w:t xml:space="preserve"> “Road safety is directly related to the number of trucks, the total travel by trucks and to the type of trucks, with B-doubles showing superior safety and contributing to less travel due to higher payloads. Any action or lack of action, that inhibits change from single articulated vehicles to B-doubles, or contributes to B-doubles becoming unviable, will certainly lead to lesser safety outcomes”</w:t>
      </w:r>
      <w:r w:rsidRPr="009F0928">
        <w:rPr>
          <w:rStyle w:val="FootnoteReference"/>
          <w:rFonts w:ascii="Arial" w:hAnsi="Arial" w:cs="Arial"/>
          <w:i/>
          <w:sz w:val="20"/>
          <w:szCs w:val="20"/>
        </w:rPr>
        <w:footnoteReference w:id="8"/>
      </w:r>
      <w:r w:rsidRPr="009F0928">
        <w:rPr>
          <w:rFonts w:ascii="Arial" w:hAnsi="Arial" w:cs="Arial"/>
          <w:i/>
          <w:sz w:val="20"/>
          <w:szCs w:val="20"/>
        </w:rPr>
        <w:t>.</w:t>
      </w:r>
    </w:p>
    <w:p w:rsidR="00834350" w:rsidRPr="009F0928" w:rsidRDefault="00834350" w:rsidP="0022195F">
      <w:pPr>
        <w:spacing w:line="269" w:lineRule="auto"/>
        <w:rPr>
          <w:rFonts w:ascii="Arial" w:hAnsi="Arial" w:cs="Arial"/>
          <w:i/>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The reduced exposure due to fewer trucks being needed to do the same task is one of the most tangible benefits of B-doubles, with a reduction in accidents due to the safer nature of B-doubles and the sheer fact that minimising the amount of truck vehicles reduces the number of incidents.</w:t>
      </w:r>
    </w:p>
    <w:p w:rsidR="00834350" w:rsidRPr="009F0928"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 xml:space="preserve">Ours and others findings on B-doubles are also supported by the National Transport Insurance (NTI) </w:t>
      </w:r>
      <w:proofErr w:type="gramStart"/>
      <w:r w:rsidRPr="009F0928">
        <w:rPr>
          <w:rFonts w:ascii="Arial" w:hAnsi="Arial" w:cs="Arial"/>
          <w:sz w:val="20"/>
          <w:szCs w:val="20"/>
        </w:rPr>
        <w:t>company</w:t>
      </w:r>
      <w:proofErr w:type="gramEnd"/>
      <w:r w:rsidRPr="009F0928">
        <w:rPr>
          <w:rFonts w:ascii="Arial" w:hAnsi="Arial" w:cs="Arial"/>
          <w:sz w:val="20"/>
          <w:szCs w:val="20"/>
        </w:rPr>
        <w:t>. The NTI (2011 Major Accident Investigation Report) has compiled comprehensive evidence that the safest configuration in terms of accidents is the B-double.</w:t>
      </w:r>
    </w:p>
    <w:p w:rsidR="00834350" w:rsidRPr="009F0928"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 xml:space="preserve">The NTI states that the B-doubles are the safest vehicle with them carrying 48% of the road freight but being involved in just over a quarter of all accidents. Semi-trailers </w:t>
      </w:r>
      <w:proofErr w:type="spellStart"/>
      <w:r w:rsidRPr="009F0928">
        <w:rPr>
          <w:rFonts w:ascii="Arial" w:hAnsi="Arial" w:cs="Arial"/>
          <w:sz w:val="20"/>
          <w:szCs w:val="20"/>
        </w:rPr>
        <w:t>faired</w:t>
      </w:r>
      <w:proofErr w:type="spellEnd"/>
      <w:r w:rsidRPr="009F0928">
        <w:rPr>
          <w:rFonts w:ascii="Arial" w:hAnsi="Arial" w:cs="Arial"/>
          <w:sz w:val="20"/>
          <w:szCs w:val="20"/>
        </w:rPr>
        <w:t xml:space="preserve"> worst in accident statistics, representing 60.1% of accidents that occurred in 2009. The report also points out that although the proportion of semi trailers decreased, they still hold the highest proportion of accidents. </w:t>
      </w:r>
    </w:p>
    <w:p w:rsidR="00834350" w:rsidRPr="0022195F" w:rsidRDefault="00834350" w:rsidP="0022195F">
      <w:pPr>
        <w:spacing w:line="269" w:lineRule="auto"/>
        <w:rPr>
          <w:rFonts w:ascii="Arial" w:hAnsi="Arial" w:cs="Arial"/>
          <w:sz w:val="20"/>
          <w:szCs w:val="20"/>
        </w:rPr>
      </w:pPr>
    </w:p>
    <w:p w:rsidR="00834350" w:rsidRPr="009F0928" w:rsidRDefault="00834350" w:rsidP="0022195F">
      <w:pPr>
        <w:spacing w:line="269" w:lineRule="auto"/>
        <w:rPr>
          <w:rFonts w:ascii="Arial" w:hAnsi="Arial" w:cs="Arial"/>
          <w:sz w:val="20"/>
          <w:szCs w:val="20"/>
        </w:rPr>
      </w:pPr>
      <w:r w:rsidRPr="009F0928">
        <w:rPr>
          <w:rFonts w:ascii="Arial" w:hAnsi="Arial" w:cs="Arial"/>
          <w:sz w:val="20"/>
          <w:szCs w:val="20"/>
        </w:rPr>
        <w:t>The NTI reports that B-doubles are “</w:t>
      </w:r>
      <w:r w:rsidRPr="009F0928">
        <w:rPr>
          <w:rFonts w:ascii="Arial" w:hAnsi="Arial" w:cs="Arial"/>
          <w:i/>
          <w:sz w:val="20"/>
          <w:szCs w:val="20"/>
        </w:rPr>
        <w:t xml:space="preserve">newer, better maintained, with experienced highly trained drivers using the best of the road network” </w:t>
      </w:r>
      <w:r w:rsidRPr="009F0928">
        <w:rPr>
          <w:rFonts w:ascii="Arial" w:hAnsi="Arial" w:cs="Arial"/>
          <w:sz w:val="20"/>
          <w:szCs w:val="20"/>
        </w:rPr>
        <w:t>compared to semi-trailers</w:t>
      </w:r>
      <w:r w:rsidRPr="009F0928">
        <w:rPr>
          <w:rFonts w:ascii="Arial" w:hAnsi="Arial" w:cs="Arial"/>
          <w:i/>
          <w:sz w:val="20"/>
          <w:szCs w:val="20"/>
        </w:rPr>
        <w:t>.</w:t>
      </w:r>
      <w:r w:rsidRPr="009F0928">
        <w:rPr>
          <w:rFonts w:ascii="Arial" w:hAnsi="Arial" w:cs="Arial"/>
          <w:sz w:val="20"/>
          <w:szCs w:val="20"/>
        </w:rPr>
        <w:t xml:space="preserve"> One cannot argue with the facts that B-doubles are the safest combination, do the less damage to the infrastructure and therefore should not be penalised for its successes.</w:t>
      </w:r>
    </w:p>
    <w:p w:rsidR="00834350" w:rsidRPr="0022195F" w:rsidRDefault="00834350" w:rsidP="0022195F">
      <w:pPr>
        <w:spacing w:line="269" w:lineRule="auto"/>
        <w:rPr>
          <w:rFonts w:ascii="Arial" w:hAnsi="Arial" w:cs="Arial"/>
          <w:sz w:val="20"/>
          <w:szCs w:val="20"/>
        </w:rPr>
      </w:pPr>
    </w:p>
    <w:p w:rsidR="0022195F" w:rsidRDefault="0022195F">
      <w:pPr>
        <w:rPr>
          <w:rFonts w:ascii="Arial" w:hAnsi="Arial" w:cs="Arial"/>
          <w:b/>
          <w:sz w:val="20"/>
          <w:szCs w:val="20"/>
        </w:rPr>
      </w:pPr>
      <w:r>
        <w:rPr>
          <w:rFonts w:ascii="Arial" w:hAnsi="Arial" w:cs="Arial"/>
          <w:b/>
          <w:sz w:val="20"/>
          <w:szCs w:val="20"/>
        </w:rPr>
        <w:br w:type="page"/>
      </w:r>
    </w:p>
    <w:p w:rsidR="00834350" w:rsidRPr="0022195F" w:rsidRDefault="00834350" w:rsidP="0022195F">
      <w:pPr>
        <w:spacing w:line="269" w:lineRule="auto"/>
        <w:rPr>
          <w:rFonts w:ascii="Arial" w:hAnsi="Arial" w:cs="Arial"/>
          <w:sz w:val="20"/>
          <w:szCs w:val="20"/>
        </w:rPr>
      </w:pPr>
    </w:p>
    <w:p w:rsidR="00896D3E" w:rsidRPr="009F0928" w:rsidRDefault="00896D3E" w:rsidP="00BA0A58">
      <w:pPr>
        <w:rPr>
          <w:rFonts w:ascii="Arial" w:hAnsi="Arial" w:cs="Arial"/>
          <w:b/>
          <w:sz w:val="24"/>
          <w:szCs w:val="24"/>
        </w:rPr>
      </w:pPr>
      <w:r w:rsidRPr="009F0928">
        <w:rPr>
          <w:rFonts w:ascii="Arial" w:hAnsi="Arial" w:cs="Arial"/>
          <w:b/>
          <w:sz w:val="24"/>
          <w:szCs w:val="24"/>
        </w:rPr>
        <w:t>APPENDIX B</w:t>
      </w:r>
    </w:p>
    <w:p w:rsidR="00896D3E" w:rsidRPr="0022195F" w:rsidRDefault="00896D3E" w:rsidP="0022195F">
      <w:pPr>
        <w:spacing w:line="269" w:lineRule="auto"/>
        <w:rPr>
          <w:rFonts w:ascii="Arial" w:hAnsi="Arial" w:cs="Arial"/>
          <w:sz w:val="20"/>
          <w:szCs w:val="20"/>
        </w:rPr>
      </w:pPr>
    </w:p>
    <w:p w:rsidR="00896D3E" w:rsidRPr="009F0928" w:rsidRDefault="00896D3E" w:rsidP="00BA0A58">
      <w:pPr>
        <w:rPr>
          <w:rFonts w:ascii="Arial" w:hAnsi="Arial" w:cs="Arial"/>
          <w:b/>
          <w:sz w:val="20"/>
          <w:szCs w:val="20"/>
        </w:rPr>
      </w:pPr>
      <w:r w:rsidRPr="009F0928">
        <w:rPr>
          <w:rFonts w:ascii="Arial" w:hAnsi="Arial" w:cs="Arial"/>
          <w:b/>
          <w:sz w:val="20"/>
          <w:szCs w:val="20"/>
        </w:rPr>
        <w:t>PRODUCTIVITY CONCERNS</w:t>
      </w:r>
    </w:p>
    <w:p w:rsidR="00896D3E" w:rsidRPr="0022195F" w:rsidRDefault="00896D3E" w:rsidP="0022195F">
      <w:pPr>
        <w:spacing w:line="269" w:lineRule="auto"/>
        <w:rPr>
          <w:rFonts w:ascii="Arial" w:hAnsi="Arial" w:cs="Arial"/>
          <w:sz w:val="20"/>
          <w:szCs w:val="20"/>
        </w:rPr>
      </w:pPr>
    </w:p>
    <w:p w:rsidR="00896D3E" w:rsidRPr="009F0928" w:rsidRDefault="00896D3E" w:rsidP="0022195F">
      <w:pPr>
        <w:spacing w:line="269" w:lineRule="auto"/>
        <w:rPr>
          <w:rFonts w:ascii="Arial" w:hAnsi="Arial" w:cs="Arial"/>
          <w:sz w:val="20"/>
          <w:szCs w:val="20"/>
        </w:rPr>
      </w:pPr>
      <w:r w:rsidRPr="009F0928">
        <w:rPr>
          <w:rFonts w:ascii="Arial" w:hAnsi="Arial" w:cs="Arial"/>
          <w:sz w:val="20"/>
          <w:szCs w:val="20"/>
        </w:rPr>
        <w:t>Productivity will be stunted by the increase in registration fees. Productivity has been declining in relative terms compared to the past four decades since the great leaps that the introduction of B-doubles and a relaxing of limiting regulations on vehicle mass, length, access and speed contributed. With the fleet using the best of its resources, productivity gains have been modest.</w:t>
      </w:r>
    </w:p>
    <w:p w:rsidR="00896D3E" w:rsidRPr="009F0928" w:rsidRDefault="00896D3E" w:rsidP="0022195F">
      <w:pPr>
        <w:spacing w:line="269" w:lineRule="auto"/>
        <w:rPr>
          <w:rFonts w:ascii="Arial" w:hAnsi="Arial" w:cs="Arial"/>
          <w:sz w:val="20"/>
          <w:szCs w:val="20"/>
        </w:rPr>
      </w:pPr>
    </w:p>
    <w:p w:rsidR="00896D3E" w:rsidRPr="009F0928" w:rsidRDefault="00896D3E" w:rsidP="0022195F">
      <w:pPr>
        <w:spacing w:line="269" w:lineRule="auto"/>
        <w:rPr>
          <w:rFonts w:ascii="Arial" w:hAnsi="Arial" w:cs="Arial"/>
          <w:sz w:val="20"/>
          <w:szCs w:val="20"/>
        </w:rPr>
      </w:pPr>
      <w:r w:rsidRPr="009F0928">
        <w:rPr>
          <w:rFonts w:ascii="Arial" w:hAnsi="Arial" w:cs="Arial"/>
          <w:sz w:val="20"/>
          <w:szCs w:val="20"/>
        </w:rPr>
        <w:t xml:space="preserve">Any government limitation is a step back from the innovation that once created the B-double, as the industry is best equipped to create the next productivity innovation. Lack of investment in the most productive and efficient vehicles will, without a doubt, </w:t>
      </w:r>
      <w:proofErr w:type="gramStart"/>
      <w:r w:rsidRPr="009F0928">
        <w:rPr>
          <w:rFonts w:ascii="Arial" w:hAnsi="Arial" w:cs="Arial"/>
          <w:sz w:val="20"/>
          <w:szCs w:val="20"/>
        </w:rPr>
        <w:t>be</w:t>
      </w:r>
      <w:proofErr w:type="gramEnd"/>
      <w:r w:rsidRPr="009F0928">
        <w:rPr>
          <w:rFonts w:ascii="Arial" w:hAnsi="Arial" w:cs="Arial"/>
          <w:sz w:val="20"/>
          <w:szCs w:val="20"/>
        </w:rPr>
        <w:t xml:space="preserve"> limited by regressive government polic</w:t>
      </w:r>
      <w:r w:rsidR="00A86657">
        <w:rPr>
          <w:rFonts w:ascii="Arial" w:hAnsi="Arial" w:cs="Arial"/>
          <w:sz w:val="20"/>
          <w:szCs w:val="20"/>
        </w:rPr>
        <w:t>i</w:t>
      </w:r>
      <w:r w:rsidRPr="009F0928">
        <w:rPr>
          <w:rFonts w:ascii="Arial" w:hAnsi="Arial" w:cs="Arial"/>
          <w:sz w:val="20"/>
          <w:szCs w:val="20"/>
        </w:rPr>
        <w:t>es.</w:t>
      </w:r>
    </w:p>
    <w:p w:rsidR="00896D3E" w:rsidRPr="009F0928" w:rsidRDefault="00896D3E" w:rsidP="0022195F">
      <w:pPr>
        <w:spacing w:line="269" w:lineRule="auto"/>
        <w:rPr>
          <w:rFonts w:ascii="Arial" w:hAnsi="Arial" w:cs="Arial"/>
          <w:sz w:val="20"/>
          <w:szCs w:val="20"/>
        </w:rPr>
      </w:pPr>
    </w:p>
    <w:p w:rsidR="00896D3E" w:rsidRPr="009F0928" w:rsidRDefault="00896D3E" w:rsidP="0022195F">
      <w:pPr>
        <w:spacing w:line="269" w:lineRule="auto"/>
        <w:rPr>
          <w:rFonts w:ascii="Arial" w:hAnsi="Arial" w:cs="Arial"/>
          <w:sz w:val="20"/>
          <w:szCs w:val="20"/>
        </w:rPr>
      </w:pPr>
      <w:r w:rsidRPr="009F0928">
        <w:rPr>
          <w:rFonts w:ascii="Arial" w:hAnsi="Arial" w:cs="Arial"/>
          <w:sz w:val="20"/>
          <w:szCs w:val="20"/>
        </w:rPr>
        <w:t>The Department of Infrastructure and Transport published a report earlier this year that points to articulated trucks, specifically the B-double, as being the greatest source of productivity gains in the industry. It stated that less road freight vehicles were needed on the roads due to the increase in the load that B-doubles could carry, reducing the number of vehicles required on the road and making a higher profit for operators as well as lower prices for customers. Articulated trucks have increased tonne per kilometre by 150% since 1990, while the increase in actual freight vehicles on the road has only increased by 50%, with B-doubles making the majority of that gain in tonnage and vehicles on the road</w:t>
      </w:r>
      <w:r w:rsidRPr="0022195F">
        <w:rPr>
          <w:vertAlign w:val="superscript"/>
        </w:rPr>
        <w:footnoteReference w:id="9"/>
      </w:r>
      <w:r w:rsidRPr="009F0928">
        <w:rPr>
          <w:rFonts w:ascii="Arial" w:hAnsi="Arial" w:cs="Arial"/>
          <w:sz w:val="20"/>
          <w:szCs w:val="20"/>
        </w:rPr>
        <w:t>.</w:t>
      </w:r>
    </w:p>
    <w:p w:rsidR="00896D3E" w:rsidRPr="009F0928" w:rsidRDefault="00896D3E" w:rsidP="0022195F">
      <w:pPr>
        <w:spacing w:line="269" w:lineRule="auto"/>
        <w:rPr>
          <w:rFonts w:ascii="Arial" w:hAnsi="Arial" w:cs="Arial"/>
          <w:sz w:val="20"/>
          <w:szCs w:val="20"/>
        </w:rPr>
      </w:pPr>
    </w:p>
    <w:p w:rsidR="00896D3E" w:rsidRPr="009F0928" w:rsidRDefault="00896D3E" w:rsidP="0022195F">
      <w:pPr>
        <w:spacing w:line="269" w:lineRule="auto"/>
        <w:rPr>
          <w:rFonts w:ascii="Arial" w:hAnsi="Arial" w:cs="Arial"/>
          <w:sz w:val="20"/>
          <w:szCs w:val="20"/>
        </w:rPr>
      </w:pPr>
      <w:r w:rsidRPr="009F0928">
        <w:rPr>
          <w:rFonts w:ascii="Arial" w:hAnsi="Arial" w:cs="Arial"/>
          <w:sz w:val="20"/>
          <w:szCs w:val="20"/>
        </w:rPr>
        <w:t>Estimates on the fleet reduction (required to carry out the task) since 1990 to 2007 have stated that B-doubles can carry the same amount of freight as 1.6 semi-trailers</w:t>
      </w:r>
      <w:r w:rsidRPr="0022195F">
        <w:rPr>
          <w:vertAlign w:val="superscript"/>
        </w:rPr>
        <w:footnoteReference w:id="10"/>
      </w:r>
      <w:r w:rsidRPr="009F0928">
        <w:rPr>
          <w:rFonts w:ascii="Arial" w:hAnsi="Arial" w:cs="Arial"/>
          <w:sz w:val="20"/>
          <w:szCs w:val="20"/>
        </w:rPr>
        <w:t>. While semi-trailers have kept a static mass limit, B-doubles have actually increased their carrying capacity in comparison due to the embracing of B-doubles in the fleet and government agencies allowing increased mass on the combination (through more axles).</w:t>
      </w:r>
    </w:p>
    <w:p w:rsidR="00896D3E" w:rsidRPr="0022195F" w:rsidRDefault="00896D3E" w:rsidP="0022195F">
      <w:pPr>
        <w:tabs>
          <w:tab w:val="left" w:pos="1924"/>
        </w:tabs>
        <w:spacing w:line="269" w:lineRule="auto"/>
        <w:rPr>
          <w:rFonts w:ascii="Arial" w:hAnsi="Arial" w:cs="Arial"/>
          <w:sz w:val="20"/>
          <w:szCs w:val="20"/>
        </w:rPr>
      </w:pPr>
    </w:p>
    <w:p w:rsidR="00896D3E" w:rsidRPr="0022195F" w:rsidRDefault="00896D3E" w:rsidP="0022195F">
      <w:pPr>
        <w:spacing w:line="269" w:lineRule="auto"/>
        <w:rPr>
          <w:rFonts w:ascii="Arial" w:hAnsi="Arial" w:cs="Arial"/>
          <w:sz w:val="20"/>
          <w:szCs w:val="20"/>
        </w:rPr>
      </w:pPr>
      <w:r w:rsidRPr="0022195F">
        <w:rPr>
          <w:rFonts w:ascii="Arial" w:hAnsi="Arial" w:cs="Arial"/>
          <w:sz w:val="20"/>
          <w:szCs w:val="20"/>
        </w:rPr>
        <w:t>Some of the largest ancillary operators in Australia expressed concern over limitations placed on B-doubles and the stalling in the approval of B-double access on Australia’s roads, and what impact this is having on productivity.</w:t>
      </w:r>
    </w:p>
    <w:p w:rsidR="00896D3E" w:rsidRPr="0022195F" w:rsidRDefault="00896D3E" w:rsidP="0022195F">
      <w:pPr>
        <w:spacing w:line="269" w:lineRule="auto"/>
        <w:rPr>
          <w:rFonts w:ascii="Arial" w:hAnsi="Arial" w:cs="Arial"/>
          <w:sz w:val="20"/>
          <w:szCs w:val="20"/>
        </w:rPr>
      </w:pPr>
    </w:p>
    <w:p w:rsidR="00896D3E" w:rsidRPr="0022195F" w:rsidRDefault="00896D3E" w:rsidP="0022195F">
      <w:pPr>
        <w:spacing w:line="269" w:lineRule="auto"/>
        <w:rPr>
          <w:rFonts w:ascii="Arial" w:hAnsi="Arial" w:cs="Arial"/>
          <w:sz w:val="20"/>
          <w:szCs w:val="20"/>
        </w:rPr>
      </w:pPr>
      <w:r w:rsidRPr="0022195F">
        <w:rPr>
          <w:rFonts w:ascii="Arial" w:hAnsi="Arial" w:cs="Arial"/>
          <w:sz w:val="20"/>
          <w:szCs w:val="20"/>
        </w:rPr>
        <w:t>Operators such as Qantas, Woolworths and Toll have made submissions to the Department of Infrastructure and Transport regarding concerns over the urgency of allowing B-doubles access to more roads. The registration cost has had huge impact on these operators, limiting the productivity gains that B-doubles have made in the past in terms of volume and mass allowance.</w:t>
      </w:r>
    </w:p>
    <w:p w:rsidR="00896D3E" w:rsidRPr="0022195F" w:rsidRDefault="00896D3E" w:rsidP="0022195F">
      <w:pPr>
        <w:spacing w:line="269" w:lineRule="auto"/>
        <w:rPr>
          <w:rFonts w:ascii="Arial" w:hAnsi="Arial" w:cs="Arial"/>
          <w:sz w:val="20"/>
          <w:szCs w:val="20"/>
        </w:rPr>
      </w:pPr>
    </w:p>
    <w:p w:rsidR="00896D3E" w:rsidRPr="0022195F" w:rsidRDefault="00896D3E" w:rsidP="0022195F">
      <w:pPr>
        <w:spacing w:line="269" w:lineRule="auto"/>
        <w:rPr>
          <w:rFonts w:ascii="Arial" w:hAnsi="Arial" w:cs="Arial"/>
          <w:sz w:val="20"/>
          <w:szCs w:val="20"/>
        </w:rPr>
      </w:pPr>
      <w:r w:rsidRPr="0022195F">
        <w:rPr>
          <w:rFonts w:ascii="Arial" w:hAnsi="Arial" w:cs="Arial"/>
          <w:sz w:val="20"/>
          <w:szCs w:val="20"/>
        </w:rPr>
        <w:t xml:space="preserve">If Woolworths, one of the largest companies in Australia, has made the statement that – </w:t>
      </w:r>
      <w:r w:rsidRPr="0022195F">
        <w:rPr>
          <w:rFonts w:ascii="Arial" w:hAnsi="Arial" w:cs="Arial"/>
          <w:i/>
          <w:sz w:val="20"/>
          <w:szCs w:val="20"/>
        </w:rPr>
        <w:t>“These inconsistencies and complexity create additional cost, confusion and increase the compliance burden for both Woolworths and its transport supply partners.</w:t>
      </w:r>
      <w:r w:rsidRPr="0022195F">
        <w:rPr>
          <w:rStyle w:val="FootnoteReference"/>
          <w:rFonts w:ascii="Arial" w:hAnsi="Arial" w:cs="Arial"/>
          <w:i/>
          <w:sz w:val="20"/>
          <w:szCs w:val="20"/>
        </w:rPr>
        <w:footnoteReference w:id="11"/>
      </w:r>
      <w:r w:rsidRPr="0022195F">
        <w:rPr>
          <w:rFonts w:ascii="Arial" w:hAnsi="Arial" w:cs="Arial"/>
          <w:i/>
          <w:sz w:val="20"/>
          <w:szCs w:val="20"/>
        </w:rPr>
        <w:t>”</w:t>
      </w:r>
      <w:r w:rsidRPr="0022195F">
        <w:rPr>
          <w:rFonts w:ascii="Arial" w:hAnsi="Arial" w:cs="Arial"/>
          <w:sz w:val="20"/>
          <w:szCs w:val="20"/>
        </w:rPr>
        <w:t xml:space="preserve"> If Woolworths is complaining that actions to limit B-doubles is costing them money, how does the NTC think small or medium sized operators will cope with the increase in registration costs? Most will be forced to either not renew A-trailer registration, or substitute to other, less productive combinations.</w:t>
      </w:r>
    </w:p>
    <w:p w:rsidR="00896D3E" w:rsidRPr="0022195F" w:rsidRDefault="00896D3E" w:rsidP="0022195F">
      <w:pPr>
        <w:spacing w:line="269" w:lineRule="auto"/>
        <w:rPr>
          <w:rFonts w:ascii="Arial" w:hAnsi="Arial" w:cs="Arial"/>
          <w:sz w:val="20"/>
          <w:szCs w:val="20"/>
        </w:rPr>
      </w:pPr>
    </w:p>
    <w:p w:rsidR="00896D3E" w:rsidRPr="0022195F" w:rsidRDefault="00896D3E" w:rsidP="0022195F">
      <w:pPr>
        <w:spacing w:line="269" w:lineRule="auto"/>
        <w:rPr>
          <w:rFonts w:ascii="Arial" w:hAnsi="Arial" w:cs="Arial"/>
          <w:sz w:val="20"/>
          <w:szCs w:val="20"/>
        </w:rPr>
      </w:pPr>
      <w:r w:rsidRPr="0022195F">
        <w:rPr>
          <w:rFonts w:ascii="Arial" w:hAnsi="Arial" w:cs="Arial"/>
          <w:sz w:val="20"/>
          <w:szCs w:val="20"/>
        </w:rPr>
        <w:t xml:space="preserve">With the highly competitive nature of the trucking industry, even small gains in productivity can mean hundreds of thousands of dollars investment into the trucking industry. </w:t>
      </w:r>
    </w:p>
    <w:p w:rsidR="00896D3E" w:rsidRPr="0022195F" w:rsidRDefault="00896D3E" w:rsidP="0022195F">
      <w:pPr>
        <w:spacing w:line="269" w:lineRule="auto"/>
        <w:rPr>
          <w:rFonts w:ascii="Arial" w:hAnsi="Arial" w:cs="Arial"/>
          <w:sz w:val="20"/>
          <w:szCs w:val="20"/>
        </w:rPr>
      </w:pPr>
    </w:p>
    <w:p w:rsidR="0022195F" w:rsidRDefault="0022195F">
      <w:pPr>
        <w:rPr>
          <w:rFonts w:ascii="Arial" w:hAnsi="Arial" w:cs="Arial"/>
          <w:sz w:val="20"/>
          <w:szCs w:val="20"/>
        </w:rPr>
      </w:pPr>
      <w:r>
        <w:rPr>
          <w:rFonts w:ascii="Arial" w:hAnsi="Arial" w:cs="Arial"/>
          <w:sz w:val="20"/>
          <w:szCs w:val="20"/>
        </w:rPr>
        <w:br w:type="page"/>
      </w:r>
    </w:p>
    <w:p w:rsidR="007B53F8" w:rsidRPr="0022195F" w:rsidRDefault="007B53F8" w:rsidP="0022195F">
      <w:pPr>
        <w:spacing w:line="269" w:lineRule="auto"/>
        <w:rPr>
          <w:rFonts w:ascii="Arial" w:hAnsi="Arial" w:cs="Arial"/>
          <w:sz w:val="20"/>
          <w:szCs w:val="20"/>
        </w:rPr>
      </w:pPr>
    </w:p>
    <w:p w:rsidR="00896D3E" w:rsidRPr="009F0928" w:rsidRDefault="00896D3E" w:rsidP="00BA0A58">
      <w:pPr>
        <w:rPr>
          <w:rFonts w:ascii="Arial" w:hAnsi="Arial" w:cs="Arial"/>
          <w:b/>
          <w:sz w:val="24"/>
          <w:szCs w:val="24"/>
        </w:rPr>
      </w:pPr>
      <w:r w:rsidRPr="009F0928">
        <w:rPr>
          <w:rFonts w:ascii="Arial" w:hAnsi="Arial" w:cs="Arial"/>
          <w:b/>
          <w:sz w:val="24"/>
          <w:szCs w:val="24"/>
        </w:rPr>
        <w:t>APPENDIX C</w:t>
      </w:r>
    </w:p>
    <w:p w:rsidR="00896D3E" w:rsidRPr="00CD65B0" w:rsidRDefault="00896D3E" w:rsidP="00CD65B0">
      <w:pPr>
        <w:spacing w:line="269" w:lineRule="auto"/>
        <w:rPr>
          <w:rFonts w:ascii="Arial" w:hAnsi="Arial" w:cs="Arial"/>
          <w:sz w:val="20"/>
          <w:szCs w:val="20"/>
        </w:rPr>
      </w:pPr>
    </w:p>
    <w:p w:rsidR="00896D3E" w:rsidRPr="009F0928" w:rsidRDefault="00896D3E" w:rsidP="00BA0A58">
      <w:pPr>
        <w:rPr>
          <w:rFonts w:ascii="Arial" w:hAnsi="Arial" w:cs="Arial"/>
          <w:b/>
          <w:sz w:val="20"/>
          <w:szCs w:val="20"/>
        </w:rPr>
      </w:pPr>
      <w:r w:rsidRPr="009F0928">
        <w:rPr>
          <w:rFonts w:ascii="Arial" w:hAnsi="Arial" w:cs="Arial"/>
          <w:b/>
          <w:sz w:val="20"/>
          <w:szCs w:val="20"/>
        </w:rPr>
        <w:t>ENVIRONMENTAL CONCERNS</w:t>
      </w:r>
    </w:p>
    <w:p w:rsidR="00896D3E" w:rsidRPr="009F0928" w:rsidRDefault="00896D3E" w:rsidP="00CD65B0">
      <w:pPr>
        <w:spacing w:line="269" w:lineRule="auto"/>
        <w:rPr>
          <w:rFonts w:ascii="Arial" w:hAnsi="Arial" w:cs="Arial"/>
          <w:sz w:val="20"/>
          <w:szCs w:val="20"/>
        </w:rPr>
      </w:pPr>
    </w:p>
    <w:p w:rsidR="00896D3E" w:rsidRPr="009F0928" w:rsidRDefault="00896D3E" w:rsidP="00CD65B0">
      <w:pPr>
        <w:spacing w:line="269" w:lineRule="auto"/>
        <w:rPr>
          <w:rFonts w:ascii="Arial" w:hAnsi="Arial" w:cs="Arial"/>
          <w:sz w:val="20"/>
          <w:szCs w:val="20"/>
        </w:rPr>
      </w:pPr>
      <w:r w:rsidRPr="009F0928">
        <w:rPr>
          <w:rFonts w:ascii="Arial" w:hAnsi="Arial" w:cs="Arial"/>
          <w:sz w:val="20"/>
          <w:szCs w:val="20"/>
        </w:rPr>
        <w:t>Productivity in the trucking industry affects the environmental credentials of what the industry can achieve. B-doubles have played a central role in the abatement of potential emissions the industry produced with B-doubles being responsible for a reduction of over 11 million tonnes up to 2008, which is equated to be around 50% of one year’s emissions for the trucking fleet.</w:t>
      </w:r>
      <w:r w:rsidRPr="00CD65B0">
        <w:rPr>
          <w:vertAlign w:val="superscript"/>
        </w:rPr>
        <w:footnoteReference w:id="12"/>
      </w:r>
    </w:p>
    <w:p w:rsidR="00896D3E" w:rsidRPr="009F0928" w:rsidRDefault="00896D3E" w:rsidP="00CD65B0">
      <w:pPr>
        <w:spacing w:line="269" w:lineRule="auto"/>
        <w:rPr>
          <w:rFonts w:ascii="Arial" w:hAnsi="Arial" w:cs="Arial"/>
          <w:sz w:val="20"/>
          <w:szCs w:val="20"/>
        </w:rPr>
      </w:pPr>
    </w:p>
    <w:p w:rsidR="00896D3E" w:rsidRPr="009F0928" w:rsidRDefault="00896D3E" w:rsidP="00CD65B0">
      <w:pPr>
        <w:spacing w:line="269" w:lineRule="auto"/>
        <w:rPr>
          <w:rFonts w:ascii="Arial" w:hAnsi="Arial" w:cs="Arial"/>
          <w:sz w:val="20"/>
          <w:szCs w:val="20"/>
        </w:rPr>
      </w:pPr>
      <w:r w:rsidRPr="009F0928">
        <w:rPr>
          <w:rFonts w:ascii="Arial" w:hAnsi="Arial" w:cs="Arial"/>
          <w:sz w:val="20"/>
          <w:szCs w:val="20"/>
        </w:rPr>
        <w:t>Greater fuel efficiency in B-doubles is a key benefit of the vehicle combination. While the demand for road freight is only going to increase to record levels in the next twenty years, the emissions produced by the trucking industry are on a downward trajectory. Since 2000 emissions per billion tonne kilometre have reduced significantly in comparison to the rise in demand. This reduction in emissions has been attributed to smarter use of the fleet by substituting away from smaller rigid to large articulated trucks. This is because of the greater carrying capacity of the trucks and better engine and emissions technology resulting from the shift to B-doubles</w:t>
      </w:r>
      <w:r w:rsidR="00CD65B0">
        <w:rPr>
          <w:rFonts w:ascii="Arial" w:hAnsi="Arial" w:cs="Arial"/>
          <w:sz w:val="20"/>
          <w:szCs w:val="20"/>
        </w:rPr>
        <w:t>.</w:t>
      </w:r>
      <w:r w:rsidRPr="00CD65B0">
        <w:rPr>
          <w:vertAlign w:val="superscript"/>
        </w:rPr>
        <w:footnoteReference w:id="13"/>
      </w:r>
    </w:p>
    <w:p w:rsidR="00896D3E" w:rsidRPr="009F0928" w:rsidRDefault="00896D3E" w:rsidP="00CD65B0">
      <w:pPr>
        <w:spacing w:line="269" w:lineRule="auto"/>
        <w:rPr>
          <w:rFonts w:ascii="Arial" w:hAnsi="Arial" w:cs="Arial"/>
          <w:sz w:val="20"/>
          <w:szCs w:val="20"/>
        </w:rPr>
      </w:pPr>
    </w:p>
    <w:p w:rsidR="00BA0A58" w:rsidRPr="007B53F8" w:rsidRDefault="00896D3E" w:rsidP="00CD65B0">
      <w:pPr>
        <w:spacing w:line="269" w:lineRule="auto"/>
        <w:rPr>
          <w:rFonts w:ascii="Arial" w:hAnsi="Arial" w:cs="Arial"/>
          <w:sz w:val="20"/>
          <w:szCs w:val="20"/>
        </w:rPr>
      </w:pPr>
      <w:r w:rsidRPr="009F0928">
        <w:rPr>
          <w:rFonts w:ascii="Arial" w:hAnsi="Arial" w:cs="Arial"/>
          <w:sz w:val="20"/>
          <w:szCs w:val="20"/>
        </w:rPr>
        <w:t>The NTC 2007 report about B-triples also indicated the massive environmental gains this combination can offer with one estimate of 60 B-doubles and semi-trailers transferring to B-triples and lowering the number of trips by one in four. This led to a fuel saving of 2 million litres per year and a reduction in greenhouse gas emissions by 5,900 tonnes of CO</w:t>
      </w:r>
      <w:r w:rsidRPr="00CD65B0">
        <w:rPr>
          <w:rFonts w:ascii="Arial" w:hAnsi="Arial" w:cs="Arial"/>
          <w:sz w:val="20"/>
          <w:szCs w:val="20"/>
        </w:rPr>
        <w:t>2</w:t>
      </w:r>
      <w:r w:rsidRPr="009F0928">
        <w:rPr>
          <w:rFonts w:ascii="Arial" w:hAnsi="Arial" w:cs="Arial"/>
          <w:sz w:val="20"/>
          <w:szCs w:val="20"/>
        </w:rPr>
        <w:t xml:space="preserve"> a year</w:t>
      </w:r>
      <w:r w:rsidR="00CD65B0">
        <w:rPr>
          <w:rFonts w:ascii="Arial" w:hAnsi="Arial" w:cs="Arial"/>
          <w:sz w:val="20"/>
          <w:szCs w:val="20"/>
        </w:rPr>
        <w:t>.</w:t>
      </w:r>
      <w:r w:rsidRPr="00CD65B0">
        <w:rPr>
          <w:vertAlign w:val="superscript"/>
        </w:rPr>
        <w:footnoteReference w:id="14"/>
      </w:r>
      <w:r w:rsidR="00BA0A58" w:rsidRPr="00CD65B0">
        <w:rPr>
          <w:rFonts w:ascii="Arial" w:hAnsi="Arial" w:cs="Arial"/>
          <w:sz w:val="20"/>
          <w:szCs w:val="20"/>
        </w:rPr>
        <w:br w:type="page"/>
      </w:r>
    </w:p>
    <w:p w:rsidR="00CA1F74" w:rsidRDefault="00CA1F74" w:rsidP="00CA1F74">
      <w:pPr>
        <w:pStyle w:val="Heading1"/>
        <w:numPr>
          <w:ilvl w:val="0"/>
          <w:numId w:val="0"/>
        </w:numPr>
        <w:ind w:left="1701" w:hanging="1701"/>
        <w:rPr>
          <w:sz w:val="24"/>
          <w:szCs w:val="24"/>
        </w:rPr>
      </w:pPr>
      <w:bookmarkStart w:id="266" w:name="_Toc326240365"/>
      <w:r w:rsidRPr="00CA1F74">
        <w:rPr>
          <w:sz w:val="24"/>
          <w:szCs w:val="24"/>
        </w:rPr>
        <w:lastRenderedPageBreak/>
        <w:t>Attachment</w:t>
      </w:r>
      <w:r>
        <w:rPr>
          <w:sz w:val="24"/>
          <w:szCs w:val="24"/>
        </w:rPr>
        <w:t xml:space="preserve"> C</w:t>
      </w:r>
      <w:r w:rsidRPr="00CA1F74">
        <w:rPr>
          <w:sz w:val="24"/>
          <w:szCs w:val="24"/>
        </w:rPr>
        <w:t xml:space="preserve">:  </w:t>
      </w:r>
      <w:r w:rsidR="00A45ECC">
        <w:rPr>
          <w:sz w:val="24"/>
          <w:szCs w:val="24"/>
        </w:rPr>
        <w:t>Comparison of heavy vehicle charges 2011/12 – 2012/13</w:t>
      </w:r>
      <w:bookmarkEnd w:id="266"/>
      <w:r w:rsidR="00A45ECC">
        <w:rPr>
          <w:sz w:val="24"/>
          <w:szCs w:val="24"/>
        </w:rPr>
        <w:t xml:space="preserve"> </w:t>
      </w:r>
    </w:p>
    <w:p w:rsidR="00CA1F74" w:rsidRPr="00CA1F74" w:rsidRDefault="00CA1F74" w:rsidP="00CA1F74"/>
    <w:tbl>
      <w:tblPr>
        <w:tblW w:w="0" w:type="auto"/>
        <w:tblLook w:val="04A0"/>
      </w:tblPr>
      <w:tblGrid>
        <w:gridCol w:w="3387"/>
        <w:gridCol w:w="1895"/>
        <w:gridCol w:w="1895"/>
        <w:gridCol w:w="1694"/>
        <w:gridCol w:w="983"/>
      </w:tblGrid>
      <w:tr w:rsidR="00CA1F74" w:rsidRPr="00CA1F74" w:rsidTr="00807CFE">
        <w:trPr>
          <w:trHeight w:val="300"/>
        </w:trPr>
        <w:tc>
          <w:tcPr>
            <w:tcW w:w="0" w:type="auto"/>
            <w:tcBorders>
              <w:top w:val="single" w:sz="8" w:space="0" w:color="auto"/>
              <w:left w:val="single" w:sz="8" w:space="0" w:color="auto"/>
              <w:bottom w:val="nil"/>
              <w:right w:val="nil"/>
            </w:tcBorders>
            <w:shd w:val="clear" w:color="auto" w:fill="auto"/>
            <w:noWrap/>
            <w:hideMark/>
          </w:tcPr>
          <w:p w:rsidR="00CA1F74" w:rsidRPr="00CA1F74" w:rsidRDefault="00CA1F74" w:rsidP="00CA1F74">
            <w:pPr>
              <w:rPr>
                <w:rFonts w:eastAsia="Times New Roman" w:cs="Calibri"/>
                <w:b/>
                <w:bCs/>
                <w:color w:val="000000"/>
                <w:lang w:eastAsia="en-AU"/>
              </w:rPr>
            </w:pPr>
            <w:r w:rsidRPr="00CA1F74">
              <w:rPr>
                <w:rFonts w:eastAsia="Times New Roman" w:cs="Calibri"/>
                <w:b/>
                <w:bCs/>
                <w:color w:val="000000"/>
                <w:lang w:eastAsia="en-AU"/>
              </w:rPr>
              <w:t>Component</w:t>
            </w:r>
          </w:p>
        </w:tc>
        <w:tc>
          <w:tcPr>
            <w:tcW w:w="0" w:type="auto"/>
            <w:tcBorders>
              <w:top w:val="single" w:sz="8" w:space="0" w:color="auto"/>
              <w:left w:val="nil"/>
              <w:bottom w:val="nil"/>
              <w:right w:val="nil"/>
            </w:tcBorders>
            <w:shd w:val="clear" w:color="auto" w:fill="auto"/>
            <w:noWrap/>
            <w:vAlign w:val="center"/>
            <w:hideMark/>
          </w:tcPr>
          <w:p w:rsidR="00CA1F74" w:rsidRPr="00CA1F74" w:rsidRDefault="00CA1F74" w:rsidP="00CA1F74">
            <w:pPr>
              <w:jc w:val="center"/>
              <w:rPr>
                <w:rFonts w:eastAsia="Times New Roman" w:cs="Calibri"/>
                <w:b/>
                <w:bCs/>
                <w:color w:val="000000"/>
                <w:lang w:eastAsia="en-AU"/>
              </w:rPr>
            </w:pPr>
            <w:r w:rsidRPr="00CA1F74">
              <w:rPr>
                <w:rFonts w:eastAsia="Times New Roman" w:cs="Calibri"/>
                <w:b/>
                <w:bCs/>
                <w:color w:val="000000"/>
                <w:lang w:eastAsia="en-AU"/>
              </w:rPr>
              <w:t>2011/12 rego charge</w:t>
            </w:r>
          </w:p>
        </w:tc>
        <w:tc>
          <w:tcPr>
            <w:tcW w:w="0" w:type="auto"/>
            <w:tcBorders>
              <w:top w:val="single" w:sz="8" w:space="0" w:color="auto"/>
              <w:left w:val="nil"/>
              <w:bottom w:val="nil"/>
              <w:right w:val="nil"/>
            </w:tcBorders>
            <w:shd w:val="clear" w:color="auto" w:fill="auto"/>
            <w:noWrap/>
            <w:vAlign w:val="center"/>
            <w:hideMark/>
          </w:tcPr>
          <w:p w:rsidR="00CA1F74" w:rsidRPr="00CA1F74" w:rsidRDefault="00CA1F74" w:rsidP="00CA1F74">
            <w:pPr>
              <w:jc w:val="center"/>
              <w:rPr>
                <w:rFonts w:eastAsia="Times New Roman" w:cs="Calibri"/>
                <w:b/>
                <w:bCs/>
                <w:color w:val="000000"/>
                <w:lang w:eastAsia="en-AU"/>
              </w:rPr>
            </w:pPr>
            <w:r w:rsidRPr="00CA1F74">
              <w:rPr>
                <w:rFonts w:eastAsia="Times New Roman" w:cs="Calibri"/>
                <w:b/>
                <w:bCs/>
                <w:color w:val="000000"/>
                <w:lang w:eastAsia="en-AU"/>
              </w:rPr>
              <w:t>2012/13 rego charge</w:t>
            </w:r>
          </w:p>
        </w:tc>
        <w:tc>
          <w:tcPr>
            <w:tcW w:w="0" w:type="auto"/>
            <w:tcBorders>
              <w:top w:val="single" w:sz="8" w:space="0" w:color="auto"/>
              <w:left w:val="nil"/>
              <w:bottom w:val="nil"/>
              <w:right w:val="nil"/>
            </w:tcBorders>
            <w:shd w:val="clear" w:color="auto" w:fill="auto"/>
            <w:noWrap/>
            <w:vAlign w:val="center"/>
            <w:hideMark/>
          </w:tcPr>
          <w:p w:rsidR="00CA1F74" w:rsidRPr="00CA1F74" w:rsidRDefault="00CA1F74" w:rsidP="00CA1F74">
            <w:pPr>
              <w:jc w:val="center"/>
              <w:rPr>
                <w:rFonts w:eastAsia="Times New Roman" w:cs="Calibri"/>
                <w:b/>
                <w:bCs/>
                <w:color w:val="000000"/>
                <w:lang w:eastAsia="en-AU"/>
              </w:rPr>
            </w:pPr>
            <w:r w:rsidRPr="00CA1F74">
              <w:rPr>
                <w:rFonts w:eastAsia="Times New Roman" w:cs="Calibri"/>
                <w:b/>
                <w:bCs/>
                <w:color w:val="000000"/>
                <w:lang w:eastAsia="en-AU"/>
              </w:rPr>
              <w:t xml:space="preserve"> Charge Increase $</w:t>
            </w:r>
          </w:p>
        </w:tc>
        <w:tc>
          <w:tcPr>
            <w:tcW w:w="0" w:type="auto"/>
            <w:tcBorders>
              <w:top w:val="single" w:sz="8" w:space="0" w:color="auto"/>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b/>
                <w:bCs/>
                <w:color w:val="000000"/>
                <w:lang w:eastAsia="en-AU"/>
              </w:rPr>
            </w:pPr>
            <w:r w:rsidRPr="00CA1F74">
              <w:rPr>
                <w:rFonts w:eastAsia="Times New Roman" w:cs="Calibri"/>
                <w:b/>
                <w:bCs/>
                <w:color w:val="000000"/>
                <w:lang w:eastAsia="en-AU"/>
              </w:rPr>
              <w:t xml:space="preserve">% change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color w:val="000000"/>
                <w:lang w:eastAsia="en-AU"/>
              </w:rPr>
            </w:pPr>
            <w:r w:rsidRPr="00CA1F74">
              <w:rPr>
                <w:rFonts w:eastAsia="Times New Roman" w:cs="Calibri"/>
                <w:b/>
                <w:bCs/>
                <w:color w:val="000000"/>
                <w:lang w:eastAsia="en-AU"/>
              </w:rPr>
              <w:t xml:space="preserve">Short combination prime mover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 xml:space="preserve">2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1101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1164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63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5.7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3 axle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4327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4744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417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9.6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 xml:space="preserve">4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4759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5030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271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5.7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color w:val="000000"/>
                <w:lang w:eastAsia="en-AU"/>
              </w:rPr>
            </w:pPr>
            <w:r w:rsidRPr="00CA1F74">
              <w:rPr>
                <w:rFonts w:eastAsia="Times New Roman" w:cs="Calibri"/>
                <w:b/>
                <w:bCs/>
                <w:color w:val="000000"/>
                <w:lang w:eastAsia="en-AU"/>
              </w:rPr>
              <w:t xml:space="preserve">Multi-combination prime mover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 xml:space="preserve">2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7764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9457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1693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21.8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3 axle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7764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9457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1693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21.8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 xml:space="preserve">4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8539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10402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1863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21.8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color w:val="000000"/>
                <w:lang w:eastAsia="en-AU"/>
              </w:rPr>
            </w:pPr>
            <w:r w:rsidRPr="00CA1F74">
              <w:rPr>
                <w:rFonts w:eastAsia="Times New Roman" w:cs="Calibri"/>
                <w:color w:val="000000"/>
                <w:lang w:eastAsia="en-AU"/>
              </w:rPr>
              <w:t xml:space="preserve">5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8539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10402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1863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21.8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color w:val="000000"/>
                <w:lang w:eastAsia="en-AU"/>
              </w:rPr>
            </w:pPr>
            <w:r w:rsidRPr="00CA1F74">
              <w:rPr>
                <w:rFonts w:eastAsia="Times New Roman" w:cs="Calibri"/>
                <w:b/>
                <w:bCs/>
                <w:color w:val="000000"/>
                <w:lang w:eastAsia="en-AU"/>
              </w:rPr>
              <w:t xml:space="preserve">Rigid Trucks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 2 axle: no trailer: 4.5-12t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542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29.7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2 axle: no trailer: &gt;12.0t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859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141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19.6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2 axle: with trailer &lt;42.5</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1345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1684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339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25.2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3 axle: no trailer: 4.5-18.0t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859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141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19.6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3 axle: no trailer &gt;18.0t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945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1021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8.0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3 axle: with trailer: &gt;18.0t &lt;42.5t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2199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2671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472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21.5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4 axle: no trailer: 4.5-25.0t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759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5.7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4 axle: no trailer: &gt;25.0t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945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1021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8.0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4 axle: with trailer: &gt;25.0t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3008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3504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496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16.5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 xml:space="preserve">Trailers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Pig/Dog</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Single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132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Tandem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836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264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Tri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1254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396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Quad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1672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2200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528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Semi trailer</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Single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132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Tandem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836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264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Tri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1419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231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16.3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Quad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1892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2200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308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16.3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B-double lead/B-triple lead and middle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Single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132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Tandem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4130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2100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-2030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-49.2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Tri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6525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3300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-3255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-49.4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Quad axle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8700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4400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-4300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-49.4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 xml:space="preserve">Convertor/low loader dolly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Single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418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132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Tandem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836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264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Tri axle group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1254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1650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396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Quad axle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1672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2200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528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31.6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 xml:space="preserve">Articulated Combinations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6 axle semi-trailer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5746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6394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648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11.3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7 axle B-double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12730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12657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-73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-0.6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9 axle B-double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15708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14407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-1301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-8.3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12 axle B-triple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22233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17707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-4526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-20.4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lastRenderedPageBreak/>
              <w:t>Road train: 2 trailers</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11438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13857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2419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21.1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 xml:space="preserve">Road train: 3 trailers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13693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16607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2914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21.3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AB-triple</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17963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17157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-806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-4.5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BAB-quad</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24488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20457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-4031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B050"/>
                <w:lang w:eastAsia="en-AU"/>
              </w:rPr>
            </w:pPr>
            <w:r w:rsidRPr="00CA1F74">
              <w:rPr>
                <w:rFonts w:eastAsia="Times New Roman" w:cs="Calibri"/>
                <w:color w:val="00B050"/>
                <w:lang w:eastAsia="en-AU"/>
              </w:rPr>
              <w:t xml:space="preserve">-16.5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b/>
                <w:bCs/>
                <w:lang w:eastAsia="en-AU"/>
              </w:rPr>
            </w:pPr>
            <w:r w:rsidRPr="00CA1F74">
              <w:rPr>
                <w:rFonts w:eastAsia="Times New Roman" w:cs="Calibri"/>
                <w:b/>
                <w:bCs/>
                <w:lang w:eastAsia="en-AU"/>
              </w:rPr>
              <w:t xml:space="preserve">Road User Charge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w:t>
            </w:r>
          </w:p>
        </w:tc>
      </w:tr>
      <w:tr w:rsidR="00CA1F74" w:rsidRPr="00CA1F74" w:rsidTr="00807CFE">
        <w:trPr>
          <w:trHeight w:val="300"/>
        </w:trPr>
        <w:tc>
          <w:tcPr>
            <w:tcW w:w="0" w:type="auto"/>
            <w:tcBorders>
              <w:top w:val="nil"/>
              <w:left w:val="single" w:sz="8" w:space="0" w:color="auto"/>
              <w:bottom w:val="nil"/>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Fuel tax (</w:t>
            </w:r>
            <w:proofErr w:type="spellStart"/>
            <w:r w:rsidRPr="00CA1F74">
              <w:rPr>
                <w:rFonts w:eastAsia="Times New Roman" w:cs="Calibri"/>
                <w:lang w:eastAsia="en-AU"/>
              </w:rPr>
              <w:t>cpl</w:t>
            </w:r>
            <w:proofErr w:type="spellEnd"/>
            <w:r w:rsidRPr="00CA1F74">
              <w:rPr>
                <w:rFonts w:eastAsia="Times New Roman" w:cs="Calibri"/>
                <w:lang w:eastAsia="en-AU"/>
              </w:rPr>
              <w:t>)</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23.1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25.5 </w:t>
            </w:r>
          </w:p>
        </w:tc>
        <w:tc>
          <w:tcPr>
            <w:tcW w:w="0" w:type="auto"/>
            <w:tcBorders>
              <w:top w:val="nil"/>
              <w:left w:val="nil"/>
              <w:bottom w:val="nil"/>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2.4 </w:t>
            </w:r>
          </w:p>
        </w:tc>
        <w:tc>
          <w:tcPr>
            <w:tcW w:w="0" w:type="auto"/>
            <w:tcBorders>
              <w:top w:val="nil"/>
              <w:left w:val="nil"/>
              <w:bottom w:val="nil"/>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10.4 </w:t>
            </w:r>
          </w:p>
        </w:tc>
      </w:tr>
      <w:tr w:rsidR="00CA1F74" w:rsidRPr="00CA1F74" w:rsidTr="00807CFE">
        <w:trPr>
          <w:trHeight w:val="300"/>
        </w:trPr>
        <w:tc>
          <w:tcPr>
            <w:tcW w:w="0" w:type="auto"/>
            <w:tcBorders>
              <w:top w:val="nil"/>
              <w:left w:val="single" w:sz="8" w:space="0" w:color="auto"/>
              <w:bottom w:val="single" w:sz="8" w:space="0" w:color="auto"/>
              <w:right w:val="nil"/>
            </w:tcBorders>
            <w:shd w:val="clear" w:color="auto" w:fill="auto"/>
            <w:noWrap/>
            <w:hideMark/>
          </w:tcPr>
          <w:p w:rsidR="00CA1F74" w:rsidRPr="00CA1F74" w:rsidRDefault="00CA1F74" w:rsidP="00CA1F74">
            <w:pPr>
              <w:rPr>
                <w:rFonts w:eastAsia="Times New Roman" w:cs="Calibri"/>
                <w:lang w:eastAsia="en-AU"/>
              </w:rPr>
            </w:pPr>
            <w:r w:rsidRPr="00CA1F74">
              <w:rPr>
                <w:rFonts w:eastAsia="Times New Roman" w:cs="Calibri"/>
                <w:lang w:eastAsia="en-AU"/>
              </w:rPr>
              <w:t>Fuel tax credit rate</w:t>
            </w:r>
          </w:p>
        </w:tc>
        <w:tc>
          <w:tcPr>
            <w:tcW w:w="0" w:type="auto"/>
            <w:tcBorders>
              <w:top w:val="nil"/>
              <w:left w:val="nil"/>
              <w:bottom w:val="single" w:sz="8" w:space="0" w:color="auto"/>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15.0 </w:t>
            </w:r>
          </w:p>
        </w:tc>
        <w:tc>
          <w:tcPr>
            <w:tcW w:w="0" w:type="auto"/>
            <w:tcBorders>
              <w:top w:val="nil"/>
              <w:left w:val="nil"/>
              <w:bottom w:val="single" w:sz="8" w:space="0" w:color="auto"/>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12.6 </w:t>
            </w:r>
          </w:p>
        </w:tc>
        <w:tc>
          <w:tcPr>
            <w:tcW w:w="0" w:type="auto"/>
            <w:tcBorders>
              <w:top w:val="nil"/>
              <w:left w:val="nil"/>
              <w:bottom w:val="single" w:sz="8" w:space="0" w:color="auto"/>
              <w:right w:val="nil"/>
            </w:tcBorders>
            <w:shd w:val="clear" w:color="auto" w:fill="auto"/>
            <w:noWrap/>
            <w:vAlign w:val="center"/>
            <w:hideMark/>
          </w:tcPr>
          <w:p w:rsidR="00CA1F74" w:rsidRPr="00CA1F74" w:rsidRDefault="00CA1F74" w:rsidP="00CA1F74">
            <w:pPr>
              <w:jc w:val="center"/>
              <w:rPr>
                <w:rFonts w:eastAsia="Times New Roman" w:cs="Calibri"/>
                <w:color w:val="000000"/>
                <w:lang w:eastAsia="en-AU"/>
              </w:rPr>
            </w:pPr>
            <w:r w:rsidRPr="00CA1F74">
              <w:rPr>
                <w:rFonts w:eastAsia="Times New Roman" w:cs="Calibri"/>
                <w:color w:val="000000"/>
                <w:lang w:eastAsia="en-AU"/>
              </w:rPr>
              <w:t xml:space="preserve">-2.4 </w:t>
            </w:r>
          </w:p>
        </w:tc>
        <w:tc>
          <w:tcPr>
            <w:tcW w:w="0" w:type="auto"/>
            <w:tcBorders>
              <w:top w:val="nil"/>
              <w:left w:val="nil"/>
              <w:bottom w:val="single" w:sz="8" w:space="0" w:color="auto"/>
              <w:right w:val="single" w:sz="8" w:space="0" w:color="auto"/>
            </w:tcBorders>
            <w:shd w:val="clear" w:color="auto" w:fill="auto"/>
            <w:noWrap/>
            <w:vAlign w:val="center"/>
            <w:hideMark/>
          </w:tcPr>
          <w:p w:rsidR="00CA1F74" w:rsidRPr="00CA1F74" w:rsidRDefault="00CA1F74" w:rsidP="00CA1F74">
            <w:pPr>
              <w:jc w:val="center"/>
              <w:rPr>
                <w:rFonts w:eastAsia="Times New Roman" w:cs="Calibri"/>
                <w:color w:val="FF0000"/>
                <w:lang w:eastAsia="en-AU"/>
              </w:rPr>
            </w:pPr>
            <w:r w:rsidRPr="00CA1F74">
              <w:rPr>
                <w:rFonts w:eastAsia="Times New Roman" w:cs="Calibri"/>
                <w:color w:val="FF0000"/>
                <w:lang w:eastAsia="en-AU"/>
              </w:rPr>
              <w:t xml:space="preserve">-16.0 </w:t>
            </w:r>
          </w:p>
        </w:tc>
      </w:tr>
    </w:tbl>
    <w:p w:rsidR="00CA1F74" w:rsidRPr="00156C47" w:rsidRDefault="00CA1F74" w:rsidP="00CA1F74"/>
    <w:p w:rsidR="00CA1F74" w:rsidRDefault="00CA1F74">
      <w:pPr>
        <w:rPr>
          <w:rFonts w:ascii="Arial" w:hAnsi="Arial" w:cs="Arial"/>
          <w:b/>
          <w:color w:val="000064"/>
          <w:sz w:val="24"/>
          <w:szCs w:val="24"/>
        </w:rPr>
      </w:pPr>
      <w:r>
        <w:rPr>
          <w:sz w:val="24"/>
          <w:szCs w:val="24"/>
        </w:rPr>
        <w:br w:type="page"/>
      </w:r>
    </w:p>
    <w:p w:rsidR="00413868" w:rsidRDefault="00CA1F74" w:rsidP="00BA0A58">
      <w:pPr>
        <w:pStyle w:val="Heading1"/>
        <w:numPr>
          <w:ilvl w:val="0"/>
          <w:numId w:val="0"/>
        </w:numPr>
        <w:ind w:left="1701" w:hanging="1701"/>
        <w:rPr>
          <w:sz w:val="24"/>
          <w:szCs w:val="24"/>
        </w:rPr>
      </w:pPr>
      <w:bookmarkStart w:id="267" w:name="_Toc326240366"/>
      <w:r>
        <w:rPr>
          <w:sz w:val="24"/>
          <w:szCs w:val="24"/>
        </w:rPr>
        <w:lastRenderedPageBreak/>
        <w:t>Attachment D</w:t>
      </w:r>
      <w:r w:rsidR="007C4CDA" w:rsidRPr="00BA0A58">
        <w:rPr>
          <w:sz w:val="24"/>
          <w:szCs w:val="24"/>
        </w:rPr>
        <w:t xml:space="preserve">: </w:t>
      </w:r>
      <w:r w:rsidR="004D58E8">
        <w:rPr>
          <w:sz w:val="24"/>
          <w:szCs w:val="24"/>
        </w:rPr>
        <w:t xml:space="preserve">- </w:t>
      </w:r>
      <w:r w:rsidR="007C4CDA" w:rsidRPr="00BA0A58">
        <w:rPr>
          <w:sz w:val="24"/>
          <w:szCs w:val="24"/>
        </w:rPr>
        <w:t>Case Studies of the new 2012-13 charges</w:t>
      </w:r>
      <w:bookmarkEnd w:id="267"/>
    </w:p>
    <w:p w:rsidR="00A86657" w:rsidRDefault="00A86657" w:rsidP="00A86657"/>
    <w:p w:rsidR="007B53F8" w:rsidRDefault="007B53F8" w:rsidP="00A86657">
      <w:pPr>
        <w:jc w:val="center"/>
      </w:pPr>
      <w:r w:rsidRPr="007B53F8">
        <w:rPr>
          <w:noProof/>
          <w:lang w:eastAsia="en-AU"/>
        </w:rPr>
        <w:drawing>
          <wp:inline distT="0" distB="0" distL="0" distR="0">
            <wp:extent cx="4320000" cy="9027556"/>
            <wp:effectExtent l="19050" t="0" r="4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320000" cy="9027556"/>
                    </a:xfrm>
                    <a:prstGeom prst="rect">
                      <a:avLst/>
                    </a:prstGeom>
                    <a:noFill/>
                    <a:ln w="9525">
                      <a:noFill/>
                      <a:miter lim="800000"/>
                      <a:headEnd/>
                      <a:tailEnd/>
                    </a:ln>
                  </pic:spPr>
                </pic:pic>
              </a:graphicData>
            </a:graphic>
          </wp:inline>
        </w:drawing>
      </w:r>
    </w:p>
    <w:p w:rsidR="00A86657" w:rsidRDefault="00A86657" w:rsidP="00A86657">
      <w:pPr>
        <w:jc w:val="center"/>
      </w:pPr>
    </w:p>
    <w:p w:rsidR="00A86657" w:rsidRDefault="00A86657" w:rsidP="00A86657">
      <w:pPr>
        <w:jc w:val="center"/>
      </w:pPr>
    </w:p>
    <w:p w:rsidR="007B53F8" w:rsidRDefault="00A86657" w:rsidP="00A86657">
      <w:pPr>
        <w:jc w:val="center"/>
      </w:pPr>
      <w:r w:rsidRPr="00A86657">
        <w:rPr>
          <w:noProof/>
          <w:lang w:eastAsia="en-AU"/>
        </w:rPr>
        <w:drawing>
          <wp:inline distT="0" distB="0" distL="0" distR="0">
            <wp:extent cx="4320000" cy="7858580"/>
            <wp:effectExtent l="19050" t="0" r="4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320000" cy="7858580"/>
                    </a:xfrm>
                    <a:prstGeom prst="rect">
                      <a:avLst/>
                    </a:prstGeom>
                    <a:noFill/>
                    <a:ln w="9525">
                      <a:noFill/>
                      <a:miter lim="800000"/>
                      <a:headEnd/>
                      <a:tailEnd/>
                    </a:ln>
                  </pic:spPr>
                </pic:pic>
              </a:graphicData>
            </a:graphic>
          </wp:inline>
        </w:drawing>
      </w:r>
    </w:p>
    <w:p w:rsidR="007B53F8" w:rsidRDefault="007B53F8"/>
    <w:p w:rsidR="007B53F8" w:rsidRDefault="00A86657" w:rsidP="00A86657">
      <w:pPr>
        <w:jc w:val="center"/>
      </w:pPr>
      <w:r w:rsidRPr="00A86657">
        <w:rPr>
          <w:noProof/>
          <w:lang w:eastAsia="en-AU"/>
        </w:rPr>
        <w:lastRenderedPageBreak/>
        <w:drawing>
          <wp:inline distT="0" distB="0" distL="0" distR="0">
            <wp:extent cx="4320000" cy="8664067"/>
            <wp:effectExtent l="19050" t="0" r="4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320000" cy="8664067"/>
                    </a:xfrm>
                    <a:prstGeom prst="rect">
                      <a:avLst/>
                    </a:prstGeom>
                    <a:noFill/>
                    <a:ln w="9525">
                      <a:noFill/>
                      <a:miter lim="800000"/>
                      <a:headEnd/>
                      <a:tailEnd/>
                    </a:ln>
                  </pic:spPr>
                </pic:pic>
              </a:graphicData>
            </a:graphic>
          </wp:inline>
        </w:drawing>
      </w:r>
    </w:p>
    <w:p w:rsidR="007B53F8" w:rsidRDefault="007B53F8"/>
    <w:p w:rsidR="004F6681" w:rsidRDefault="004F6681"/>
    <w:p w:rsidR="004F6681" w:rsidRDefault="004F6681"/>
    <w:p w:rsidR="004F6681" w:rsidRDefault="004F6681"/>
    <w:p w:rsidR="004F6681" w:rsidRDefault="004F6681">
      <w:r>
        <w:br w:type="page"/>
      </w:r>
    </w:p>
    <w:p w:rsidR="004F6681" w:rsidRDefault="00CA1F74" w:rsidP="004F6681">
      <w:pPr>
        <w:pStyle w:val="Heading1"/>
        <w:numPr>
          <w:ilvl w:val="0"/>
          <w:numId w:val="0"/>
        </w:numPr>
        <w:ind w:left="1701" w:hanging="1701"/>
        <w:rPr>
          <w:sz w:val="24"/>
          <w:szCs w:val="24"/>
        </w:rPr>
      </w:pPr>
      <w:bookmarkStart w:id="268" w:name="_Toc326240367"/>
      <w:r>
        <w:rPr>
          <w:sz w:val="24"/>
          <w:szCs w:val="24"/>
        </w:rPr>
        <w:lastRenderedPageBreak/>
        <w:t>Attachment E</w:t>
      </w:r>
      <w:r w:rsidR="004F6681" w:rsidRPr="004F6681">
        <w:rPr>
          <w:sz w:val="24"/>
          <w:szCs w:val="24"/>
        </w:rPr>
        <w:t>: Email extracts from OBPR and NTC – from 10/11/2011 to 14/02/2012</w:t>
      </w:r>
      <w:bookmarkEnd w:id="268"/>
      <w:r w:rsidR="004F6681" w:rsidRPr="004F6681">
        <w:rPr>
          <w:sz w:val="24"/>
          <w:szCs w:val="24"/>
        </w:rPr>
        <w:t xml:space="preserve"> </w:t>
      </w:r>
    </w:p>
    <w:p w:rsidR="00156C47" w:rsidRDefault="00156C47" w:rsidP="00156C47"/>
    <w:p w:rsidR="00CA1F74" w:rsidRDefault="005309EC">
      <w:r>
        <w:t>Please see PDF attachment.</w:t>
      </w:r>
    </w:p>
    <w:sectPr w:rsidR="00CA1F74" w:rsidSect="00BA0A58">
      <w:footerReference w:type="default" r:id="rId25"/>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0C" w:rsidRDefault="0001050C" w:rsidP="000F3D9F">
      <w:r>
        <w:separator/>
      </w:r>
    </w:p>
  </w:endnote>
  <w:endnote w:type="continuationSeparator" w:id="0">
    <w:p w:rsidR="0001050C" w:rsidRDefault="0001050C" w:rsidP="000F3D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neta BT">
    <w:altName w:val="Courier New"/>
    <w:charset w:val="00"/>
    <w:family w:val="decorative"/>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CA1F74" w:rsidRPr="00E8056B" w:rsidRDefault="00CA1F74" w:rsidP="00E8056B">
    <w:pPr>
      <w:jc w:val="right"/>
      <w:rPr>
        <w:rFonts w:ascii="Arial" w:hAnsi="Arial" w:cs="Arial"/>
        <w:sz w:val="16"/>
        <w:szCs w:val="16"/>
      </w:rPr>
    </w:pPr>
  </w:p>
  <w:p w:rsidR="00CA1F74" w:rsidRPr="00E8056B" w:rsidRDefault="00CA1F74"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CA1F74" w:rsidRPr="00E8056B" w:rsidRDefault="00CA1F74"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pPr>
      <w:pStyle w:val="Footer"/>
      <w:jc w:val="right"/>
    </w:pPr>
    <w:fldSimple w:instr=" PAGE   \* MERGEFORMAT ">
      <w:r>
        <w:rPr>
          <w:noProof/>
        </w:rPr>
        <w:t>7</w:t>
      </w:r>
    </w:fldSimple>
  </w:p>
  <w:p w:rsidR="00CA1F74" w:rsidRDefault="00CA1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CA1F74" w:rsidRPr="00A91411" w:rsidTr="00D735FF">
      <w:trPr>
        <w:trHeight w:val="278"/>
      </w:trPr>
      <w:tc>
        <w:tcPr>
          <w:tcW w:w="4927" w:type="dxa"/>
          <w:vAlign w:val="center"/>
        </w:tcPr>
        <w:p w:rsidR="00CA1F74" w:rsidRPr="00A91411" w:rsidRDefault="00CA1F74" w:rsidP="00DB17ED">
          <w:pPr>
            <w:pStyle w:val="Footer"/>
            <w:rPr>
              <w:rFonts w:ascii="Arial" w:hAnsi="Arial" w:cs="Arial"/>
              <w:sz w:val="14"/>
              <w:szCs w:val="14"/>
            </w:rPr>
          </w:pPr>
          <w:r w:rsidRPr="00A91411">
            <w:rPr>
              <w:rFonts w:ascii="Arial" w:hAnsi="Arial" w:cs="Arial"/>
              <w:sz w:val="14"/>
              <w:szCs w:val="14"/>
            </w:rPr>
            <w:t xml:space="preserve">Submission – </w:t>
          </w:r>
          <w:r w:rsidRPr="002B2900">
            <w:rPr>
              <w:rFonts w:ascii="Arial" w:hAnsi="Arial" w:cs="Arial"/>
              <w:sz w:val="14"/>
              <w:szCs w:val="14"/>
            </w:rPr>
            <w:t>Regulatory Impact Analysis: Benchmarking</w:t>
          </w:r>
        </w:p>
      </w:tc>
      <w:tc>
        <w:tcPr>
          <w:tcW w:w="4927" w:type="dxa"/>
          <w:vAlign w:val="center"/>
        </w:tcPr>
        <w:p w:rsidR="00CA1F74" w:rsidRPr="00A91411" w:rsidRDefault="00CA1F74"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6443F5">
            <w:rPr>
              <w:rFonts w:ascii="Arial" w:hAnsi="Arial" w:cs="Arial"/>
              <w:noProof/>
              <w:sz w:val="14"/>
              <w:szCs w:val="14"/>
            </w:rPr>
            <w:t>9</w:t>
          </w:r>
          <w:r w:rsidRPr="00A91411">
            <w:rPr>
              <w:rFonts w:ascii="Arial" w:hAnsi="Arial" w:cs="Arial"/>
              <w:sz w:val="14"/>
              <w:szCs w:val="14"/>
            </w:rPr>
            <w:fldChar w:fldCharType="end"/>
          </w:r>
        </w:p>
      </w:tc>
    </w:tr>
  </w:tbl>
  <w:p w:rsidR="00CA1F74" w:rsidRPr="00A91411" w:rsidRDefault="00CA1F74">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66" w:type="dxa"/>
      <w:tblBorders>
        <w:top w:val="single" w:sz="4" w:space="0" w:color="000000"/>
        <w:insideH w:val="single" w:sz="4" w:space="0" w:color="000000"/>
      </w:tblBorders>
      <w:tblLook w:val="04A0"/>
    </w:tblPr>
    <w:tblGrid>
      <w:gridCol w:w="4927"/>
      <w:gridCol w:w="10439"/>
    </w:tblGrid>
    <w:tr w:rsidR="00CA1F74" w:rsidRPr="00A91411" w:rsidTr="00BA0A58">
      <w:trPr>
        <w:trHeight w:val="278"/>
      </w:trPr>
      <w:tc>
        <w:tcPr>
          <w:tcW w:w="4927" w:type="dxa"/>
          <w:vAlign w:val="center"/>
        </w:tcPr>
        <w:p w:rsidR="00CA1F74" w:rsidRPr="00A91411" w:rsidRDefault="00CA1F74" w:rsidP="00DB17ED">
          <w:pPr>
            <w:pStyle w:val="Footer"/>
            <w:rPr>
              <w:rFonts w:ascii="Arial" w:hAnsi="Arial" w:cs="Arial"/>
              <w:sz w:val="14"/>
              <w:szCs w:val="14"/>
            </w:rPr>
          </w:pPr>
          <w:r w:rsidRPr="00A91411">
            <w:rPr>
              <w:rFonts w:ascii="Arial" w:hAnsi="Arial" w:cs="Arial"/>
              <w:sz w:val="14"/>
              <w:szCs w:val="14"/>
            </w:rPr>
            <w:t xml:space="preserve">Submission – </w:t>
          </w:r>
          <w:r w:rsidRPr="002B2900">
            <w:rPr>
              <w:rFonts w:ascii="Arial" w:hAnsi="Arial" w:cs="Arial"/>
              <w:sz w:val="14"/>
              <w:szCs w:val="14"/>
            </w:rPr>
            <w:t>Regulatory Impact Analysis: Benchmarking</w:t>
          </w:r>
        </w:p>
      </w:tc>
      <w:tc>
        <w:tcPr>
          <w:tcW w:w="10439" w:type="dxa"/>
          <w:vAlign w:val="center"/>
        </w:tcPr>
        <w:p w:rsidR="00CA1F74" w:rsidRPr="00A91411" w:rsidRDefault="00CA1F74"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6443F5">
            <w:rPr>
              <w:rFonts w:ascii="Arial" w:hAnsi="Arial" w:cs="Arial"/>
              <w:noProof/>
              <w:sz w:val="14"/>
              <w:szCs w:val="14"/>
            </w:rPr>
            <w:t>13</w:t>
          </w:r>
          <w:r w:rsidRPr="00A91411">
            <w:rPr>
              <w:rFonts w:ascii="Arial" w:hAnsi="Arial" w:cs="Arial"/>
              <w:sz w:val="14"/>
              <w:szCs w:val="14"/>
            </w:rPr>
            <w:fldChar w:fldCharType="end"/>
          </w:r>
        </w:p>
      </w:tc>
    </w:tr>
  </w:tbl>
  <w:p w:rsidR="00CA1F74" w:rsidRPr="00A91411" w:rsidRDefault="00CA1F74">
    <w:pPr>
      <w:rPr>
        <w:sz w:val="4"/>
        <w:szCs w:val="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Borders>
        <w:top w:val="single" w:sz="4" w:space="0" w:color="000000"/>
        <w:insideH w:val="single" w:sz="4" w:space="0" w:color="000000"/>
      </w:tblBorders>
      <w:tblLook w:val="04A0"/>
    </w:tblPr>
    <w:tblGrid>
      <w:gridCol w:w="5920"/>
      <w:gridCol w:w="3719"/>
    </w:tblGrid>
    <w:tr w:rsidR="00CA1F74" w:rsidRPr="00A91411" w:rsidTr="00BA0A58">
      <w:trPr>
        <w:trHeight w:val="278"/>
      </w:trPr>
      <w:tc>
        <w:tcPr>
          <w:tcW w:w="5920" w:type="dxa"/>
          <w:vAlign w:val="center"/>
        </w:tcPr>
        <w:p w:rsidR="00CA1F74" w:rsidRPr="00A91411" w:rsidRDefault="00CA1F74" w:rsidP="00DB17ED">
          <w:pPr>
            <w:pStyle w:val="Footer"/>
            <w:rPr>
              <w:rFonts w:ascii="Arial" w:hAnsi="Arial" w:cs="Arial"/>
              <w:sz w:val="14"/>
              <w:szCs w:val="14"/>
            </w:rPr>
          </w:pPr>
          <w:r w:rsidRPr="00A91411">
            <w:rPr>
              <w:rFonts w:ascii="Arial" w:hAnsi="Arial" w:cs="Arial"/>
              <w:sz w:val="14"/>
              <w:szCs w:val="14"/>
            </w:rPr>
            <w:t xml:space="preserve">Submission – </w:t>
          </w:r>
          <w:r w:rsidRPr="002B2900">
            <w:rPr>
              <w:rFonts w:ascii="Arial" w:hAnsi="Arial" w:cs="Arial"/>
              <w:sz w:val="14"/>
              <w:szCs w:val="14"/>
            </w:rPr>
            <w:t>Regulatory Impact Analysis: Benchmarking</w:t>
          </w:r>
        </w:p>
      </w:tc>
      <w:tc>
        <w:tcPr>
          <w:tcW w:w="3719" w:type="dxa"/>
          <w:vAlign w:val="center"/>
        </w:tcPr>
        <w:p w:rsidR="00CA1F74" w:rsidRPr="00A91411" w:rsidRDefault="00CA1F74"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6443F5">
            <w:rPr>
              <w:rFonts w:ascii="Arial" w:hAnsi="Arial" w:cs="Arial"/>
              <w:noProof/>
              <w:sz w:val="14"/>
              <w:szCs w:val="14"/>
            </w:rPr>
            <w:t>22</w:t>
          </w:r>
          <w:r w:rsidRPr="00A91411">
            <w:rPr>
              <w:rFonts w:ascii="Arial" w:hAnsi="Arial" w:cs="Arial"/>
              <w:sz w:val="14"/>
              <w:szCs w:val="14"/>
            </w:rPr>
            <w:fldChar w:fldCharType="end"/>
          </w:r>
        </w:p>
      </w:tc>
    </w:tr>
  </w:tbl>
  <w:p w:rsidR="00CA1F74" w:rsidRPr="00A91411" w:rsidRDefault="00CA1F74">
    <w:pP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0C" w:rsidRDefault="0001050C" w:rsidP="000F3D9F">
      <w:r>
        <w:separator/>
      </w:r>
    </w:p>
  </w:footnote>
  <w:footnote w:type="continuationSeparator" w:id="0">
    <w:p w:rsidR="0001050C" w:rsidRDefault="0001050C" w:rsidP="000F3D9F">
      <w:r>
        <w:continuationSeparator/>
      </w:r>
    </w:p>
  </w:footnote>
  <w:footnote w:id="1">
    <w:p w:rsidR="00CA1F74" w:rsidRPr="00963468" w:rsidRDefault="00CA1F74" w:rsidP="00EB0B2D">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Regulatory Impact Analysis: Benchmarking - Productivity Commission Issues Paper Page 3</w:t>
      </w:r>
    </w:p>
  </w:footnote>
  <w:footnote w:id="2">
    <w:p w:rsidR="00CA1F74" w:rsidRPr="00963468" w:rsidRDefault="00CA1F74" w:rsidP="0022195F">
      <w:pPr>
        <w:pStyle w:val="FootnoteText"/>
        <w:spacing w:after="80"/>
        <w:rPr>
          <w:rFonts w:ascii="Arial" w:eastAsia="Arial Unicode MS"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w:t>
      </w:r>
      <w:r w:rsidRPr="00963468">
        <w:rPr>
          <w:rFonts w:ascii="Arial" w:eastAsia="Arial Unicode MS" w:hAnsi="Arial" w:cs="Arial"/>
          <w:sz w:val="16"/>
          <w:szCs w:val="16"/>
        </w:rPr>
        <w:t xml:space="preserve">National Partnership Agreement to Deliver a Seamless National Economy- COAG – page 3 </w:t>
      </w:r>
    </w:p>
  </w:footnote>
  <w:footnote w:id="3">
    <w:p w:rsidR="00CA1F74" w:rsidRPr="00963468" w:rsidRDefault="00CA1F74" w:rsidP="0022195F">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w:t>
      </w:r>
      <w:hyperlink r:id="rId1" w:history="1">
        <w:r w:rsidRPr="00963468">
          <w:rPr>
            <w:rStyle w:val="Hyperlink"/>
            <w:rFonts w:ascii="Arial" w:hAnsi="Arial" w:cs="Arial"/>
            <w:sz w:val="16"/>
            <w:szCs w:val="16"/>
          </w:rPr>
          <w:t>http://www.ntc.gov.au/NewsDetail.aspx?NewsId=368</w:t>
        </w:r>
      </w:hyperlink>
      <w:r w:rsidRPr="00963468">
        <w:rPr>
          <w:rFonts w:ascii="Arial" w:hAnsi="Arial" w:cs="Arial"/>
          <w:sz w:val="16"/>
          <w:szCs w:val="16"/>
        </w:rPr>
        <w:t xml:space="preserve"> 23 march 2012</w:t>
      </w:r>
    </w:p>
  </w:footnote>
  <w:footnote w:id="4">
    <w:p w:rsidR="00CA1F74" w:rsidRPr="00963468" w:rsidRDefault="00CA1F74" w:rsidP="00F7475D">
      <w:pPr>
        <w:pStyle w:val="FootnoteText"/>
        <w:rPr>
          <w:sz w:val="16"/>
          <w:szCs w:val="16"/>
        </w:rPr>
      </w:pPr>
      <w:r w:rsidRPr="00963468">
        <w:rPr>
          <w:rStyle w:val="FootnoteReference"/>
          <w:sz w:val="16"/>
          <w:szCs w:val="16"/>
        </w:rPr>
        <w:footnoteRef/>
      </w:r>
      <w:r w:rsidRPr="00963468">
        <w:rPr>
          <w:sz w:val="16"/>
          <w:szCs w:val="16"/>
        </w:rPr>
        <w:t xml:space="preserve"> Best practice regulation handbook June 2010 - Chapter Two: The government’s regulatory impact analysis requirements Page 11</w:t>
      </w:r>
    </w:p>
  </w:footnote>
  <w:footnote w:id="5">
    <w:p w:rsidR="00CA1F74" w:rsidRPr="00963468" w:rsidRDefault="00CA1F74" w:rsidP="00F7475D">
      <w:pPr>
        <w:pStyle w:val="FootnoteText"/>
        <w:rPr>
          <w:sz w:val="16"/>
          <w:szCs w:val="16"/>
        </w:rPr>
      </w:pPr>
      <w:r w:rsidRPr="00963468">
        <w:rPr>
          <w:rStyle w:val="FootnoteReference"/>
          <w:sz w:val="16"/>
          <w:szCs w:val="16"/>
        </w:rPr>
        <w:footnoteRef/>
      </w:r>
      <w:r w:rsidRPr="00963468">
        <w:rPr>
          <w:sz w:val="16"/>
          <w:szCs w:val="16"/>
        </w:rPr>
        <w:t xml:space="preserve"> Best practice regulation handbook June 2010 - Chapter Two: The government’s regulatory impact analysis requirements Page 24</w:t>
      </w:r>
    </w:p>
    <w:p w:rsidR="00CA1F74" w:rsidRPr="00963468" w:rsidRDefault="00CA1F74" w:rsidP="00F7475D">
      <w:pPr>
        <w:pStyle w:val="FootnoteText"/>
        <w:rPr>
          <w:sz w:val="16"/>
          <w:szCs w:val="16"/>
        </w:rPr>
      </w:pPr>
    </w:p>
  </w:footnote>
  <w:footnote w:id="6">
    <w:p w:rsidR="00CA1F74" w:rsidRPr="00963468" w:rsidRDefault="00CA1F74">
      <w:pPr>
        <w:pStyle w:val="FootnoteText"/>
        <w:rPr>
          <w:sz w:val="16"/>
          <w:szCs w:val="16"/>
        </w:rPr>
      </w:pPr>
      <w:r w:rsidRPr="00963468">
        <w:rPr>
          <w:rStyle w:val="FootnoteReference"/>
          <w:sz w:val="16"/>
          <w:szCs w:val="16"/>
        </w:rPr>
        <w:footnoteRef/>
      </w:r>
      <w:r w:rsidRPr="00963468">
        <w:rPr>
          <w:sz w:val="16"/>
          <w:szCs w:val="16"/>
        </w:rPr>
        <w:t xml:space="preserve"> Best practice regulation handbook June 2010 - Chapter Two: The government’s regulatory impact analysis requirements Page 21</w:t>
      </w:r>
    </w:p>
  </w:footnote>
  <w:footnote w:id="7">
    <w:p w:rsidR="00CA1F74" w:rsidRPr="00963468" w:rsidRDefault="00CA1F74" w:rsidP="007B53F8">
      <w:pPr>
        <w:spacing w:after="80"/>
        <w:ind w:left="142" w:hanging="142"/>
        <w:rPr>
          <w:rFonts w:ascii="Arial" w:eastAsia="Times New Roman"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Page 7  - </w:t>
      </w:r>
      <w:hyperlink r:id="rId2" w:history="1">
        <w:r w:rsidRPr="00963468">
          <w:rPr>
            <w:rFonts w:ascii="Arial" w:eastAsia="Times New Roman" w:hAnsi="Arial" w:cs="Arial"/>
            <w:sz w:val="16"/>
            <w:szCs w:val="16"/>
          </w:rPr>
          <w:t xml:space="preserve">Trucks to Meet the Future Road Freight Task </w:t>
        </w:r>
      </w:hyperlink>
      <w:r w:rsidRPr="00963468">
        <w:rPr>
          <w:rFonts w:ascii="Arial" w:hAnsi="Arial" w:cs="Arial"/>
          <w:sz w:val="16"/>
          <w:szCs w:val="16"/>
        </w:rPr>
        <w:t xml:space="preserve">– Industry Issue paper presented by the Truck Industry Council and Commercial Vehicle Industry Association of Queensland – November 2004 </w:t>
      </w:r>
    </w:p>
  </w:footnote>
  <w:footnote w:id="8">
    <w:p w:rsidR="00CA1F74" w:rsidRPr="00963468" w:rsidRDefault="00CA1F74" w:rsidP="007B53F8">
      <w:pPr>
        <w:spacing w:after="80"/>
        <w:ind w:left="142" w:hanging="142"/>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Page 18 - </w:t>
      </w:r>
      <w:hyperlink r:id="rId3" w:history="1">
        <w:r w:rsidRPr="00963468">
          <w:rPr>
            <w:rFonts w:ascii="Arial" w:hAnsi="Arial" w:cs="Arial"/>
            <w:sz w:val="16"/>
            <w:szCs w:val="16"/>
          </w:rPr>
          <w:t xml:space="preserve">Trucks to Meet the Future Road Freight Task </w:t>
        </w:r>
      </w:hyperlink>
      <w:r w:rsidRPr="00963468">
        <w:rPr>
          <w:rFonts w:ascii="Arial" w:hAnsi="Arial" w:cs="Arial"/>
          <w:sz w:val="16"/>
          <w:szCs w:val="16"/>
        </w:rPr>
        <w:t>– Industry Issue paper presented by the Truck Industry Council and Commercial Vehicle Industry Association of Queensland – November 2004</w:t>
      </w:r>
    </w:p>
  </w:footnote>
  <w:footnote w:id="9">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Page 7 – Bob Pearson - A case study of B-Doubles in Australia</w:t>
      </w:r>
    </w:p>
  </w:footnote>
  <w:footnote w:id="10">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Page 8 – Bob Pearson - A case study of B-Doubles in Australia</w:t>
      </w:r>
    </w:p>
  </w:footnote>
  <w:footnote w:id="11">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Red tape derailing freight investors – June 27 2011 – the Australian – Annabel Hepworth </w:t>
      </w:r>
    </w:p>
  </w:footnote>
  <w:footnote w:id="12">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Page 10 - Bob Pearson - A case study of B-Doubles in Australia</w:t>
      </w:r>
    </w:p>
  </w:footnote>
  <w:footnote w:id="13">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17-18 Trucking – driving Australia’s growth and prosperity – prepared by the Australian Trucking Association – August 2004</w:t>
      </w:r>
    </w:p>
  </w:footnote>
  <w:footnote w:id="14">
    <w:p w:rsidR="00CA1F74" w:rsidRPr="00963468" w:rsidRDefault="00CA1F74" w:rsidP="007B53F8">
      <w:pPr>
        <w:pStyle w:val="FootnoteText"/>
        <w:spacing w:after="80"/>
        <w:rPr>
          <w:rFonts w:ascii="Arial" w:hAnsi="Arial" w:cs="Arial"/>
          <w:sz w:val="16"/>
          <w:szCs w:val="16"/>
        </w:rPr>
      </w:pPr>
      <w:r w:rsidRPr="00963468">
        <w:rPr>
          <w:rStyle w:val="FootnoteReference"/>
          <w:rFonts w:ascii="Arial" w:hAnsi="Arial" w:cs="Arial"/>
          <w:sz w:val="16"/>
          <w:szCs w:val="16"/>
          <w:vertAlign w:val="baseline"/>
        </w:rPr>
        <w:footnoteRef/>
      </w:r>
      <w:r w:rsidRPr="00963468">
        <w:rPr>
          <w:rFonts w:ascii="Arial" w:hAnsi="Arial" w:cs="Arial"/>
          <w:sz w:val="16"/>
          <w:szCs w:val="16"/>
        </w:rPr>
        <w:t xml:space="preserve">  </w:t>
      </w:r>
      <w:proofErr w:type="gramStart"/>
      <w:r w:rsidRPr="00963468">
        <w:rPr>
          <w:rFonts w:ascii="Arial" w:hAnsi="Arial" w:cs="Arial"/>
          <w:sz w:val="16"/>
          <w:szCs w:val="16"/>
        </w:rPr>
        <w:t>Truck Week 21-27 February 2010 – environmental performance.</w:t>
      </w:r>
      <w:proofErr w:type="gramEnd"/>
      <w:r w:rsidRPr="00963468">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Pr="00E8056B" w:rsidRDefault="00CA1F74"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CA1F74" w:rsidRDefault="00CA1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50"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Pr="0019542E" w:rsidRDefault="00CA1F74"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74" w:rsidRDefault="00CA1F74">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49"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351D"/>
    <w:multiLevelType w:val="hybridMultilevel"/>
    <w:tmpl w:val="94866ACC"/>
    <w:lvl w:ilvl="0" w:tplc="E8BE580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50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EBF11E2"/>
    <w:multiLevelType w:val="hybridMultilevel"/>
    <w:tmpl w:val="302A20E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1"/>
  </w:num>
  <w:num w:numId="8">
    <w:abstractNumId w:val="0"/>
  </w:num>
  <w:num w:numId="9">
    <w:abstractNumId w:val="2"/>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D0AB4"/>
    <w:rsid w:val="00005E0D"/>
    <w:rsid w:val="0001050C"/>
    <w:rsid w:val="00013528"/>
    <w:rsid w:val="000156D1"/>
    <w:rsid w:val="00035CFC"/>
    <w:rsid w:val="00040876"/>
    <w:rsid w:val="00052E9C"/>
    <w:rsid w:val="000540DE"/>
    <w:rsid w:val="0006283B"/>
    <w:rsid w:val="00073B9A"/>
    <w:rsid w:val="0007542B"/>
    <w:rsid w:val="00075E7B"/>
    <w:rsid w:val="00083C15"/>
    <w:rsid w:val="000848A1"/>
    <w:rsid w:val="00095C3B"/>
    <w:rsid w:val="000A2BCF"/>
    <w:rsid w:val="000A4EB0"/>
    <w:rsid w:val="000B069A"/>
    <w:rsid w:val="000B4D4A"/>
    <w:rsid w:val="000C0C35"/>
    <w:rsid w:val="000C7BBC"/>
    <w:rsid w:val="000E0DB6"/>
    <w:rsid w:val="000E7B14"/>
    <w:rsid w:val="000F0F7B"/>
    <w:rsid w:val="000F3D9F"/>
    <w:rsid w:val="000F53C2"/>
    <w:rsid w:val="000F566E"/>
    <w:rsid w:val="000F7F6F"/>
    <w:rsid w:val="00102C23"/>
    <w:rsid w:val="001069AA"/>
    <w:rsid w:val="00110610"/>
    <w:rsid w:val="00111F07"/>
    <w:rsid w:val="00116409"/>
    <w:rsid w:val="00121A53"/>
    <w:rsid w:val="0013041A"/>
    <w:rsid w:val="00132181"/>
    <w:rsid w:val="001326E9"/>
    <w:rsid w:val="001368EB"/>
    <w:rsid w:val="00141274"/>
    <w:rsid w:val="0014683D"/>
    <w:rsid w:val="00150065"/>
    <w:rsid w:val="0015094C"/>
    <w:rsid w:val="00152A71"/>
    <w:rsid w:val="00156C47"/>
    <w:rsid w:val="00160FE3"/>
    <w:rsid w:val="001611AB"/>
    <w:rsid w:val="001618E1"/>
    <w:rsid w:val="00173B40"/>
    <w:rsid w:val="00176A04"/>
    <w:rsid w:val="001811B8"/>
    <w:rsid w:val="001872CD"/>
    <w:rsid w:val="0019542E"/>
    <w:rsid w:val="00195D20"/>
    <w:rsid w:val="001A0DC3"/>
    <w:rsid w:val="001A165B"/>
    <w:rsid w:val="001A6510"/>
    <w:rsid w:val="001B168C"/>
    <w:rsid w:val="001B3E52"/>
    <w:rsid w:val="001C125D"/>
    <w:rsid w:val="001C3659"/>
    <w:rsid w:val="001D50C7"/>
    <w:rsid w:val="001D77A8"/>
    <w:rsid w:val="001D7817"/>
    <w:rsid w:val="001E0A75"/>
    <w:rsid w:val="001E20D8"/>
    <w:rsid w:val="001E3EDD"/>
    <w:rsid w:val="001F187C"/>
    <w:rsid w:val="001F437B"/>
    <w:rsid w:val="002041FF"/>
    <w:rsid w:val="00215800"/>
    <w:rsid w:val="00216CE6"/>
    <w:rsid w:val="0022195F"/>
    <w:rsid w:val="00223B60"/>
    <w:rsid w:val="00230DFC"/>
    <w:rsid w:val="00241C15"/>
    <w:rsid w:val="0024351B"/>
    <w:rsid w:val="002543DF"/>
    <w:rsid w:val="00262C0A"/>
    <w:rsid w:val="00266915"/>
    <w:rsid w:val="00272209"/>
    <w:rsid w:val="002726C0"/>
    <w:rsid w:val="00286F0D"/>
    <w:rsid w:val="00296633"/>
    <w:rsid w:val="002971C8"/>
    <w:rsid w:val="002A4859"/>
    <w:rsid w:val="002B2900"/>
    <w:rsid w:val="002B381D"/>
    <w:rsid w:val="002B5816"/>
    <w:rsid w:val="002C1799"/>
    <w:rsid w:val="002C7F25"/>
    <w:rsid w:val="002D3F0B"/>
    <w:rsid w:val="002D592D"/>
    <w:rsid w:val="002E453E"/>
    <w:rsid w:val="002E4F7B"/>
    <w:rsid w:val="002E5D82"/>
    <w:rsid w:val="002E7897"/>
    <w:rsid w:val="002E7F28"/>
    <w:rsid w:val="002F2F65"/>
    <w:rsid w:val="002F632C"/>
    <w:rsid w:val="00306FBF"/>
    <w:rsid w:val="003160A5"/>
    <w:rsid w:val="00320AFE"/>
    <w:rsid w:val="00321A43"/>
    <w:rsid w:val="0032308F"/>
    <w:rsid w:val="00325A6C"/>
    <w:rsid w:val="00330615"/>
    <w:rsid w:val="00336760"/>
    <w:rsid w:val="00342826"/>
    <w:rsid w:val="00343150"/>
    <w:rsid w:val="00351A42"/>
    <w:rsid w:val="003533CA"/>
    <w:rsid w:val="00354394"/>
    <w:rsid w:val="0035493A"/>
    <w:rsid w:val="00360759"/>
    <w:rsid w:val="00375BAA"/>
    <w:rsid w:val="0038396A"/>
    <w:rsid w:val="00384772"/>
    <w:rsid w:val="0039063B"/>
    <w:rsid w:val="003911E4"/>
    <w:rsid w:val="003A6D8A"/>
    <w:rsid w:val="003A75D9"/>
    <w:rsid w:val="003B0199"/>
    <w:rsid w:val="003B1937"/>
    <w:rsid w:val="003B4987"/>
    <w:rsid w:val="003B5267"/>
    <w:rsid w:val="003B5970"/>
    <w:rsid w:val="003B6495"/>
    <w:rsid w:val="003B7492"/>
    <w:rsid w:val="003B74E4"/>
    <w:rsid w:val="003C2311"/>
    <w:rsid w:val="003C2846"/>
    <w:rsid w:val="003C43A2"/>
    <w:rsid w:val="003E1311"/>
    <w:rsid w:val="003E2B20"/>
    <w:rsid w:val="003F059E"/>
    <w:rsid w:val="003F6CA9"/>
    <w:rsid w:val="004008C7"/>
    <w:rsid w:val="0040102E"/>
    <w:rsid w:val="0040152F"/>
    <w:rsid w:val="00403823"/>
    <w:rsid w:val="00404731"/>
    <w:rsid w:val="004053D4"/>
    <w:rsid w:val="00407965"/>
    <w:rsid w:val="004115B6"/>
    <w:rsid w:val="004133B0"/>
    <w:rsid w:val="00413868"/>
    <w:rsid w:val="00415126"/>
    <w:rsid w:val="00420F75"/>
    <w:rsid w:val="00421306"/>
    <w:rsid w:val="00422BB7"/>
    <w:rsid w:val="00423CCC"/>
    <w:rsid w:val="00424D3E"/>
    <w:rsid w:val="0042557B"/>
    <w:rsid w:val="004353C2"/>
    <w:rsid w:val="00440231"/>
    <w:rsid w:val="00445CDC"/>
    <w:rsid w:val="00450FF8"/>
    <w:rsid w:val="004640D1"/>
    <w:rsid w:val="00474277"/>
    <w:rsid w:val="00475C39"/>
    <w:rsid w:val="00484068"/>
    <w:rsid w:val="00485695"/>
    <w:rsid w:val="00487F0F"/>
    <w:rsid w:val="004977DE"/>
    <w:rsid w:val="004A2F6F"/>
    <w:rsid w:val="004A49F7"/>
    <w:rsid w:val="004A507F"/>
    <w:rsid w:val="004B26EB"/>
    <w:rsid w:val="004B6187"/>
    <w:rsid w:val="004C21BB"/>
    <w:rsid w:val="004C3CC3"/>
    <w:rsid w:val="004C4260"/>
    <w:rsid w:val="004D035C"/>
    <w:rsid w:val="004D58E8"/>
    <w:rsid w:val="004E0B04"/>
    <w:rsid w:val="004E1EBB"/>
    <w:rsid w:val="004E5EA3"/>
    <w:rsid w:val="004F112A"/>
    <w:rsid w:val="004F3B07"/>
    <w:rsid w:val="004F6065"/>
    <w:rsid w:val="004F6681"/>
    <w:rsid w:val="00510952"/>
    <w:rsid w:val="005131CF"/>
    <w:rsid w:val="00513318"/>
    <w:rsid w:val="005223FD"/>
    <w:rsid w:val="00525303"/>
    <w:rsid w:val="005309EC"/>
    <w:rsid w:val="005312DB"/>
    <w:rsid w:val="0053137B"/>
    <w:rsid w:val="00532BFB"/>
    <w:rsid w:val="005365E0"/>
    <w:rsid w:val="005433BB"/>
    <w:rsid w:val="00550256"/>
    <w:rsid w:val="00557098"/>
    <w:rsid w:val="00560581"/>
    <w:rsid w:val="0056179B"/>
    <w:rsid w:val="00562072"/>
    <w:rsid w:val="00564629"/>
    <w:rsid w:val="00565F92"/>
    <w:rsid w:val="00576ED0"/>
    <w:rsid w:val="00576F0D"/>
    <w:rsid w:val="00577789"/>
    <w:rsid w:val="00580BDF"/>
    <w:rsid w:val="005822AC"/>
    <w:rsid w:val="00587C8F"/>
    <w:rsid w:val="00593217"/>
    <w:rsid w:val="005A2A86"/>
    <w:rsid w:val="005A52D0"/>
    <w:rsid w:val="005B35D2"/>
    <w:rsid w:val="005B3729"/>
    <w:rsid w:val="005C31A0"/>
    <w:rsid w:val="005C4952"/>
    <w:rsid w:val="005C5C16"/>
    <w:rsid w:val="005C623A"/>
    <w:rsid w:val="005C63F7"/>
    <w:rsid w:val="005C6D47"/>
    <w:rsid w:val="005D2355"/>
    <w:rsid w:val="005D6CD2"/>
    <w:rsid w:val="005E11FC"/>
    <w:rsid w:val="005E28FB"/>
    <w:rsid w:val="005E6294"/>
    <w:rsid w:val="005E6D8B"/>
    <w:rsid w:val="005E7345"/>
    <w:rsid w:val="005F1009"/>
    <w:rsid w:val="005F21D1"/>
    <w:rsid w:val="005F5ACC"/>
    <w:rsid w:val="005F69CC"/>
    <w:rsid w:val="006037DB"/>
    <w:rsid w:val="006109E9"/>
    <w:rsid w:val="00610CFE"/>
    <w:rsid w:val="0062163F"/>
    <w:rsid w:val="00623131"/>
    <w:rsid w:val="006244DA"/>
    <w:rsid w:val="00634D43"/>
    <w:rsid w:val="00637B10"/>
    <w:rsid w:val="00640DAD"/>
    <w:rsid w:val="006443F5"/>
    <w:rsid w:val="0064591F"/>
    <w:rsid w:val="00650517"/>
    <w:rsid w:val="00652961"/>
    <w:rsid w:val="00655FA1"/>
    <w:rsid w:val="00666BF4"/>
    <w:rsid w:val="00667886"/>
    <w:rsid w:val="00683D7C"/>
    <w:rsid w:val="006859F7"/>
    <w:rsid w:val="0069019B"/>
    <w:rsid w:val="00691357"/>
    <w:rsid w:val="00693363"/>
    <w:rsid w:val="00693CE9"/>
    <w:rsid w:val="006A797E"/>
    <w:rsid w:val="006A7A64"/>
    <w:rsid w:val="006B26B3"/>
    <w:rsid w:val="006B3B55"/>
    <w:rsid w:val="006C38AD"/>
    <w:rsid w:val="006C4DAB"/>
    <w:rsid w:val="006C5FD1"/>
    <w:rsid w:val="006D4D41"/>
    <w:rsid w:val="006E65BE"/>
    <w:rsid w:val="006F050F"/>
    <w:rsid w:val="006F0C79"/>
    <w:rsid w:val="006F0EF3"/>
    <w:rsid w:val="007006BF"/>
    <w:rsid w:val="0070157F"/>
    <w:rsid w:val="00714828"/>
    <w:rsid w:val="007162A5"/>
    <w:rsid w:val="0071762D"/>
    <w:rsid w:val="00717A65"/>
    <w:rsid w:val="00722C03"/>
    <w:rsid w:val="0072458A"/>
    <w:rsid w:val="00725BC0"/>
    <w:rsid w:val="00726797"/>
    <w:rsid w:val="00726FB2"/>
    <w:rsid w:val="00735822"/>
    <w:rsid w:val="00737070"/>
    <w:rsid w:val="00740005"/>
    <w:rsid w:val="00740DF8"/>
    <w:rsid w:val="00753075"/>
    <w:rsid w:val="00753FA4"/>
    <w:rsid w:val="0075427A"/>
    <w:rsid w:val="0076304F"/>
    <w:rsid w:val="00791216"/>
    <w:rsid w:val="00792CEB"/>
    <w:rsid w:val="007A69C1"/>
    <w:rsid w:val="007B3B54"/>
    <w:rsid w:val="007B3BE2"/>
    <w:rsid w:val="007B53F8"/>
    <w:rsid w:val="007B711A"/>
    <w:rsid w:val="007C3F49"/>
    <w:rsid w:val="007C4CD7"/>
    <w:rsid w:val="007C4CDA"/>
    <w:rsid w:val="007C5AD5"/>
    <w:rsid w:val="007D608A"/>
    <w:rsid w:val="007E5356"/>
    <w:rsid w:val="007F4404"/>
    <w:rsid w:val="007F44BE"/>
    <w:rsid w:val="007F4C48"/>
    <w:rsid w:val="008039A2"/>
    <w:rsid w:val="00804952"/>
    <w:rsid w:val="00807CFE"/>
    <w:rsid w:val="00821537"/>
    <w:rsid w:val="00825C08"/>
    <w:rsid w:val="0083058C"/>
    <w:rsid w:val="00834350"/>
    <w:rsid w:val="00836304"/>
    <w:rsid w:val="00843D20"/>
    <w:rsid w:val="008526F9"/>
    <w:rsid w:val="00852A83"/>
    <w:rsid w:val="00853473"/>
    <w:rsid w:val="00854D3E"/>
    <w:rsid w:val="00861D20"/>
    <w:rsid w:val="00861EFE"/>
    <w:rsid w:val="00872E19"/>
    <w:rsid w:val="00874AAE"/>
    <w:rsid w:val="00875BF1"/>
    <w:rsid w:val="00877FD8"/>
    <w:rsid w:val="00881A97"/>
    <w:rsid w:val="0088485D"/>
    <w:rsid w:val="00890346"/>
    <w:rsid w:val="00896D3E"/>
    <w:rsid w:val="008A5088"/>
    <w:rsid w:val="008B0EEF"/>
    <w:rsid w:val="008B7312"/>
    <w:rsid w:val="008C1818"/>
    <w:rsid w:val="008C38B7"/>
    <w:rsid w:val="008C7E8A"/>
    <w:rsid w:val="008D3D19"/>
    <w:rsid w:val="008E1721"/>
    <w:rsid w:val="008E3865"/>
    <w:rsid w:val="008F11A3"/>
    <w:rsid w:val="008F4840"/>
    <w:rsid w:val="00905439"/>
    <w:rsid w:val="00906194"/>
    <w:rsid w:val="00907971"/>
    <w:rsid w:val="009132E3"/>
    <w:rsid w:val="00913B48"/>
    <w:rsid w:val="009148AC"/>
    <w:rsid w:val="00914C1D"/>
    <w:rsid w:val="00916676"/>
    <w:rsid w:val="0091747C"/>
    <w:rsid w:val="00922F71"/>
    <w:rsid w:val="00930459"/>
    <w:rsid w:val="009374CC"/>
    <w:rsid w:val="00940D05"/>
    <w:rsid w:val="00943829"/>
    <w:rsid w:val="009465EF"/>
    <w:rsid w:val="00946E17"/>
    <w:rsid w:val="00957CA4"/>
    <w:rsid w:val="00960FE0"/>
    <w:rsid w:val="00961467"/>
    <w:rsid w:val="00963468"/>
    <w:rsid w:val="0098465E"/>
    <w:rsid w:val="00986804"/>
    <w:rsid w:val="00993BAE"/>
    <w:rsid w:val="0099546D"/>
    <w:rsid w:val="009A3853"/>
    <w:rsid w:val="009A6325"/>
    <w:rsid w:val="009B0520"/>
    <w:rsid w:val="009B3657"/>
    <w:rsid w:val="009B4220"/>
    <w:rsid w:val="009B46BF"/>
    <w:rsid w:val="009B5742"/>
    <w:rsid w:val="009C5B87"/>
    <w:rsid w:val="009D2B2E"/>
    <w:rsid w:val="009D2F28"/>
    <w:rsid w:val="009D3731"/>
    <w:rsid w:val="009E0D41"/>
    <w:rsid w:val="009E77F2"/>
    <w:rsid w:val="009F0928"/>
    <w:rsid w:val="00A0156A"/>
    <w:rsid w:val="00A047CA"/>
    <w:rsid w:val="00A109D4"/>
    <w:rsid w:val="00A12CE2"/>
    <w:rsid w:val="00A12D70"/>
    <w:rsid w:val="00A1430A"/>
    <w:rsid w:val="00A2215A"/>
    <w:rsid w:val="00A2239C"/>
    <w:rsid w:val="00A300E2"/>
    <w:rsid w:val="00A31229"/>
    <w:rsid w:val="00A37A93"/>
    <w:rsid w:val="00A44654"/>
    <w:rsid w:val="00A44995"/>
    <w:rsid w:val="00A45ECC"/>
    <w:rsid w:val="00A478FA"/>
    <w:rsid w:val="00A57849"/>
    <w:rsid w:val="00A57D2F"/>
    <w:rsid w:val="00A80BD4"/>
    <w:rsid w:val="00A86657"/>
    <w:rsid w:val="00A87317"/>
    <w:rsid w:val="00A873D7"/>
    <w:rsid w:val="00A91411"/>
    <w:rsid w:val="00A92272"/>
    <w:rsid w:val="00A927DE"/>
    <w:rsid w:val="00A94647"/>
    <w:rsid w:val="00AA2A25"/>
    <w:rsid w:val="00AA2D57"/>
    <w:rsid w:val="00AA5B75"/>
    <w:rsid w:val="00AB6BBB"/>
    <w:rsid w:val="00AB6D11"/>
    <w:rsid w:val="00AC1954"/>
    <w:rsid w:val="00AC3F73"/>
    <w:rsid w:val="00AC7C8A"/>
    <w:rsid w:val="00AD0027"/>
    <w:rsid w:val="00AD29E4"/>
    <w:rsid w:val="00AD51CE"/>
    <w:rsid w:val="00AD7650"/>
    <w:rsid w:val="00AE4524"/>
    <w:rsid w:val="00AE7959"/>
    <w:rsid w:val="00B00104"/>
    <w:rsid w:val="00B00184"/>
    <w:rsid w:val="00B05F83"/>
    <w:rsid w:val="00B13B6B"/>
    <w:rsid w:val="00B15CA5"/>
    <w:rsid w:val="00B31461"/>
    <w:rsid w:val="00B31649"/>
    <w:rsid w:val="00B32B26"/>
    <w:rsid w:val="00B3377F"/>
    <w:rsid w:val="00B349D0"/>
    <w:rsid w:val="00B43E2A"/>
    <w:rsid w:val="00B53589"/>
    <w:rsid w:val="00B53B17"/>
    <w:rsid w:val="00B56443"/>
    <w:rsid w:val="00B61CF2"/>
    <w:rsid w:val="00B636DC"/>
    <w:rsid w:val="00B63CD0"/>
    <w:rsid w:val="00B76863"/>
    <w:rsid w:val="00B811F8"/>
    <w:rsid w:val="00B867DD"/>
    <w:rsid w:val="00B90EA0"/>
    <w:rsid w:val="00B91C5F"/>
    <w:rsid w:val="00BA0A58"/>
    <w:rsid w:val="00BA0CE8"/>
    <w:rsid w:val="00BA19BE"/>
    <w:rsid w:val="00BA7CED"/>
    <w:rsid w:val="00BC3A77"/>
    <w:rsid w:val="00BD4CFE"/>
    <w:rsid w:val="00BE46AC"/>
    <w:rsid w:val="00BE639D"/>
    <w:rsid w:val="00C02535"/>
    <w:rsid w:val="00C061E3"/>
    <w:rsid w:val="00C119C2"/>
    <w:rsid w:val="00C14967"/>
    <w:rsid w:val="00C1627A"/>
    <w:rsid w:val="00C26E47"/>
    <w:rsid w:val="00C3083F"/>
    <w:rsid w:val="00C31D5B"/>
    <w:rsid w:val="00C32525"/>
    <w:rsid w:val="00C33404"/>
    <w:rsid w:val="00C42CE4"/>
    <w:rsid w:val="00C50363"/>
    <w:rsid w:val="00C533FE"/>
    <w:rsid w:val="00C60083"/>
    <w:rsid w:val="00C676E5"/>
    <w:rsid w:val="00C7772E"/>
    <w:rsid w:val="00C80343"/>
    <w:rsid w:val="00C926AD"/>
    <w:rsid w:val="00CA0ADF"/>
    <w:rsid w:val="00CA1F74"/>
    <w:rsid w:val="00CA4984"/>
    <w:rsid w:val="00CA5938"/>
    <w:rsid w:val="00CB75F5"/>
    <w:rsid w:val="00CB7F0D"/>
    <w:rsid w:val="00CC1DF7"/>
    <w:rsid w:val="00CC28C6"/>
    <w:rsid w:val="00CC4808"/>
    <w:rsid w:val="00CD15B3"/>
    <w:rsid w:val="00CD65B0"/>
    <w:rsid w:val="00CE0D2C"/>
    <w:rsid w:val="00CE1B8A"/>
    <w:rsid w:val="00CE4936"/>
    <w:rsid w:val="00CE5F07"/>
    <w:rsid w:val="00D043BD"/>
    <w:rsid w:val="00D06F27"/>
    <w:rsid w:val="00D10D14"/>
    <w:rsid w:val="00D24448"/>
    <w:rsid w:val="00D24520"/>
    <w:rsid w:val="00D262EA"/>
    <w:rsid w:val="00D40AAD"/>
    <w:rsid w:val="00D47ACC"/>
    <w:rsid w:val="00D51FE7"/>
    <w:rsid w:val="00D61332"/>
    <w:rsid w:val="00D735FF"/>
    <w:rsid w:val="00D73A3C"/>
    <w:rsid w:val="00D90322"/>
    <w:rsid w:val="00D9098B"/>
    <w:rsid w:val="00D91BC7"/>
    <w:rsid w:val="00D9288B"/>
    <w:rsid w:val="00D96518"/>
    <w:rsid w:val="00DA344E"/>
    <w:rsid w:val="00DA6F20"/>
    <w:rsid w:val="00DB17ED"/>
    <w:rsid w:val="00DB4210"/>
    <w:rsid w:val="00DD02B9"/>
    <w:rsid w:val="00DE1245"/>
    <w:rsid w:val="00DE3778"/>
    <w:rsid w:val="00DE3A75"/>
    <w:rsid w:val="00DE605B"/>
    <w:rsid w:val="00DF54C2"/>
    <w:rsid w:val="00DF5787"/>
    <w:rsid w:val="00DF6C5D"/>
    <w:rsid w:val="00DF6E8C"/>
    <w:rsid w:val="00E02DF9"/>
    <w:rsid w:val="00E06B71"/>
    <w:rsid w:val="00E072D6"/>
    <w:rsid w:val="00E131C9"/>
    <w:rsid w:val="00E14A15"/>
    <w:rsid w:val="00E1630A"/>
    <w:rsid w:val="00E2106D"/>
    <w:rsid w:val="00E23208"/>
    <w:rsid w:val="00E24A15"/>
    <w:rsid w:val="00E24F4E"/>
    <w:rsid w:val="00E275CC"/>
    <w:rsid w:val="00E3023E"/>
    <w:rsid w:val="00E32B76"/>
    <w:rsid w:val="00E33C84"/>
    <w:rsid w:val="00E34B78"/>
    <w:rsid w:val="00E40ADF"/>
    <w:rsid w:val="00E51FE7"/>
    <w:rsid w:val="00E558C2"/>
    <w:rsid w:val="00E56548"/>
    <w:rsid w:val="00E62B03"/>
    <w:rsid w:val="00E7739C"/>
    <w:rsid w:val="00E8056B"/>
    <w:rsid w:val="00EA1831"/>
    <w:rsid w:val="00EA2204"/>
    <w:rsid w:val="00EA3251"/>
    <w:rsid w:val="00EB0B2D"/>
    <w:rsid w:val="00EB0C47"/>
    <w:rsid w:val="00EB57E5"/>
    <w:rsid w:val="00ED0AB4"/>
    <w:rsid w:val="00ED2995"/>
    <w:rsid w:val="00EE4129"/>
    <w:rsid w:val="00EF62DC"/>
    <w:rsid w:val="00F05920"/>
    <w:rsid w:val="00F11F57"/>
    <w:rsid w:val="00F15695"/>
    <w:rsid w:val="00F16C2D"/>
    <w:rsid w:val="00F17E6F"/>
    <w:rsid w:val="00F21CE8"/>
    <w:rsid w:val="00F26132"/>
    <w:rsid w:val="00F33008"/>
    <w:rsid w:val="00F33B71"/>
    <w:rsid w:val="00F425F2"/>
    <w:rsid w:val="00F464FA"/>
    <w:rsid w:val="00F5181F"/>
    <w:rsid w:val="00F51B8C"/>
    <w:rsid w:val="00F52310"/>
    <w:rsid w:val="00F63658"/>
    <w:rsid w:val="00F6373C"/>
    <w:rsid w:val="00F7475D"/>
    <w:rsid w:val="00F82B0A"/>
    <w:rsid w:val="00F84F6B"/>
    <w:rsid w:val="00F873EA"/>
    <w:rsid w:val="00F9259E"/>
    <w:rsid w:val="00F937AE"/>
    <w:rsid w:val="00F96E1A"/>
    <w:rsid w:val="00F971D6"/>
    <w:rsid w:val="00FA195E"/>
    <w:rsid w:val="00FB4862"/>
    <w:rsid w:val="00FC3859"/>
    <w:rsid w:val="00FC6F68"/>
    <w:rsid w:val="00FD519F"/>
    <w:rsid w:val="00FE187E"/>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9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ind w:left="1224"/>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0540DE"/>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putHeadingStyle1">
    <w:name w:val="Input Heading Style 1"/>
    <w:basedOn w:val="Normal"/>
    <w:rsid w:val="007006BF"/>
    <w:rPr>
      <w:rFonts w:ascii="Arial" w:eastAsiaTheme="minorHAnsi" w:hAnsi="Arial" w:cs="Arial"/>
      <w:b/>
      <w:bCs/>
      <w:lang w:eastAsia="en-AU"/>
    </w:rPr>
  </w:style>
  <w:style w:type="paragraph" w:customStyle="1" w:styleId="BoxQuote">
    <w:name w:val="Box Quote"/>
    <w:basedOn w:val="BodyText"/>
    <w:next w:val="Normal"/>
    <w:rsid w:val="004A49F7"/>
    <w:pPr>
      <w:keepNext/>
      <w:spacing w:before="60" w:after="0" w:line="260" w:lineRule="exact"/>
      <w:ind w:left="284"/>
      <w:jc w:val="both"/>
    </w:pPr>
    <w:rPr>
      <w:rFonts w:ascii="Arial" w:eastAsia="Times New Roman" w:hAnsi="Arial"/>
      <w:sz w:val="20"/>
      <w:szCs w:val="20"/>
      <w:lang w:eastAsia="en-AU"/>
    </w:rPr>
  </w:style>
  <w:style w:type="paragraph" w:styleId="BodyText">
    <w:name w:val="Body Text"/>
    <w:basedOn w:val="Normal"/>
    <w:link w:val="BodyTextChar"/>
    <w:uiPriority w:val="99"/>
    <w:semiHidden/>
    <w:unhideWhenUsed/>
    <w:rsid w:val="004A49F7"/>
    <w:pPr>
      <w:spacing w:after="120"/>
    </w:pPr>
  </w:style>
  <w:style w:type="character" w:customStyle="1" w:styleId="BodyTextChar">
    <w:name w:val="Body Text Char"/>
    <w:basedOn w:val="DefaultParagraphFont"/>
    <w:link w:val="BodyText"/>
    <w:uiPriority w:val="99"/>
    <w:semiHidden/>
    <w:rsid w:val="004A49F7"/>
    <w:rPr>
      <w:sz w:val="22"/>
      <w:szCs w:val="22"/>
      <w:lang w:eastAsia="en-US"/>
    </w:rPr>
  </w:style>
  <w:style w:type="character" w:styleId="CommentReference">
    <w:name w:val="annotation reference"/>
    <w:basedOn w:val="DefaultParagraphFont"/>
    <w:uiPriority w:val="99"/>
    <w:semiHidden/>
    <w:unhideWhenUsed/>
    <w:rsid w:val="00F11F57"/>
    <w:rPr>
      <w:sz w:val="16"/>
      <w:szCs w:val="16"/>
    </w:rPr>
  </w:style>
  <w:style w:type="paragraph" w:styleId="CommentText">
    <w:name w:val="annotation text"/>
    <w:basedOn w:val="Normal"/>
    <w:link w:val="CommentTextChar"/>
    <w:uiPriority w:val="99"/>
    <w:semiHidden/>
    <w:unhideWhenUsed/>
    <w:rsid w:val="00F11F57"/>
    <w:rPr>
      <w:sz w:val="20"/>
      <w:szCs w:val="20"/>
    </w:rPr>
  </w:style>
  <w:style w:type="character" w:customStyle="1" w:styleId="CommentTextChar">
    <w:name w:val="Comment Text Char"/>
    <w:basedOn w:val="DefaultParagraphFont"/>
    <w:link w:val="CommentText"/>
    <w:uiPriority w:val="99"/>
    <w:semiHidden/>
    <w:rsid w:val="00F11F57"/>
    <w:rPr>
      <w:lang w:eastAsia="en-US"/>
    </w:rPr>
  </w:style>
  <w:style w:type="paragraph" w:styleId="CommentSubject">
    <w:name w:val="annotation subject"/>
    <w:basedOn w:val="CommentText"/>
    <w:next w:val="CommentText"/>
    <w:link w:val="CommentSubjectChar"/>
    <w:uiPriority w:val="99"/>
    <w:semiHidden/>
    <w:unhideWhenUsed/>
    <w:rsid w:val="00F11F57"/>
    <w:rPr>
      <w:b/>
      <w:bCs/>
    </w:rPr>
  </w:style>
  <w:style w:type="character" w:customStyle="1" w:styleId="CommentSubjectChar">
    <w:name w:val="Comment Subject Char"/>
    <w:basedOn w:val="CommentTextChar"/>
    <w:link w:val="CommentSubject"/>
    <w:uiPriority w:val="99"/>
    <w:semiHidden/>
    <w:rsid w:val="00F11F57"/>
    <w:rPr>
      <w:b/>
      <w:bCs/>
    </w:rPr>
  </w:style>
</w:styles>
</file>

<file path=word/webSettings.xml><?xml version="1.0" encoding="utf-8"?>
<w:webSettings xmlns:r="http://schemas.openxmlformats.org/officeDocument/2006/relationships" xmlns:w="http://schemas.openxmlformats.org/wordprocessingml/2006/main">
  <w:divs>
    <w:div w:id="47728542">
      <w:bodyDiv w:val="1"/>
      <w:marLeft w:val="0"/>
      <w:marRight w:val="0"/>
      <w:marTop w:val="0"/>
      <w:marBottom w:val="0"/>
      <w:divBdr>
        <w:top w:val="none" w:sz="0" w:space="0" w:color="auto"/>
        <w:left w:val="none" w:sz="0" w:space="0" w:color="auto"/>
        <w:bottom w:val="none" w:sz="0" w:space="0" w:color="auto"/>
        <w:right w:val="none" w:sz="0" w:space="0" w:color="auto"/>
      </w:divBdr>
    </w:div>
    <w:div w:id="210459283">
      <w:bodyDiv w:val="1"/>
      <w:marLeft w:val="0"/>
      <w:marRight w:val="0"/>
      <w:marTop w:val="0"/>
      <w:marBottom w:val="0"/>
      <w:divBdr>
        <w:top w:val="none" w:sz="0" w:space="0" w:color="auto"/>
        <w:left w:val="none" w:sz="0" w:space="0" w:color="auto"/>
        <w:bottom w:val="none" w:sz="0" w:space="0" w:color="auto"/>
        <w:right w:val="none" w:sz="0" w:space="0" w:color="auto"/>
      </w:divBdr>
    </w:div>
    <w:div w:id="31418671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800146866">
      <w:bodyDiv w:val="1"/>
      <w:marLeft w:val="0"/>
      <w:marRight w:val="0"/>
      <w:marTop w:val="0"/>
      <w:marBottom w:val="0"/>
      <w:divBdr>
        <w:top w:val="none" w:sz="0" w:space="0" w:color="auto"/>
        <w:left w:val="none" w:sz="0" w:space="0" w:color="auto"/>
        <w:bottom w:val="none" w:sz="0" w:space="0" w:color="auto"/>
        <w:right w:val="none" w:sz="0" w:space="0" w:color="auto"/>
      </w:divBdr>
    </w:div>
    <w:div w:id="955480953">
      <w:bodyDiv w:val="1"/>
      <w:marLeft w:val="0"/>
      <w:marRight w:val="0"/>
      <w:marTop w:val="0"/>
      <w:marBottom w:val="0"/>
      <w:divBdr>
        <w:top w:val="none" w:sz="0" w:space="0" w:color="auto"/>
        <w:left w:val="none" w:sz="0" w:space="0" w:color="auto"/>
        <w:bottom w:val="none" w:sz="0" w:space="0" w:color="auto"/>
        <w:right w:val="none" w:sz="0" w:space="0" w:color="auto"/>
      </w:divBdr>
    </w:div>
    <w:div w:id="104656618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485199797">
      <w:bodyDiv w:val="1"/>
      <w:marLeft w:val="0"/>
      <w:marRight w:val="0"/>
      <w:marTop w:val="0"/>
      <w:marBottom w:val="0"/>
      <w:divBdr>
        <w:top w:val="none" w:sz="0" w:space="0" w:color="auto"/>
        <w:left w:val="none" w:sz="0" w:space="0" w:color="auto"/>
        <w:bottom w:val="none" w:sz="0" w:space="0" w:color="auto"/>
        <w:right w:val="none" w:sz="0" w:space="0" w:color="auto"/>
      </w:divBdr>
    </w:div>
    <w:div w:id="1867055303">
      <w:bodyDiv w:val="1"/>
      <w:marLeft w:val="0"/>
      <w:marRight w:val="0"/>
      <w:marTop w:val="0"/>
      <w:marBottom w:val="0"/>
      <w:divBdr>
        <w:top w:val="none" w:sz="0" w:space="0" w:color="auto"/>
        <w:left w:val="none" w:sz="0" w:space="0" w:color="auto"/>
        <w:bottom w:val="none" w:sz="0" w:space="0" w:color="auto"/>
        <w:right w:val="none" w:sz="0" w:space="0" w:color="auto"/>
      </w:divBdr>
    </w:div>
    <w:div w:id="19269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au/url?sa=t&amp;source=web&amp;cd=1&amp;ved=0CBgQFjAA&amp;url=http%3A%2F%2Fwww.cviaq.com.au%2FPDFs%2FTrucks%2520to%2520Meet%2520the%2520Future%2520Road%2520Freight%2520Task%2520Nov%25202004.pdf&amp;ei=sHEKTtHZFdHqmAXXqZCqAQ&amp;usg=AFQjCNH1Qsnnpxq9PL8R7g9fI3TtCbRTlA" TargetMode="External"/><Relationship Id="rId2" Type="http://schemas.openxmlformats.org/officeDocument/2006/relationships/hyperlink" Target="http://www.google.com.au/url?sa=t&amp;source=web&amp;cd=1&amp;ved=0CBgQFjAA&amp;url=http%3A%2F%2Fwww.cviaq.com.au%2FPDFs%2FTrucks%2520to%2520Meet%2520the%2520Future%2520Road%2520Freight%2520Task%2520Nov%25202004.pdf&amp;ei=sHEKTtHZFdHqmAXXqZCqAQ&amp;usg=AFQjCNH1Qsnnpxq9PL8R7g9fI3TtCbRTlA" TargetMode="External"/><Relationship Id="rId1" Type="http://schemas.openxmlformats.org/officeDocument/2006/relationships/hyperlink" Target="http://www.ntc.gov.au/NewsDetail.aspx?NewsId=3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olicy\ATA%20Submission%20Pro%20Forma%20-%20MASTER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5E6B-498F-425E-935D-E7BABD3D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Submission Pro Forma - MASTERFILE</Template>
  <TotalTime>5</TotalTime>
  <Pages>22</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42385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2</cp:revision>
  <cp:lastPrinted>2012-05-31T06:11:00Z</cp:lastPrinted>
  <dcterms:created xsi:type="dcterms:W3CDTF">2012-05-31T06:16:00Z</dcterms:created>
  <dcterms:modified xsi:type="dcterms:W3CDTF">2012-05-31T06:16:00Z</dcterms:modified>
</cp:coreProperties>
</file>