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0" w:rsidRPr="006F6C0E" w:rsidRDefault="009E6631" w:rsidP="006F6C0E">
      <w:pPr>
        <w:jc w:val="center"/>
        <w:rPr>
          <w:rFonts w:ascii="Verdana" w:hAnsi="Verdana"/>
          <w:color w:val="000000"/>
          <w:sz w:val="20"/>
          <w:szCs w:val="20"/>
        </w:rPr>
      </w:pPr>
      <w:bookmarkStart w:id="0" w:name="_Toc282075624"/>
      <w:r>
        <w:rPr>
          <w:rFonts w:ascii="Verdana" w:hAnsi="Verdana"/>
          <w:noProof/>
          <w:color w:val="000000"/>
          <w:sz w:val="20"/>
          <w:szCs w:val="20"/>
          <w:lang w:eastAsia="en-AU"/>
        </w:rPr>
        <w:drawing>
          <wp:inline distT="0" distB="0" distL="0" distR="0">
            <wp:extent cx="2853055" cy="7702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3055" cy="770255"/>
                    </a:xfrm>
                    <a:prstGeom prst="rect">
                      <a:avLst/>
                    </a:prstGeom>
                    <a:noFill/>
                    <a:ln w="9525">
                      <a:noFill/>
                      <a:miter lim="800000"/>
                      <a:headEnd/>
                      <a:tailEnd/>
                    </a:ln>
                  </pic:spPr>
                </pic:pic>
              </a:graphicData>
            </a:graphic>
          </wp:inline>
        </w:drawing>
      </w:r>
      <w:r w:rsidR="006F6C0E">
        <w:rPr>
          <w:rFonts w:ascii="Verdana" w:hAnsi="Verdana"/>
          <w:color w:val="000000"/>
          <w:sz w:val="20"/>
          <w:szCs w:val="20"/>
        </w:rPr>
        <w:tab/>
      </w:r>
      <w:r w:rsidR="006F6C0E">
        <w:rPr>
          <w:rFonts w:ascii="Verdana" w:hAnsi="Verdana"/>
          <w:color w:val="000000"/>
          <w:sz w:val="20"/>
          <w:szCs w:val="20"/>
        </w:rPr>
        <w:tab/>
      </w:r>
      <w:r w:rsidR="006F6C0E">
        <w:rPr>
          <w:rFonts w:ascii="Verdana" w:hAnsi="Verdana"/>
          <w:color w:val="000000"/>
          <w:sz w:val="20"/>
          <w:szCs w:val="20"/>
        </w:rPr>
        <w:tab/>
      </w:r>
      <w:r w:rsidR="006F3F78">
        <w:rPr>
          <w:rFonts w:ascii="Verdana" w:hAnsi="Verdana"/>
          <w:color w:val="000000"/>
          <w:sz w:val="20"/>
          <w:szCs w:val="20"/>
        </w:rPr>
        <w:tab/>
      </w:r>
      <w:r>
        <w:rPr>
          <w:rFonts w:cs="Arial"/>
          <w:b/>
          <w:noProof/>
          <w:sz w:val="32"/>
          <w:szCs w:val="28"/>
          <w:lang w:eastAsia="en-AU"/>
        </w:rPr>
        <w:drawing>
          <wp:inline distT="0" distB="0" distL="0" distR="0">
            <wp:extent cx="1388745" cy="88900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88745" cy="889000"/>
                    </a:xfrm>
                    <a:prstGeom prst="rect">
                      <a:avLst/>
                    </a:prstGeom>
                    <a:noFill/>
                    <a:ln w="9525">
                      <a:noFill/>
                      <a:miter lim="800000"/>
                      <a:headEnd/>
                      <a:tailEnd/>
                    </a:ln>
                  </pic:spPr>
                </pic:pic>
              </a:graphicData>
            </a:graphic>
          </wp:inline>
        </w:drawing>
      </w:r>
    </w:p>
    <w:p w:rsidR="00EE0C62" w:rsidRDefault="00B35262" w:rsidP="006F3F78">
      <w:pPr>
        <w:pStyle w:val="H"/>
        <w:pageBreakBefore w:val="0"/>
        <w:pBdr>
          <w:left w:val="single" w:sz="4" w:space="10" w:color="auto"/>
        </w:pBdr>
        <w:shd w:val="clear" w:color="auto" w:fill="B6DDE8"/>
      </w:pPr>
      <w:r>
        <w:t>ENERGY EFFICIENCY INFORMATION GRANTS</w:t>
      </w:r>
      <w:r w:rsidR="006F3F78">
        <w:t xml:space="preserve"> PROGRAM</w:t>
      </w:r>
    </w:p>
    <w:p w:rsidR="008C0610" w:rsidRPr="00EE0C62" w:rsidRDefault="00B35262" w:rsidP="006F3F78">
      <w:pPr>
        <w:pStyle w:val="H"/>
        <w:pageBreakBefore w:val="0"/>
        <w:pBdr>
          <w:left w:val="single" w:sz="4" w:space="10" w:color="auto"/>
        </w:pBdr>
        <w:shd w:val="clear" w:color="auto" w:fill="B6DDE8"/>
        <w:rPr>
          <w:i/>
        </w:rPr>
      </w:pPr>
      <w:r>
        <w:rPr>
          <w:i/>
        </w:rPr>
        <w:t>DISCUSSION PAPER</w:t>
      </w:r>
    </w:p>
    <w:p w:rsidR="008C0610" w:rsidRDefault="00AE356A" w:rsidP="006F3F78">
      <w:pPr>
        <w:pStyle w:val="H"/>
        <w:pageBreakBefore w:val="0"/>
        <w:pBdr>
          <w:left w:val="single" w:sz="4" w:space="10" w:color="auto"/>
        </w:pBdr>
        <w:shd w:val="clear" w:color="auto" w:fill="B6DDE8"/>
      </w:pPr>
      <w:r>
        <w:t>STAKEHOLDER</w:t>
      </w:r>
      <w:r w:rsidR="00E470E7" w:rsidRPr="009715F8">
        <w:t xml:space="preserve"> Feedback </w:t>
      </w:r>
      <w:bookmarkEnd w:id="0"/>
      <w:r w:rsidR="008C0610">
        <w:t>TEMPLATE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7126"/>
      </w:tblGrid>
      <w:tr w:rsidR="00E470E7" w:rsidRPr="00B039AA" w:rsidTr="006F3F78">
        <w:trPr>
          <w:trHeight w:val="442"/>
        </w:trPr>
        <w:tc>
          <w:tcPr>
            <w:tcW w:w="9926" w:type="dxa"/>
            <w:gridSpan w:val="2"/>
            <w:shd w:val="clear" w:color="auto" w:fill="B6DDE8"/>
          </w:tcPr>
          <w:p w:rsidR="00E470E7" w:rsidRPr="00B039AA" w:rsidRDefault="00E470E7" w:rsidP="00880D1F">
            <w:pPr>
              <w:spacing w:before="240"/>
              <w:rPr>
                <w:rFonts w:cs="Arial"/>
                <w:b/>
              </w:rPr>
            </w:pPr>
            <w:r w:rsidRPr="00B039AA">
              <w:rPr>
                <w:b/>
              </w:rPr>
              <w:t>Contact Details</w:t>
            </w:r>
          </w:p>
        </w:tc>
      </w:tr>
      <w:tr w:rsidR="00E470E7" w:rsidRPr="0032165A" w:rsidTr="007C5C8D">
        <w:trPr>
          <w:trHeight w:val="336"/>
        </w:trPr>
        <w:tc>
          <w:tcPr>
            <w:tcW w:w="2800" w:type="dxa"/>
          </w:tcPr>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Name of organisation:</w:t>
            </w:r>
          </w:p>
        </w:tc>
        <w:tc>
          <w:tcPr>
            <w:tcW w:w="7126" w:type="dxa"/>
            <w:vAlign w:val="center"/>
          </w:tcPr>
          <w:p w:rsidR="00E470E7" w:rsidRPr="0032165A" w:rsidRDefault="007C5C8D" w:rsidP="007C5C8D">
            <w:pPr>
              <w:rPr>
                <w:rFonts w:cs="Arial"/>
              </w:rPr>
            </w:pPr>
            <w:r>
              <w:rPr>
                <w:rFonts w:cs="Arial"/>
              </w:rPr>
              <w:t>Australian Trucking Association</w:t>
            </w:r>
          </w:p>
        </w:tc>
      </w:tr>
      <w:tr w:rsidR="00E470E7" w:rsidRPr="0032165A" w:rsidTr="007C5C8D">
        <w:trPr>
          <w:trHeight w:val="336"/>
        </w:trPr>
        <w:tc>
          <w:tcPr>
            <w:tcW w:w="2800" w:type="dxa"/>
          </w:tcPr>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Name/position of author:</w:t>
            </w:r>
          </w:p>
        </w:tc>
        <w:tc>
          <w:tcPr>
            <w:tcW w:w="7126" w:type="dxa"/>
            <w:vAlign w:val="center"/>
          </w:tcPr>
          <w:p w:rsidR="007C5C8D" w:rsidRPr="004F00D5" w:rsidRDefault="007C5C8D" w:rsidP="0019291C">
            <w:pPr>
              <w:rPr>
                <w:rFonts w:cs="Arial"/>
                <w:lang w:val="en-GB"/>
              </w:rPr>
            </w:pPr>
            <w:r>
              <w:rPr>
                <w:rFonts w:cs="Arial"/>
                <w:lang w:val="en-GB"/>
              </w:rPr>
              <w:t xml:space="preserve">Bill McKinley, </w:t>
            </w:r>
            <w:r w:rsidR="0019291C">
              <w:rPr>
                <w:rFonts w:cs="Arial"/>
                <w:lang w:val="en-GB"/>
              </w:rPr>
              <w:t xml:space="preserve">Government Relations </w:t>
            </w:r>
            <w:r>
              <w:rPr>
                <w:rFonts w:cs="Arial"/>
                <w:lang w:val="en-GB"/>
              </w:rPr>
              <w:t>Manager</w:t>
            </w:r>
          </w:p>
        </w:tc>
      </w:tr>
      <w:tr w:rsidR="00E470E7" w:rsidRPr="0032165A" w:rsidTr="007C5C8D">
        <w:trPr>
          <w:trHeight w:val="336"/>
        </w:trPr>
        <w:tc>
          <w:tcPr>
            <w:tcW w:w="2800" w:type="dxa"/>
          </w:tcPr>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Phone Number:</w:t>
            </w:r>
          </w:p>
        </w:tc>
        <w:tc>
          <w:tcPr>
            <w:tcW w:w="7126" w:type="dxa"/>
            <w:vAlign w:val="center"/>
          </w:tcPr>
          <w:p w:rsidR="00E470E7" w:rsidRPr="0032165A" w:rsidRDefault="007C5C8D" w:rsidP="007C5C8D">
            <w:pPr>
              <w:rPr>
                <w:rFonts w:cs="Arial"/>
              </w:rPr>
            </w:pPr>
            <w:r>
              <w:rPr>
                <w:rFonts w:cs="Arial"/>
              </w:rPr>
              <w:t>02 6253 6900</w:t>
            </w:r>
          </w:p>
        </w:tc>
      </w:tr>
      <w:tr w:rsidR="00E470E7" w:rsidRPr="0032165A" w:rsidTr="007C5C8D">
        <w:trPr>
          <w:trHeight w:val="336"/>
        </w:trPr>
        <w:tc>
          <w:tcPr>
            <w:tcW w:w="2800" w:type="dxa"/>
          </w:tcPr>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Email:</w:t>
            </w:r>
          </w:p>
        </w:tc>
        <w:tc>
          <w:tcPr>
            <w:tcW w:w="7126" w:type="dxa"/>
            <w:vAlign w:val="center"/>
          </w:tcPr>
          <w:p w:rsidR="00E470E7" w:rsidRPr="0032165A" w:rsidRDefault="00223347" w:rsidP="007C5C8D">
            <w:pPr>
              <w:rPr>
                <w:rFonts w:cs="Arial"/>
              </w:rPr>
            </w:pPr>
            <w:hyperlink r:id="rId10" w:history="1">
              <w:r w:rsidR="007C5C8D" w:rsidRPr="00C42E66">
                <w:rPr>
                  <w:rStyle w:val="Hyperlink"/>
                  <w:rFonts w:cs="Arial"/>
                </w:rPr>
                <w:t>bill.mckinley@truck.net.au</w:t>
              </w:r>
            </w:hyperlink>
          </w:p>
        </w:tc>
      </w:tr>
      <w:tr w:rsidR="00E470E7" w:rsidRPr="0032165A" w:rsidTr="007C5C8D">
        <w:trPr>
          <w:trHeight w:val="336"/>
        </w:trPr>
        <w:tc>
          <w:tcPr>
            <w:tcW w:w="2800" w:type="dxa"/>
          </w:tcPr>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Date</w:t>
            </w:r>
            <w:r w:rsidR="00880D1F" w:rsidRPr="006F6C0E">
              <w:rPr>
                <w:rFonts w:ascii="Times New Roman" w:hAnsi="Times New Roman"/>
                <w:sz w:val="24"/>
                <w:szCs w:val="24"/>
                <w:lang w:val="en-GB"/>
              </w:rPr>
              <w:t xml:space="preserve"> submitted</w:t>
            </w:r>
            <w:r w:rsidRPr="006F6C0E">
              <w:rPr>
                <w:rFonts w:ascii="Times New Roman" w:hAnsi="Times New Roman"/>
                <w:sz w:val="24"/>
                <w:szCs w:val="24"/>
                <w:lang w:val="en-GB"/>
              </w:rPr>
              <w:t>:</w:t>
            </w:r>
          </w:p>
        </w:tc>
        <w:tc>
          <w:tcPr>
            <w:tcW w:w="7126" w:type="dxa"/>
            <w:vAlign w:val="center"/>
          </w:tcPr>
          <w:p w:rsidR="00E470E7" w:rsidRPr="0032165A" w:rsidRDefault="007C5C8D" w:rsidP="007C5C8D">
            <w:pPr>
              <w:rPr>
                <w:rFonts w:cs="Arial"/>
              </w:rPr>
            </w:pPr>
            <w:r>
              <w:rPr>
                <w:rFonts w:cs="Arial"/>
              </w:rPr>
              <w:t>6 December 2011</w:t>
            </w:r>
          </w:p>
        </w:tc>
      </w:tr>
      <w:tr w:rsidR="008C0610" w:rsidRPr="0032165A" w:rsidTr="006F3F78">
        <w:tc>
          <w:tcPr>
            <w:tcW w:w="9926" w:type="dxa"/>
            <w:gridSpan w:val="2"/>
            <w:shd w:val="clear" w:color="auto" w:fill="B6DDE8"/>
          </w:tcPr>
          <w:p w:rsidR="008C0610" w:rsidRPr="00B039AA" w:rsidRDefault="008C0610" w:rsidP="00880D1F">
            <w:pPr>
              <w:spacing w:before="240"/>
              <w:rPr>
                <w:b/>
              </w:rPr>
            </w:pPr>
            <w:r w:rsidRPr="00B039AA">
              <w:rPr>
                <w:b/>
              </w:rPr>
              <w:t>Confidentiality</w:t>
            </w:r>
            <w:r w:rsidRPr="00B039AA">
              <w:rPr>
                <w:rFonts w:cs="Arial"/>
                <w:b/>
              </w:rPr>
              <w:t xml:space="preserve"> </w:t>
            </w:r>
          </w:p>
        </w:tc>
      </w:tr>
      <w:tr w:rsidR="00E470E7" w:rsidRPr="0032165A" w:rsidTr="00537831">
        <w:tc>
          <w:tcPr>
            <w:tcW w:w="9926" w:type="dxa"/>
            <w:gridSpan w:val="2"/>
          </w:tcPr>
          <w:p w:rsidR="00E470E7" w:rsidRPr="006F6C0E" w:rsidRDefault="00E470E7" w:rsidP="00537831">
            <w:pPr>
              <w:rPr>
                <w:rFonts w:ascii="Times New Roman" w:hAnsi="Times New Roman"/>
                <w:sz w:val="24"/>
                <w:szCs w:val="24"/>
              </w:rPr>
            </w:pPr>
            <w:r w:rsidRPr="006F6C0E">
              <w:rPr>
                <w:rFonts w:ascii="Times New Roman" w:hAnsi="Times New Roman"/>
                <w:sz w:val="24"/>
                <w:szCs w:val="24"/>
              </w:rPr>
              <w:t xml:space="preserve">All submissions will be treated as public documents, unless the author of the submission clearly indicates the contrary by marking all or part of the submission as 'confidential'. Public submissions may be published in full on the Department of Climate Change and Energy Efficiency website, including any personal information of authors and/or other third parties contained in the submission. If any part of the submission should be treated as confidential then please provide two versions of the submission, one with the confidential information </w:t>
            </w:r>
            <w:r w:rsidRPr="006F6C0E">
              <w:rPr>
                <w:rFonts w:ascii="Times New Roman" w:hAnsi="Times New Roman"/>
                <w:b/>
                <w:sz w:val="24"/>
                <w:szCs w:val="24"/>
              </w:rPr>
              <w:t>removed</w:t>
            </w:r>
            <w:r w:rsidRPr="006F6C0E">
              <w:rPr>
                <w:rFonts w:ascii="Times New Roman" w:hAnsi="Times New Roman"/>
                <w:sz w:val="24"/>
                <w:szCs w:val="24"/>
              </w:rPr>
              <w:t xml:space="preserve"> for publication.</w:t>
            </w:r>
          </w:p>
          <w:p w:rsidR="00E470E7" w:rsidRPr="006F6C0E" w:rsidRDefault="00E470E7" w:rsidP="00537831">
            <w:pPr>
              <w:rPr>
                <w:rFonts w:ascii="Times New Roman" w:hAnsi="Times New Roman"/>
                <w:sz w:val="24"/>
                <w:szCs w:val="24"/>
                <w:lang w:val="en-GB"/>
              </w:rPr>
            </w:pPr>
            <w:r w:rsidRPr="006F6C0E">
              <w:rPr>
                <w:rFonts w:ascii="Times New Roman" w:hAnsi="Times New Roman"/>
                <w:sz w:val="24"/>
                <w:szCs w:val="24"/>
                <w:lang w:val="en-GB"/>
              </w:rPr>
              <w:t xml:space="preserve">A request made under the </w:t>
            </w:r>
            <w:r w:rsidRPr="006F6C0E">
              <w:rPr>
                <w:rFonts w:ascii="Times New Roman" w:hAnsi="Times New Roman"/>
                <w:i/>
                <w:iCs/>
                <w:sz w:val="24"/>
                <w:szCs w:val="24"/>
                <w:lang w:val="en-GB"/>
              </w:rPr>
              <w:t>Freedom of Information Act 1982</w:t>
            </w:r>
            <w:r w:rsidRPr="006F6C0E">
              <w:rPr>
                <w:rFonts w:ascii="Times New Roman" w:hAnsi="Times New Roman"/>
                <w:sz w:val="24"/>
                <w:szCs w:val="24"/>
                <w:lang w:val="en-GB"/>
              </w:rPr>
              <w:t xml:space="preserve"> for access to a submission marked confidential will be determined in accordance with that Act. </w:t>
            </w:r>
          </w:p>
          <w:p w:rsidR="00E470E7" w:rsidRPr="0032165A" w:rsidRDefault="00E470E7" w:rsidP="007C5C8D">
            <w:pPr>
              <w:rPr>
                <w:rFonts w:cs="Arial"/>
              </w:rPr>
            </w:pPr>
            <w:r w:rsidRPr="006F6C0E">
              <w:rPr>
                <w:rFonts w:ascii="Times New Roman" w:hAnsi="Times New Roman"/>
                <w:b/>
                <w:sz w:val="24"/>
                <w:szCs w:val="24"/>
                <w:lang w:val="en-GB"/>
              </w:rPr>
              <w:t>Do you want this submission to be treated as</w:t>
            </w:r>
            <w:r w:rsidRPr="006F6C0E">
              <w:rPr>
                <w:rFonts w:ascii="Times New Roman" w:hAnsi="Times New Roman"/>
                <w:b/>
                <w:bCs/>
                <w:sz w:val="24"/>
                <w:szCs w:val="24"/>
                <w:lang w:val="en-GB"/>
              </w:rPr>
              <w:t xml:space="preserve"> confidential</w:t>
            </w:r>
            <w:r w:rsidRPr="006F6C0E">
              <w:rPr>
                <w:rFonts w:ascii="Times New Roman" w:hAnsi="Times New Roman"/>
                <w:b/>
                <w:sz w:val="24"/>
                <w:szCs w:val="24"/>
                <w:lang w:val="en-GB"/>
              </w:rPr>
              <w:t>?</w:t>
            </w:r>
            <w:r w:rsidRPr="006F6C0E">
              <w:rPr>
                <w:rFonts w:ascii="Times New Roman" w:hAnsi="Times New Roman"/>
                <w:b/>
                <w:sz w:val="24"/>
                <w:szCs w:val="24"/>
                <w:lang w:val="en-GB"/>
              </w:rPr>
              <w:tab/>
            </w:r>
            <w:r w:rsidRPr="006F6C0E">
              <w:rPr>
                <w:rFonts w:ascii="Times New Roman" w:hAnsi="Times New Roman"/>
                <w:b/>
                <w:sz w:val="24"/>
                <w:szCs w:val="24"/>
                <w:bdr w:val="single" w:sz="4" w:space="0" w:color="auto"/>
                <w:lang w:val="en-GB"/>
              </w:rPr>
              <w:t xml:space="preserve">    </w:t>
            </w:r>
            <w:r w:rsidRPr="006F6C0E">
              <w:rPr>
                <w:rFonts w:ascii="Times New Roman" w:hAnsi="Times New Roman"/>
                <w:b/>
                <w:sz w:val="24"/>
                <w:szCs w:val="24"/>
                <w:lang w:val="en-GB"/>
              </w:rPr>
              <w:t>Yes</w:t>
            </w:r>
            <w:r w:rsidRPr="006F6C0E">
              <w:rPr>
                <w:rFonts w:ascii="Times New Roman" w:hAnsi="Times New Roman"/>
                <w:b/>
                <w:sz w:val="24"/>
                <w:szCs w:val="24"/>
                <w:lang w:val="en-GB"/>
              </w:rPr>
              <w:tab/>
            </w:r>
            <w:r w:rsidRPr="006F6C0E">
              <w:rPr>
                <w:rFonts w:ascii="Times New Roman" w:hAnsi="Times New Roman"/>
                <w:b/>
                <w:sz w:val="24"/>
                <w:szCs w:val="24"/>
                <w:lang w:val="en-GB"/>
              </w:rPr>
              <w:tab/>
            </w:r>
            <w:r w:rsidR="007C5C8D">
              <w:rPr>
                <w:rFonts w:ascii="Times New Roman" w:hAnsi="Times New Roman"/>
                <w:b/>
                <w:sz w:val="24"/>
                <w:szCs w:val="24"/>
                <w:bdr w:val="single" w:sz="4" w:space="0" w:color="auto"/>
                <w:lang w:val="en-GB"/>
              </w:rPr>
              <w:t xml:space="preserve"> X</w:t>
            </w:r>
            <w:r w:rsidRPr="006F6C0E">
              <w:rPr>
                <w:rFonts w:ascii="Times New Roman" w:hAnsi="Times New Roman"/>
                <w:b/>
                <w:sz w:val="24"/>
                <w:szCs w:val="24"/>
                <w:bdr w:val="single" w:sz="4" w:space="0" w:color="auto"/>
                <w:lang w:val="en-GB"/>
              </w:rPr>
              <w:t xml:space="preserve"> </w:t>
            </w:r>
            <w:r w:rsidRPr="006F6C0E">
              <w:rPr>
                <w:rFonts w:ascii="Times New Roman" w:hAnsi="Times New Roman"/>
                <w:b/>
                <w:sz w:val="24"/>
                <w:szCs w:val="24"/>
                <w:lang w:val="en-GB"/>
              </w:rPr>
              <w:t>No</w:t>
            </w:r>
          </w:p>
        </w:tc>
      </w:tr>
      <w:tr w:rsidR="008C0610" w:rsidRPr="0032165A" w:rsidTr="006F3F78">
        <w:tc>
          <w:tcPr>
            <w:tcW w:w="9926" w:type="dxa"/>
            <w:gridSpan w:val="2"/>
            <w:shd w:val="clear" w:color="auto" w:fill="B6DDE8"/>
          </w:tcPr>
          <w:p w:rsidR="008C0610" w:rsidRPr="00B039AA" w:rsidRDefault="008C0610" w:rsidP="00880D1F">
            <w:pPr>
              <w:spacing w:before="240"/>
              <w:rPr>
                <w:b/>
              </w:rPr>
            </w:pPr>
            <w:r w:rsidRPr="00B039AA">
              <w:rPr>
                <w:b/>
              </w:rPr>
              <w:t>Submission Instructions</w:t>
            </w:r>
          </w:p>
        </w:tc>
      </w:tr>
      <w:tr w:rsidR="00E470E7" w:rsidRPr="0032165A" w:rsidTr="00537831">
        <w:tc>
          <w:tcPr>
            <w:tcW w:w="9926" w:type="dxa"/>
            <w:gridSpan w:val="2"/>
          </w:tcPr>
          <w:p w:rsidR="00E470E7" w:rsidRPr="006F6C0E" w:rsidRDefault="00E470E7" w:rsidP="00537831">
            <w:pPr>
              <w:rPr>
                <w:rFonts w:ascii="Times New Roman" w:hAnsi="Times New Roman"/>
                <w:sz w:val="24"/>
                <w:szCs w:val="24"/>
              </w:rPr>
            </w:pPr>
            <w:r w:rsidRPr="006F6C0E">
              <w:rPr>
                <w:rFonts w:ascii="Times New Roman" w:hAnsi="Times New Roman"/>
                <w:sz w:val="24"/>
                <w:szCs w:val="24"/>
              </w:rPr>
              <w:t xml:space="preserve">Submissions should be made by </w:t>
            </w:r>
            <w:r w:rsidR="00B35262" w:rsidRPr="006F6C0E">
              <w:rPr>
                <w:rFonts w:ascii="Times New Roman" w:hAnsi="Times New Roman"/>
                <w:b/>
                <w:bCs/>
                <w:sz w:val="24"/>
                <w:szCs w:val="24"/>
              </w:rPr>
              <w:t>5</w:t>
            </w:r>
            <w:r w:rsidR="0015233F" w:rsidRPr="006F6C0E">
              <w:rPr>
                <w:rFonts w:ascii="Times New Roman" w:hAnsi="Times New Roman"/>
                <w:b/>
                <w:bCs/>
                <w:sz w:val="24"/>
                <w:szCs w:val="24"/>
              </w:rPr>
              <w:t>pm AEST</w:t>
            </w:r>
            <w:r w:rsidR="0011297C" w:rsidRPr="006F6C0E">
              <w:rPr>
                <w:rFonts w:ascii="Times New Roman" w:hAnsi="Times New Roman"/>
                <w:b/>
                <w:bCs/>
                <w:sz w:val="24"/>
                <w:szCs w:val="24"/>
              </w:rPr>
              <w:t xml:space="preserve"> </w:t>
            </w:r>
            <w:r w:rsidR="006F6C0E" w:rsidRPr="006F6C0E">
              <w:rPr>
                <w:rFonts w:ascii="Times New Roman" w:hAnsi="Times New Roman"/>
                <w:b/>
                <w:bCs/>
                <w:sz w:val="24"/>
                <w:szCs w:val="24"/>
              </w:rPr>
              <w:t xml:space="preserve">Tuesday </w:t>
            </w:r>
            <w:r w:rsidR="00B35262" w:rsidRPr="006F6C0E">
              <w:rPr>
                <w:rFonts w:ascii="Times New Roman" w:hAnsi="Times New Roman"/>
                <w:b/>
                <w:bCs/>
                <w:sz w:val="24"/>
                <w:szCs w:val="24"/>
              </w:rPr>
              <w:t>6 December</w:t>
            </w:r>
            <w:r w:rsidR="00E6477B" w:rsidRPr="006F6C0E">
              <w:rPr>
                <w:rFonts w:ascii="Times New Roman" w:hAnsi="Times New Roman"/>
                <w:b/>
                <w:bCs/>
                <w:sz w:val="24"/>
                <w:szCs w:val="24"/>
              </w:rPr>
              <w:t xml:space="preserve"> 2011</w:t>
            </w:r>
            <w:r w:rsidRPr="006F6C0E">
              <w:rPr>
                <w:rFonts w:ascii="Times New Roman" w:hAnsi="Times New Roman"/>
                <w:sz w:val="24"/>
                <w:szCs w:val="24"/>
              </w:rPr>
              <w:t>. The Department reserves the right no</w:t>
            </w:r>
            <w:r w:rsidR="006F6C0E">
              <w:rPr>
                <w:rFonts w:ascii="Times New Roman" w:hAnsi="Times New Roman"/>
                <w:sz w:val="24"/>
                <w:szCs w:val="24"/>
              </w:rPr>
              <w:t>t to consider late submissions.</w:t>
            </w:r>
          </w:p>
          <w:p w:rsidR="00E470E7" w:rsidRPr="006F6C0E" w:rsidRDefault="00E470E7" w:rsidP="00537831">
            <w:pPr>
              <w:rPr>
                <w:rFonts w:ascii="Times New Roman" w:hAnsi="Times New Roman"/>
                <w:sz w:val="24"/>
                <w:szCs w:val="24"/>
              </w:rPr>
            </w:pPr>
            <w:r w:rsidRPr="006F6C0E">
              <w:rPr>
                <w:rFonts w:ascii="Times New Roman" w:hAnsi="Times New Roman"/>
                <w:sz w:val="24"/>
                <w:szCs w:val="24"/>
              </w:rPr>
              <w:t>Where possible, submissions should be lodged electronically, preferably in Microsoft Word or other text</w:t>
            </w:r>
            <w:r w:rsidR="00E91EE8" w:rsidRPr="006F6C0E">
              <w:rPr>
                <w:rFonts w:ascii="Times New Roman" w:hAnsi="Times New Roman"/>
                <w:sz w:val="24"/>
                <w:szCs w:val="24"/>
              </w:rPr>
              <w:t>-</w:t>
            </w:r>
            <w:r w:rsidRPr="006F6C0E">
              <w:rPr>
                <w:rFonts w:ascii="Times New Roman" w:hAnsi="Times New Roman"/>
                <w:sz w:val="24"/>
                <w:szCs w:val="24"/>
              </w:rPr>
              <w:t xml:space="preserve">based formats, via the email address – </w:t>
            </w:r>
            <w:r w:rsidR="002966D9" w:rsidRPr="006F6C0E">
              <w:rPr>
                <w:rFonts w:ascii="Times New Roman" w:hAnsi="Times New Roman"/>
                <w:b/>
                <w:sz w:val="24"/>
                <w:szCs w:val="24"/>
                <w:u w:val="single"/>
              </w:rPr>
              <w:t>infogrants</w:t>
            </w:r>
            <w:r w:rsidRPr="006F6C0E">
              <w:rPr>
                <w:rFonts w:ascii="Times New Roman" w:hAnsi="Times New Roman"/>
                <w:b/>
                <w:sz w:val="24"/>
                <w:szCs w:val="24"/>
                <w:u w:val="single"/>
              </w:rPr>
              <w:t>@climatechange.gov.au</w:t>
            </w:r>
            <w:r w:rsidRPr="006F6C0E">
              <w:rPr>
                <w:rFonts w:ascii="Times New Roman" w:hAnsi="Times New Roman"/>
                <w:i/>
                <w:sz w:val="24"/>
                <w:szCs w:val="24"/>
              </w:rPr>
              <w:t>.</w:t>
            </w:r>
          </w:p>
          <w:p w:rsidR="00E470E7" w:rsidRPr="006F6C0E" w:rsidRDefault="00E470E7" w:rsidP="00537831">
            <w:pPr>
              <w:rPr>
                <w:rFonts w:ascii="Times New Roman" w:hAnsi="Times New Roman"/>
                <w:sz w:val="24"/>
                <w:szCs w:val="24"/>
              </w:rPr>
            </w:pPr>
            <w:r w:rsidRPr="006F6C0E">
              <w:rPr>
                <w:rFonts w:ascii="Times New Roman" w:hAnsi="Times New Roman"/>
                <w:sz w:val="24"/>
                <w:szCs w:val="24"/>
              </w:rPr>
              <w:t>Submissions may alternatively be sent to the postal address below to arrive by the due date.</w:t>
            </w:r>
          </w:p>
          <w:p w:rsidR="001D7912" w:rsidRPr="006F6C0E" w:rsidRDefault="001D7912" w:rsidP="001D7912">
            <w:pPr>
              <w:spacing w:after="0"/>
              <w:ind w:left="720"/>
              <w:rPr>
                <w:rFonts w:ascii="Times New Roman" w:hAnsi="Times New Roman"/>
                <w:sz w:val="24"/>
                <w:szCs w:val="24"/>
              </w:rPr>
            </w:pPr>
            <w:r w:rsidRPr="006F6C0E">
              <w:rPr>
                <w:rFonts w:ascii="Times New Roman" w:hAnsi="Times New Roman"/>
                <w:sz w:val="24"/>
                <w:szCs w:val="24"/>
              </w:rPr>
              <w:t>Energy Efficiency</w:t>
            </w:r>
            <w:r w:rsidR="00A02768" w:rsidRPr="006F6C0E">
              <w:rPr>
                <w:rFonts w:ascii="Times New Roman" w:hAnsi="Times New Roman"/>
                <w:sz w:val="24"/>
                <w:szCs w:val="24"/>
              </w:rPr>
              <w:t xml:space="preserve"> Information Grants</w:t>
            </w:r>
            <w:r w:rsidRPr="006F6C0E">
              <w:rPr>
                <w:rFonts w:ascii="Times New Roman" w:hAnsi="Times New Roman"/>
                <w:sz w:val="24"/>
                <w:szCs w:val="24"/>
              </w:rPr>
              <w:t xml:space="preserve"> Program</w:t>
            </w:r>
          </w:p>
          <w:p w:rsidR="00E470E7" w:rsidRPr="003F1127" w:rsidRDefault="00A02768" w:rsidP="001D7912">
            <w:pPr>
              <w:spacing w:after="0"/>
              <w:ind w:left="720"/>
              <w:rPr>
                <w:rFonts w:cs="Arial"/>
              </w:rPr>
            </w:pPr>
            <w:r w:rsidRPr="006F6C0E">
              <w:rPr>
                <w:rFonts w:ascii="Times New Roman" w:hAnsi="Times New Roman"/>
                <w:sz w:val="24"/>
                <w:szCs w:val="24"/>
              </w:rPr>
              <w:t>Information and Charities Assistance</w:t>
            </w:r>
            <w:r w:rsidR="001D7912" w:rsidRPr="006F6C0E">
              <w:rPr>
                <w:rFonts w:ascii="Times New Roman" w:hAnsi="Times New Roman"/>
                <w:sz w:val="24"/>
                <w:szCs w:val="24"/>
              </w:rPr>
              <w:t xml:space="preserve"> Team</w:t>
            </w:r>
            <w:r w:rsidR="00E470E7" w:rsidRPr="006F6C0E">
              <w:rPr>
                <w:rFonts w:ascii="Times New Roman" w:hAnsi="Times New Roman"/>
                <w:sz w:val="24"/>
                <w:szCs w:val="24"/>
              </w:rPr>
              <w:br/>
              <w:t>Department of Climate Change and Energy Efficiency</w:t>
            </w:r>
            <w:r w:rsidR="00E470E7" w:rsidRPr="006F6C0E">
              <w:rPr>
                <w:rFonts w:ascii="Times New Roman" w:hAnsi="Times New Roman"/>
                <w:sz w:val="24"/>
                <w:szCs w:val="24"/>
              </w:rPr>
              <w:br/>
              <w:t>GPO Box 854</w:t>
            </w:r>
            <w:r w:rsidR="00E470E7" w:rsidRPr="006F6C0E">
              <w:rPr>
                <w:rFonts w:ascii="Times New Roman" w:hAnsi="Times New Roman"/>
                <w:sz w:val="24"/>
                <w:szCs w:val="24"/>
              </w:rPr>
              <w:br/>
              <w:t xml:space="preserve">CANBERRA </w:t>
            </w:r>
            <w:r w:rsidRPr="006F6C0E">
              <w:rPr>
                <w:rFonts w:ascii="Times New Roman" w:hAnsi="Times New Roman"/>
                <w:sz w:val="24"/>
                <w:szCs w:val="24"/>
              </w:rPr>
              <w:t xml:space="preserve"> </w:t>
            </w:r>
            <w:r w:rsidR="00E470E7" w:rsidRPr="006F6C0E">
              <w:rPr>
                <w:rFonts w:ascii="Times New Roman" w:hAnsi="Times New Roman"/>
                <w:sz w:val="24"/>
                <w:szCs w:val="24"/>
              </w:rPr>
              <w:t>ACT</w:t>
            </w:r>
            <w:r w:rsidRPr="006F6C0E">
              <w:rPr>
                <w:rFonts w:ascii="Times New Roman" w:hAnsi="Times New Roman"/>
                <w:sz w:val="24"/>
                <w:szCs w:val="24"/>
              </w:rPr>
              <w:t xml:space="preserve"> </w:t>
            </w:r>
            <w:r w:rsidR="00E470E7" w:rsidRPr="006F6C0E">
              <w:rPr>
                <w:rFonts w:ascii="Times New Roman" w:hAnsi="Times New Roman"/>
                <w:sz w:val="24"/>
                <w:szCs w:val="24"/>
              </w:rPr>
              <w:t xml:space="preserve"> 2601</w:t>
            </w:r>
          </w:p>
        </w:tc>
      </w:tr>
      <w:tr w:rsidR="00534989" w:rsidRPr="00880D1F" w:rsidTr="006F3F78">
        <w:tc>
          <w:tcPr>
            <w:tcW w:w="9926" w:type="dxa"/>
            <w:gridSpan w:val="2"/>
            <w:shd w:val="clear" w:color="auto" w:fill="B6DDE8"/>
          </w:tcPr>
          <w:p w:rsidR="00534989" w:rsidRDefault="008C0610" w:rsidP="00BA7682">
            <w:pPr>
              <w:numPr>
                <w:ilvl w:val="0"/>
                <w:numId w:val="6"/>
              </w:numPr>
              <w:spacing w:before="240"/>
              <w:rPr>
                <w:b/>
              </w:rPr>
            </w:pPr>
            <w:r>
              <w:lastRenderedPageBreak/>
              <w:br w:type="page"/>
            </w:r>
            <w:r w:rsidR="00534989">
              <w:rPr>
                <w:b/>
              </w:rPr>
              <w:t xml:space="preserve">Program </w:t>
            </w:r>
            <w:r w:rsidR="002A1823">
              <w:rPr>
                <w:b/>
              </w:rPr>
              <w:t>Overview</w:t>
            </w:r>
          </w:p>
          <w:p w:rsidR="00534989" w:rsidRDefault="00152CEB" w:rsidP="00534989">
            <w:pPr>
              <w:numPr>
                <w:ilvl w:val="0"/>
                <w:numId w:val="5"/>
              </w:numPr>
              <w:spacing w:after="0"/>
            </w:pPr>
            <w:r>
              <w:t>Issues arising from</w:t>
            </w:r>
            <w:r w:rsidR="006F6C0E">
              <w:t xml:space="preserve"> program objectives</w:t>
            </w:r>
          </w:p>
          <w:p w:rsidR="001C4A71" w:rsidRDefault="006F6C0E" w:rsidP="001C4A71">
            <w:pPr>
              <w:numPr>
                <w:ilvl w:val="0"/>
                <w:numId w:val="5"/>
              </w:numPr>
              <w:spacing w:after="0"/>
            </w:pPr>
            <w:r>
              <w:t>Management of the program</w:t>
            </w:r>
          </w:p>
          <w:p w:rsidR="001C4A71" w:rsidRPr="00954AD6" w:rsidRDefault="002A1823" w:rsidP="001C4A71">
            <w:pPr>
              <w:numPr>
                <w:ilvl w:val="0"/>
                <w:numId w:val="5"/>
              </w:numPr>
              <w:spacing w:after="0"/>
            </w:pPr>
            <w:r>
              <w:t xml:space="preserve">Process for </w:t>
            </w:r>
            <w:r w:rsidR="001C4A71">
              <w:t>application asse</w:t>
            </w:r>
            <w:r>
              <w:t>ssment</w:t>
            </w:r>
          </w:p>
        </w:tc>
      </w:tr>
      <w:tr w:rsidR="00534989" w:rsidTr="001909D5">
        <w:trPr>
          <w:trHeight w:val="4898"/>
        </w:trPr>
        <w:tc>
          <w:tcPr>
            <w:tcW w:w="9926" w:type="dxa"/>
            <w:gridSpan w:val="2"/>
          </w:tcPr>
          <w:p w:rsidR="0019291C" w:rsidRPr="0019291C" w:rsidRDefault="0019291C" w:rsidP="0019291C">
            <w:pPr>
              <w:spacing w:after="0" w:line="240" w:lineRule="auto"/>
              <w:rPr>
                <w:rFonts w:cs="Arial"/>
              </w:rPr>
            </w:pPr>
          </w:p>
          <w:p w:rsidR="00B4392F" w:rsidRDefault="0019291C" w:rsidP="0019291C">
            <w:pPr>
              <w:spacing w:after="0" w:line="240" w:lineRule="auto"/>
              <w:rPr>
                <w:rFonts w:cs="Arial"/>
              </w:rPr>
            </w:pPr>
            <w:r w:rsidRPr="0019291C">
              <w:rPr>
                <w:rFonts w:cs="Arial"/>
              </w:rPr>
              <w:t xml:space="preserve">The Government intends to impose a carbon price on the fuel used in heavy on-road transport from 1 July 2014. </w:t>
            </w:r>
            <w:r w:rsidR="00B4392F">
              <w:rPr>
                <w:rFonts w:cs="Arial"/>
              </w:rPr>
              <w:t xml:space="preserve">If the Government goes ahead with its policy despite the industry’s concerns, </w:t>
            </w:r>
            <w:r w:rsidRPr="0019291C">
              <w:rPr>
                <w:rFonts w:cs="Arial"/>
              </w:rPr>
              <w:t>SME trucking operators would need to pass some or all of their increased costs on to their customers</w:t>
            </w:r>
            <w:r w:rsidR="00B4392F">
              <w:rPr>
                <w:rFonts w:cs="Arial"/>
              </w:rPr>
              <w:t>.</w:t>
            </w:r>
          </w:p>
          <w:p w:rsidR="0019291C" w:rsidRPr="0019291C" w:rsidRDefault="00B4392F" w:rsidP="0019291C">
            <w:pPr>
              <w:spacing w:after="0" w:line="240" w:lineRule="auto"/>
              <w:rPr>
                <w:rFonts w:cs="Arial"/>
                <w:lang w:eastAsia="en-AU"/>
              </w:rPr>
            </w:pPr>
            <w:r w:rsidRPr="0019291C">
              <w:rPr>
                <w:rFonts w:cs="Arial"/>
                <w:lang w:eastAsia="en-AU"/>
              </w:rPr>
              <w:t xml:space="preserve"> </w:t>
            </w:r>
          </w:p>
          <w:p w:rsidR="0019291C" w:rsidRPr="0019291C" w:rsidRDefault="0019291C" w:rsidP="0019291C">
            <w:pPr>
              <w:pStyle w:val="NoSpacing"/>
              <w:rPr>
                <w:rFonts w:ascii="Arial" w:hAnsi="Arial" w:cs="Arial"/>
              </w:rPr>
            </w:pPr>
            <w:r w:rsidRPr="0019291C">
              <w:rPr>
                <w:rFonts w:ascii="Arial" w:hAnsi="Arial" w:cs="Arial"/>
              </w:rPr>
              <w:t>In many cases</w:t>
            </w:r>
            <w:r w:rsidR="00BC3312">
              <w:rPr>
                <w:rFonts w:ascii="Arial" w:hAnsi="Arial" w:cs="Arial"/>
              </w:rPr>
              <w:t xml:space="preserve">, </w:t>
            </w:r>
            <w:r w:rsidR="00B4392F">
              <w:rPr>
                <w:rFonts w:ascii="Arial" w:hAnsi="Arial" w:cs="Arial"/>
              </w:rPr>
              <w:t xml:space="preserve">their </w:t>
            </w:r>
            <w:r w:rsidRPr="0019291C">
              <w:rPr>
                <w:rFonts w:ascii="Arial" w:hAnsi="Arial" w:cs="Arial"/>
              </w:rPr>
              <w:t xml:space="preserve">ability </w:t>
            </w:r>
            <w:r w:rsidR="00307971">
              <w:rPr>
                <w:rFonts w:ascii="Arial" w:hAnsi="Arial" w:cs="Arial"/>
              </w:rPr>
              <w:t xml:space="preserve">to pass on their costs </w:t>
            </w:r>
            <w:r w:rsidRPr="0019291C">
              <w:rPr>
                <w:rFonts w:ascii="Arial" w:hAnsi="Arial" w:cs="Arial"/>
              </w:rPr>
              <w:t xml:space="preserve">would be limited by their existing contract arrangements and lack of </w:t>
            </w:r>
            <w:r w:rsidR="00BC3312">
              <w:rPr>
                <w:rFonts w:ascii="Arial" w:hAnsi="Arial" w:cs="Arial"/>
              </w:rPr>
              <w:t xml:space="preserve">market </w:t>
            </w:r>
            <w:r w:rsidRPr="0019291C">
              <w:rPr>
                <w:rFonts w:ascii="Arial" w:hAnsi="Arial" w:cs="Arial"/>
              </w:rPr>
              <w:t>power.</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The ATA’s submission to the Joint Select Committee on Australia’s Clean Energy Future </w:t>
            </w:r>
            <w:r w:rsidR="00821A08">
              <w:rPr>
                <w:rFonts w:ascii="Arial" w:hAnsi="Arial" w:cs="Arial"/>
              </w:rPr>
              <w:t xml:space="preserve">Legislation </w:t>
            </w:r>
            <w:r w:rsidRPr="0019291C">
              <w:rPr>
                <w:rFonts w:ascii="Arial" w:hAnsi="Arial" w:cs="Arial"/>
              </w:rPr>
              <w:t>examined the contract arrangements used in the industry. As recommended by the ATA, a growing number of businesses add a fuel levy to their freight rates, which could be adjusted to reflect the impact of a carbon price. Many trucking businesses, though, are locked into long term contracts and have a limited ability to pass on price changes quickly.</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More generally, small trucking business often feel forced to accept the rates they are offered, even if the terms are unfavourable. </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As a result, these businesses could end up bearing an </w:t>
            </w:r>
            <w:r w:rsidR="00B4392F">
              <w:rPr>
                <w:rFonts w:ascii="Arial" w:hAnsi="Arial" w:cs="Arial"/>
              </w:rPr>
              <w:t xml:space="preserve">unfair carbon price burden. </w:t>
            </w:r>
            <w:r w:rsidRPr="0019291C">
              <w:rPr>
                <w:rFonts w:ascii="Arial" w:hAnsi="Arial" w:cs="Arial"/>
              </w:rPr>
              <w:t>This is not the Government’s policy intent: its objective is to drive changes to business and consumer behaviour across the economy, not to impose disproportionate costs on businesses that lack market power.</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The ATA </w:t>
            </w:r>
            <w:r w:rsidR="00BC3312">
              <w:rPr>
                <w:rFonts w:ascii="Arial" w:hAnsi="Arial" w:cs="Arial"/>
              </w:rPr>
              <w:t xml:space="preserve">proposes </w:t>
            </w:r>
            <w:r w:rsidRPr="0019291C">
              <w:rPr>
                <w:rFonts w:ascii="Arial" w:hAnsi="Arial" w:cs="Arial"/>
              </w:rPr>
              <w:t>the objectives of the Energy Efficiency Information Grants program should include assisting SMEs to change their business practices in response to the impact of the carbon price.</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Under this recommendation, industry associations such as the ATA’s members would be able to provide SMEs with information and workshops about, for example:</w:t>
            </w:r>
          </w:p>
          <w:p w:rsidR="0019291C" w:rsidRPr="0019291C" w:rsidRDefault="0019291C" w:rsidP="0019291C">
            <w:pPr>
              <w:pStyle w:val="NoSpacing"/>
              <w:rPr>
                <w:rFonts w:ascii="Arial" w:hAnsi="Arial" w:cs="Arial"/>
              </w:rPr>
            </w:pPr>
          </w:p>
          <w:p w:rsidR="0019291C" w:rsidRPr="0019291C" w:rsidRDefault="0019291C" w:rsidP="0019291C">
            <w:pPr>
              <w:pStyle w:val="NoSpacing"/>
              <w:numPr>
                <w:ilvl w:val="0"/>
                <w:numId w:val="8"/>
              </w:numPr>
              <w:rPr>
                <w:rFonts w:ascii="Arial" w:hAnsi="Arial" w:cs="Arial"/>
              </w:rPr>
            </w:pPr>
            <w:r w:rsidRPr="0019291C">
              <w:rPr>
                <w:rFonts w:ascii="Arial" w:hAnsi="Arial" w:cs="Arial"/>
              </w:rPr>
              <w:t>best practice contracts under a carbon price</w:t>
            </w:r>
          </w:p>
          <w:p w:rsidR="0019291C" w:rsidRPr="0019291C" w:rsidRDefault="0019291C" w:rsidP="0019291C">
            <w:pPr>
              <w:pStyle w:val="NoSpacing"/>
              <w:numPr>
                <w:ilvl w:val="0"/>
                <w:numId w:val="8"/>
              </w:numPr>
              <w:rPr>
                <w:rFonts w:ascii="Arial" w:hAnsi="Arial" w:cs="Arial"/>
              </w:rPr>
            </w:pPr>
            <w:r w:rsidRPr="0019291C">
              <w:rPr>
                <w:rFonts w:ascii="Arial" w:hAnsi="Arial" w:cs="Arial"/>
              </w:rPr>
              <w:t>effective contract negotiation techniques</w:t>
            </w:r>
          </w:p>
          <w:p w:rsidR="0019291C" w:rsidRPr="0019291C" w:rsidRDefault="0019291C" w:rsidP="0019291C">
            <w:pPr>
              <w:pStyle w:val="NoSpacing"/>
              <w:numPr>
                <w:ilvl w:val="0"/>
                <w:numId w:val="8"/>
              </w:numPr>
              <w:rPr>
                <w:rFonts w:ascii="Arial" w:hAnsi="Arial" w:cs="Arial"/>
              </w:rPr>
            </w:pPr>
            <w:r w:rsidRPr="0019291C">
              <w:rPr>
                <w:rFonts w:ascii="Arial" w:hAnsi="Arial" w:cs="Arial"/>
              </w:rPr>
              <w:t>adjusting fuel levies</w:t>
            </w:r>
          </w:p>
          <w:p w:rsidR="0019291C" w:rsidRPr="0019291C" w:rsidRDefault="0019291C" w:rsidP="0019291C">
            <w:pPr>
              <w:pStyle w:val="NoSpacing"/>
              <w:numPr>
                <w:ilvl w:val="0"/>
                <w:numId w:val="8"/>
              </w:numPr>
              <w:rPr>
                <w:rFonts w:ascii="Arial" w:hAnsi="Arial" w:cs="Arial"/>
              </w:rPr>
            </w:pPr>
            <w:r w:rsidRPr="0019291C">
              <w:rPr>
                <w:rFonts w:ascii="Arial" w:hAnsi="Arial" w:cs="Arial"/>
              </w:rPr>
              <w:t>the ACCC’s guidance on carbon price claims and</w:t>
            </w:r>
          </w:p>
          <w:p w:rsidR="0019291C" w:rsidRPr="0019291C" w:rsidRDefault="0019291C" w:rsidP="0019291C">
            <w:pPr>
              <w:pStyle w:val="NoSpacing"/>
              <w:numPr>
                <w:ilvl w:val="0"/>
                <w:numId w:val="8"/>
              </w:numPr>
              <w:rPr>
                <w:rFonts w:ascii="Arial" w:hAnsi="Arial" w:cs="Arial"/>
              </w:rPr>
            </w:pPr>
            <w:r w:rsidRPr="0019291C">
              <w:rPr>
                <w:rFonts w:ascii="Arial" w:hAnsi="Arial" w:cs="Arial"/>
              </w:rPr>
              <w:t>what to do if contract discussions fail.</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b/>
              </w:rPr>
            </w:pPr>
            <w:r w:rsidRPr="0019291C">
              <w:rPr>
                <w:rFonts w:ascii="Arial" w:hAnsi="Arial" w:cs="Arial"/>
                <w:b/>
              </w:rPr>
              <w:t>Recommendation 1</w:t>
            </w:r>
          </w:p>
          <w:p w:rsidR="0019291C" w:rsidRPr="0019291C" w:rsidRDefault="0019291C" w:rsidP="0019291C">
            <w:pPr>
              <w:pStyle w:val="NoSpacing"/>
              <w:rPr>
                <w:rFonts w:ascii="Arial" w:hAnsi="Arial" w:cs="Arial"/>
                <w:b/>
              </w:rPr>
            </w:pPr>
          </w:p>
          <w:p w:rsidR="0019291C" w:rsidRPr="0019291C" w:rsidRDefault="0019291C" w:rsidP="0019291C">
            <w:pPr>
              <w:pStyle w:val="NoSpacing"/>
              <w:rPr>
                <w:rFonts w:ascii="Arial" w:hAnsi="Arial" w:cs="Arial"/>
                <w:b/>
              </w:rPr>
            </w:pPr>
            <w:r w:rsidRPr="0019291C">
              <w:rPr>
                <w:rFonts w:ascii="Arial" w:hAnsi="Arial" w:cs="Arial"/>
                <w:b/>
              </w:rPr>
              <w:t>A third point should be added to the objectives of the Energy Efficiency Information Grants Program:</w:t>
            </w:r>
          </w:p>
          <w:p w:rsidR="0019291C" w:rsidRPr="0019291C" w:rsidRDefault="0019291C" w:rsidP="0019291C">
            <w:pPr>
              <w:pStyle w:val="NoSpacing"/>
              <w:rPr>
                <w:rFonts w:ascii="Arial" w:hAnsi="Arial" w:cs="Arial"/>
                <w:b/>
              </w:rPr>
            </w:pPr>
          </w:p>
          <w:p w:rsidR="0019291C" w:rsidRPr="0019291C" w:rsidRDefault="0019291C" w:rsidP="0019291C">
            <w:pPr>
              <w:pStyle w:val="NoSpacing"/>
              <w:numPr>
                <w:ilvl w:val="0"/>
                <w:numId w:val="7"/>
              </w:numPr>
              <w:rPr>
                <w:rFonts w:ascii="Arial" w:hAnsi="Arial" w:cs="Arial"/>
                <w:b/>
              </w:rPr>
            </w:pPr>
            <w:r w:rsidRPr="0019291C">
              <w:rPr>
                <w:rFonts w:ascii="Arial" w:hAnsi="Arial" w:cs="Arial"/>
                <w:b/>
              </w:rPr>
              <w:t>to assist SMEs to change their business practices in response to the impacts of a carbon price.</w:t>
            </w:r>
          </w:p>
          <w:p w:rsidR="00534989" w:rsidRPr="0019291C" w:rsidRDefault="00534989" w:rsidP="0019291C">
            <w:pPr>
              <w:spacing w:after="0" w:line="240" w:lineRule="auto"/>
              <w:rPr>
                <w:rFonts w:cs="Arial"/>
                <w:color w:val="000000"/>
                <w:sz w:val="24"/>
                <w:szCs w:val="24"/>
              </w:rPr>
            </w:pPr>
          </w:p>
          <w:p w:rsidR="006F3F78" w:rsidRPr="0019291C" w:rsidRDefault="006F3F78" w:rsidP="0019291C">
            <w:pPr>
              <w:spacing w:after="0" w:line="240" w:lineRule="auto"/>
              <w:rPr>
                <w:rFonts w:cs="Arial"/>
                <w:color w:val="000000"/>
              </w:rPr>
            </w:pPr>
          </w:p>
          <w:p w:rsidR="0019291C" w:rsidRPr="0019291C" w:rsidRDefault="0019291C" w:rsidP="0019291C">
            <w:pPr>
              <w:spacing w:after="0" w:line="240" w:lineRule="auto"/>
              <w:rPr>
                <w:rFonts w:cs="Arial"/>
                <w:color w:val="000000"/>
              </w:rPr>
            </w:pPr>
          </w:p>
          <w:p w:rsidR="0019291C" w:rsidRPr="0019291C" w:rsidRDefault="0019291C" w:rsidP="0019291C">
            <w:pPr>
              <w:spacing w:after="0" w:line="240" w:lineRule="auto"/>
              <w:rPr>
                <w:rFonts w:cs="Arial"/>
                <w:color w:val="000000"/>
              </w:rPr>
            </w:pPr>
          </w:p>
          <w:p w:rsidR="0019291C" w:rsidRDefault="0019291C" w:rsidP="0019291C">
            <w:pPr>
              <w:spacing w:after="0" w:line="240" w:lineRule="auto"/>
              <w:rPr>
                <w:rFonts w:cs="Arial"/>
                <w:color w:val="000000"/>
              </w:rPr>
            </w:pPr>
          </w:p>
          <w:p w:rsidR="00E9625C" w:rsidRDefault="00E9625C" w:rsidP="0019291C">
            <w:pPr>
              <w:spacing w:after="0" w:line="240" w:lineRule="auto"/>
              <w:rPr>
                <w:rFonts w:cs="Arial"/>
                <w:color w:val="000000"/>
              </w:rPr>
            </w:pPr>
          </w:p>
          <w:p w:rsidR="00E9625C" w:rsidRPr="0019291C" w:rsidRDefault="00E9625C" w:rsidP="0019291C">
            <w:pPr>
              <w:spacing w:after="0" w:line="240" w:lineRule="auto"/>
              <w:rPr>
                <w:rFonts w:cs="Arial"/>
                <w:color w:val="000000"/>
              </w:rPr>
            </w:pPr>
          </w:p>
          <w:p w:rsidR="0019291C" w:rsidRPr="0019291C" w:rsidRDefault="0019291C" w:rsidP="0019291C">
            <w:pPr>
              <w:spacing w:after="0" w:line="240" w:lineRule="auto"/>
              <w:rPr>
                <w:rFonts w:cs="Arial"/>
                <w:color w:val="000000"/>
              </w:rPr>
            </w:pPr>
          </w:p>
        </w:tc>
      </w:tr>
      <w:tr w:rsidR="006F3F78" w:rsidRPr="00880D1F" w:rsidTr="006F3F78">
        <w:tc>
          <w:tcPr>
            <w:tcW w:w="9926" w:type="dxa"/>
            <w:gridSpan w:val="2"/>
            <w:shd w:val="clear" w:color="auto" w:fill="B6DDE8"/>
          </w:tcPr>
          <w:p w:rsidR="006F3F78" w:rsidRDefault="006F3F78" w:rsidP="00BA7682">
            <w:pPr>
              <w:numPr>
                <w:ilvl w:val="0"/>
                <w:numId w:val="6"/>
              </w:numPr>
              <w:spacing w:before="240"/>
              <w:rPr>
                <w:b/>
              </w:rPr>
            </w:pPr>
            <w:r>
              <w:lastRenderedPageBreak/>
              <w:br w:type="page"/>
            </w:r>
            <w:r>
              <w:rPr>
                <w:b/>
              </w:rPr>
              <w:t>Assessment Criteria</w:t>
            </w:r>
          </w:p>
          <w:p w:rsidR="006F3F78" w:rsidRDefault="001C4A71" w:rsidP="006F3F78">
            <w:pPr>
              <w:numPr>
                <w:ilvl w:val="0"/>
                <w:numId w:val="5"/>
              </w:numPr>
              <w:spacing w:after="0"/>
            </w:pPr>
            <w:r>
              <w:t>Proposed eligibility criteria</w:t>
            </w:r>
          </w:p>
          <w:p w:rsidR="00A70BED" w:rsidRDefault="00A70BED" w:rsidP="00A70BED">
            <w:pPr>
              <w:numPr>
                <w:ilvl w:val="1"/>
                <w:numId w:val="5"/>
              </w:numPr>
              <w:spacing w:after="0"/>
            </w:pPr>
            <w:r>
              <w:t>Definitions of indu</w:t>
            </w:r>
            <w:r w:rsidR="006F6C0E">
              <w:t>stry association and non profit</w:t>
            </w:r>
          </w:p>
          <w:p w:rsidR="00A70BED" w:rsidRDefault="00A70BED" w:rsidP="00A70BED">
            <w:pPr>
              <w:numPr>
                <w:ilvl w:val="1"/>
                <w:numId w:val="5"/>
              </w:numPr>
              <w:spacing w:after="0"/>
            </w:pPr>
            <w:r>
              <w:t>Definitions of SME and community organisation</w:t>
            </w:r>
          </w:p>
          <w:p w:rsidR="001C4A71" w:rsidRPr="00954AD6" w:rsidRDefault="001C4A71" w:rsidP="001C4A71">
            <w:pPr>
              <w:numPr>
                <w:ilvl w:val="0"/>
                <w:numId w:val="5"/>
              </w:numPr>
              <w:spacing w:after="0"/>
            </w:pPr>
            <w:r>
              <w:t>Proposed merit criteria</w:t>
            </w:r>
          </w:p>
        </w:tc>
      </w:tr>
      <w:tr w:rsidR="006F3F78" w:rsidTr="006F3F78">
        <w:trPr>
          <w:trHeight w:val="4898"/>
        </w:trPr>
        <w:tc>
          <w:tcPr>
            <w:tcW w:w="9926" w:type="dxa"/>
            <w:gridSpan w:val="2"/>
          </w:tcPr>
          <w:p w:rsidR="006F3F78" w:rsidRPr="0019291C" w:rsidRDefault="006F3F78" w:rsidP="006F3F78">
            <w:pPr>
              <w:rPr>
                <w:rFonts w:cs="Arial"/>
                <w:color w:val="000000"/>
                <w:sz w:val="24"/>
                <w:szCs w:val="24"/>
              </w:rPr>
            </w:pPr>
          </w:p>
          <w:p w:rsidR="0019291C" w:rsidRPr="0019291C" w:rsidRDefault="0019291C" w:rsidP="0019291C">
            <w:pPr>
              <w:pStyle w:val="NoSpacing"/>
              <w:rPr>
                <w:rFonts w:ascii="Arial" w:hAnsi="Arial" w:cs="Arial"/>
              </w:rPr>
            </w:pPr>
            <w:r w:rsidRPr="0019291C">
              <w:rPr>
                <w:rFonts w:ascii="Arial" w:hAnsi="Arial" w:cs="Arial"/>
              </w:rPr>
              <w:t>Under section 2.2.1 of the draft eligibility criteria, applicants must be either:</w:t>
            </w:r>
          </w:p>
          <w:p w:rsidR="0019291C" w:rsidRPr="0019291C" w:rsidRDefault="0019291C" w:rsidP="0019291C">
            <w:pPr>
              <w:pStyle w:val="NoSpacing"/>
              <w:rPr>
                <w:rFonts w:ascii="Arial" w:hAnsi="Arial" w:cs="Arial"/>
              </w:rPr>
            </w:pPr>
          </w:p>
          <w:p w:rsidR="0019291C" w:rsidRPr="0019291C" w:rsidRDefault="0019291C" w:rsidP="0019291C">
            <w:pPr>
              <w:pStyle w:val="NoSpacing"/>
              <w:numPr>
                <w:ilvl w:val="0"/>
                <w:numId w:val="7"/>
              </w:numPr>
              <w:rPr>
                <w:rFonts w:ascii="Arial" w:hAnsi="Arial" w:cs="Arial"/>
              </w:rPr>
            </w:pPr>
            <w:r w:rsidRPr="0019291C">
              <w:rPr>
                <w:rFonts w:ascii="Arial" w:hAnsi="Arial" w:cs="Arial"/>
              </w:rPr>
              <w:t>A registered industry association or professional institute engaged with SMEs that has been constituted as a legal entity for at least</w:t>
            </w:r>
            <w:r w:rsidR="00560FB9">
              <w:rPr>
                <w:rFonts w:ascii="Arial" w:hAnsi="Arial" w:cs="Arial"/>
              </w:rPr>
              <w:t xml:space="preserve"> 12</w:t>
            </w:r>
            <w:r w:rsidRPr="0019291C">
              <w:rPr>
                <w:rFonts w:ascii="Arial" w:hAnsi="Arial" w:cs="Arial"/>
              </w:rPr>
              <w:t xml:space="preserve"> months and has $10 million in public liability insurance; or</w:t>
            </w:r>
          </w:p>
          <w:p w:rsidR="0019291C" w:rsidRPr="0019291C" w:rsidRDefault="0019291C" w:rsidP="0019291C">
            <w:pPr>
              <w:pStyle w:val="NoSpacing"/>
              <w:rPr>
                <w:rFonts w:ascii="Arial" w:hAnsi="Arial" w:cs="Arial"/>
              </w:rPr>
            </w:pPr>
          </w:p>
          <w:p w:rsidR="0019291C" w:rsidRPr="0019291C" w:rsidRDefault="0019291C" w:rsidP="0019291C">
            <w:pPr>
              <w:pStyle w:val="NoSpacing"/>
              <w:numPr>
                <w:ilvl w:val="0"/>
                <w:numId w:val="7"/>
              </w:numPr>
              <w:rPr>
                <w:rFonts w:ascii="Arial" w:hAnsi="Arial" w:cs="Arial"/>
              </w:rPr>
            </w:pPr>
            <w:r w:rsidRPr="0019291C">
              <w:rPr>
                <w:rFonts w:ascii="Arial" w:hAnsi="Arial" w:cs="Arial"/>
              </w:rPr>
              <w:t xml:space="preserve">A non-profit body engaged with community organisations that has been constituted as a legal entity for at least </w:t>
            </w:r>
            <w:r w:rsidR="00560FB9">
              <w:rPr>
                <w:rFonts w:ascii="Arial" w:hAnsi="Arial" w:cs="Arial"/>
              </w:rPr>
              <w:t>12</w:t>
            </w:r>
            <w:r w:rsidRPr="0019291C">
              <w:rPr>
                <w:rFonts w:ascii="Arial" w:hAnsi="Arial" w:cs="Arial"/>
              </w:rPr>
              <w:t xml:space="preserve"> months and has $10 million in public liability insurance.</w:t>
            </w:r>
          </w:p>
          <w:p w:rsidR="0019291C" w:rsidRPr="0019291C" w:rsidRDefault="0019291C" w:rsidP="0019291C">
            <w:pPr>
              <w:pStyle w:val="NoSpacing"/>
              <w:rPr>
                <w:rFonts w:ascii="Arial" w:hAnsi="Arial" w:cs="Arial"/>
                <w:b/>
              </w:rPr>
            </w:pPr>
          </w:p>
          <w:p w:rsidR="0019291C" w:rsidRPr="0019291C" w:rsidRDefault="0019291C" w:rsidP="0019291C">
            <w:pPr>
              <w:pStyle w:val="NoSpacing"/>
              <w:rPr>
                <w:rFonts w:ascii="Arial" w:hAnsi="Arial" w:cs="Arial"/>
              </w:rPr>
            </w:pPr>
            <w:r w:rsidRPr="0019291C">
              <w:rPr>
                <w:rFonts w:ascii="Arial" w:hAnsi="Arial" w:cs="Arial"/>
              </w:rPr>
              <w:t xml:space="preserve">The ATA does not support the proposal that industry associations must be ‘registered.’ There is no single registration system for industry associations and no obvious need to set one up. Industry associations </w:t>
            </w:r>
            <w:r w:rsidR="00821A08">
              <w:rPr>
                <w:rFonts w:ascii="Arial" w:hAnsi="Arial" w:cs="Arial"/>
              </w:rPr>
              <w:t>are</w:t>
            </w:r>
            <w:r w:rsidRPr="0019291C">
              <w:rPr>
                <w:rFonts w:ascii="Arial" w:hAnsi="Arial" w:cs="Arial"/>
              </w:rPr>
              <w:t xml:space="preserve"> established as legal entities under a number of mechanisms. For example, the ATA’s membership includes representative bodies that are:</w:t>
            </w:r>
          </w:p>
          <w:p w:rsidR="0019291C" w:rsidRPr="0019291C" w:rsidRDefault="0019291C" w:rsidP="0019291C">
            <w:pPr>
              <w:pStyle w:val="NoSpacing"/>
              <w:rPr>
                <w:rFonts w:ascii="Arial" w:hAnsi="Arial" w:cs="Arial"/>
              </w:rPr>
            </w:pPr>
          </w:p>
          <w:p w:rsidR="0019291C" w:rsidRPr="0019291C" w:rsidRDefault="0019291C" w:rsidP="0019291C">
            <w:pPr>
              <w:pStyle w:val="NoSpacing"/>
              <w:numPr>
                <w:ilvl w:val="0"/>
                <w:numId w:val="9"/>
              </w:numPr>
              <w:rPr>
                <w:rFonts w:ascii="Arial" w:hAnsi="Arial" w:cs="Arial"/>
              </w:rPr>
            </w:pPr>
            <w:r w:rsidRPr="0019291C">
              <w:rPr>
                <w:rFonts w:ascii="Arial" w:hAnsi="Arial" w:cs="Arial"/>
              </w:rPr>
              <w:t xml:space="preserve">incorporated associations under state or territory legislation; </w:t>
            </w:r>
          </w:p>
          <w:p w:rsidR="0019291C" w:rsidRPr="0019291C" w:rsidRDefault="0019291C" w:rsidP="0019291C">
            <w:pPr>
              <w:pStyle w:val="NoSpacing"/>
              <w:numPr>
                <w:ilvl w:val="0"/>
                <w:numId w:val="9"/>
              </w:numPr>
              <w:rPr>
                <w:rFonts w:ascii="Arial" w:hAnsi="Arial" w:cs="Arial"/>
              </w:rPr>
            </w:pPr>
            <w:r w:rsidRPr="0019291C">
              <w:rPr>
                <w:rFonts w:ascii="Arial" w:hAnsi="Arial" w:cs="Arial"/>
              </w:rPr>
              <w:t xml:space="preserve">companies limited by guarantee under the </w:t>
            </w:r>
            <w:r w:rsidRPr="0019291C">
              <w:rPr>
                <w:rFonts w:ascii="Arial" w:hAnsi="Arial" w:cs="Arial"/>
                <w:i/>
              </w:rPr>
              <w:t>Corporations Act</w:t>
            </w:r>
            <w:r w:rsidRPr="0019291C">
              <w:rPr>
                <w:rFonts w:ascii="Arial" w:hAnsi="Arial" w:cs="Arial"/>
              </w:rPr>
              <w:t>; and in one case</w:t>
            </w:r>
          </w:p>
          <w:p w:rsidR="0019291C" w:rsidRPr="0019291C" w:rsidRDefault="0019291C" w:rsidP="0019291C">
            <w:pPr>
              <w:pStyle w:val="NoSpacing"/>
              <w:numPr>
                <w:ilvl w:val="0"/>
                <w:numId w:val="9"/>
              </w:numPr>
              <w:rPr>
                <w:rFonts w:ascii="Arial" w:hAnsi="Arial" w:cs="Arial"/>
              </w:rPr>
            </w:pPr>
            <w:r w:rsidRPr="0019291C">
              <w:rPr>
                <w:rFonts w:ascii="Arial" w:hAnsi="Arial" w:cs="Arial"/>
              </w:rPr>
              <w:t xml:space="preserve">a proprietary limited company owned by the ATA that functions as a representative body, with members, a policy council, and the usual range of industry association services. </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These bodies all engage with SME trucking businesses and should all be eligible to apply for funding.</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The intent of the eligibility criteria is clearly to ensure that applicants are legal entities in their own right and not informal associations. This is adequately covered by the requirement that an applicant be ‘constituted as a legal entity for at least 12 months.’ </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b/>
              </w:rPr>
            </w:pPr>
            <w:r w:rsidRPr="0019291C">
              <w:rPr>
                <w:rFonts w:ascii="Arial" w:hAnsi="Arial" w:cs="Arial"/>
                <w:b/>
              </w:rPr>
              <w:t>Recommendation 2</w:t>
            </w:r>
          </w:p>
          <w:p w:rsidR="0019291C" w:rsidRPr="0019291C" w:rsidRDefault="0019291C" w:rsidP="0019291C">
            <w:pPr>
              <w:pStyle w:val="NoSpacing"/>
              <w:rPr>
                <w:rFonts w:ascii="Arial" w:hAnsi="Arial" w:cs="Arial"/>
                <w:b/>
              </w:rPr>
            </w:pPr>
          </w:p>
          <w:p w:rsidR="0019291C" w:rsidRPr="0019291C" w:rsidRDefault="0019291C" w:rsidP="0019291C">
            <w:pPr>
              <w:pStyle w:val="NoSpacing"/>
              <w:rPr>
                <w:rFonts w:ascii="Arial" w:hAnsi="Arial" w:cs="Arial"/>
                <w:b/>
              </w:rPr>
            </w:pPr>
            <w:r w:rsidRPr="0019291C">
              <w:rPr>
                <w:rFonts w:ascii="Arial" w:hAnsi="Arial" w:cs="Arial"/>
                <w:b/>
              </w:rPr>
              <w:t>The requirement that industry associations must be ‘registered’ should be removed</w:t>
            </w:r>
            <w:r w:rsidR="00821A08">
              <w:rPr>
                <w:rFonts w:ascii="Arial" w:hAnsi="Arial" w:cs="Arial"/>
                <w:b/>
              </w:rPr>
              <w:t>.</w:t>
            </w:r>
          </w:p>
          <w:p w:rsidR="006F3F78" w:rsidRPr="0019291C" w:rsidRDefault="006F3F78" w:rsidP="006F3F78">
            <w:pPr>
              <w:rPr>
                <w:rFonts w:cs="Arial"/>
                <w:color w:val="000000"/>
                <w:sz w:val="24"/>
                <w:szCs w:val="24"/>
              </w:rPr>
            </w:pPr>
          </w:p>
          <w:p w:rsidR="006F3F78" w:rsidRPr="008E46BB" w:rsidRDefault="006F3F78" w:rsidP="006F3F78">
            <w:pPr>
              <w:rPr>
                <w:rFonts w:cs="Arial"/>
                <w:color w:val="000000"/>
              </w:rPr>
            </w:pPr>
          </w:p>
        </w:tc>
      </w:tr>
    </w:tbl>
    <w:p w:rsidR="006F6C0E" w:rsidRDefault="006F6C0E"/>
    <w:p w:rsidR="00BA7682" w:rsidRDefault="006F6C0E">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880D1F" w:rsidRPr="00880D1F" w:rsidTr="006F3F78">
        <w:tc>
          <w:tcPr>
            <w:tcW w:w="9926" w:type="dxa"/>
            <w:shd w:val="clear" w:color="auto" w:fill="B6DDE8"/>
          </w:tcPr>
          <w:p w:rsidR="00880D1F" w:rsidRDefault="00BA7682" w:rsidP="00BA7682">
            <w:pPr>
              <w:numPr>
                <w:ilvl w:val="0"/>
                <w:numId w:val="6"/>
              </w:numPr>
              <w:spacing w:before="240"/>
              <w:rPr>
                <w:b/>
              </w:rPr>
            </w:pPr>
            <w:r>
              <w:lastRenderedPageBreak/>
              <w:br w:type="page"/>
            </w:r>
            <w:r w:rsidR="001C4A71">
              <w:rPr>
                <w:b/>
              </w:rPr>
              <w:t>Additional Information</w:t>
            </w:r>
          </w:p>
          <w:p w:rsidR="002A1823" w:rsidRDefault="001C4A71" w:rsidP="002A1823">
            <w:pPr>
              <w:numPr>
                <w:ilvl w:val="0"/>
                <w:numId w:val="5"/>
              </w:numPr>
              <w:spacing w:after="0"/>
            </w:pPr>
            <w:r>
              <w:t>Roles and responsibilities</w:t>
            </w:r>
          </w:p>
          <w:p w:rsidR="00954AD6" w:rsidRDefault="001C4A71" w:rsidP="001C4A71">
            <w:pPr>
              <w:numPr>
                <w:ilvl w:val="0"/>
                <w:numId w:val="5"/>
              </w:numPr>
              <w:spacing w:after="0"/>
            </w:pPr>
            <w:r>
              <w:t>Milestones, reporting, payments and auditing</w:t>
            </w:r>
          </w:p>
          <w:p w:rsidR="00A70BED" w:rsidRDefault="00A70BED" w:rsidP="00A70BED">
            <w:pPr>
              <w:numPr>
                <w:ilvl w:val="1"/>
                <w:numId w:val="5"/>
              </w:numPr>
              <w:spacing w:after="0"/>
            </w:pPr>
            <w:r>
              <w:t>Measures of effectiveness</w:t>
            </w:r>
          </w:p>
          <w:p w:rsidR="001C4A71" w:rsidRDefault="001C4A71" w:rsidP="001C4A71">
            <w:pPr>
              <w:numPr>
                <w:ilvl w:val="0"/>
                <w:numId w:val="5"/>
              </w:numPr>
              <w:spacing w:after="0"/>
            </w:pPr>
            <w:r>
              <w:t>Branding and communication</w:t>
            </w:r>
          </w:p>
          <w:p w:rsidR="001C4A71" w:rsidRDefault="00A70BED" w:rsidP="001C4A71">
            <w:pPr>
              <w:numPr>
                <w:ilvl w:val="0"/>
                <w:numId w:val="5"/>
              </w:numPr>
              <w:spacing w:after="0"/>
            </w:pPr>
            <w:r>
              <w:t>Document Retention</w:t>
            </w:r>
          </w:p>
          <w:p w:rsidR="00A70BED" w:rsidRPr="002A1823" w:rsidRDefault="00A70BED" w:rsidP="001C4A71">
            <w:pPr>
              <w:numPr>
                <w:ilvl w:val="0"/>
                <w:numId w:val="5"/>
              </w:numPr>
              <w:spacing w:after="0"/>
            </w:pPr>
            <w:r>
              <w:t>Intellectual Property</w:t>
            </w:r>
          </w:p>
        </w:tc>
      </w:tr>
      <w:tr w:rsidR="00880D1F" w:rsidTr="0019291C">
        <w:trPr>
          <w:trHeight w:val="1328"/>
        </w:trPr>
        <w:tc>
          <w:tcPr>
            <w:tcW w:w="9926" w:type="dxa"/>
          </w:tcPr>
          <w:p w:rsidR="00880D1F" w:rsidRPr="006F6C0E" w:rsidRDefault="00880D1F" w:rsidP="00880D1F">
            <w:pPr>
              <w:rPr>
                <w:rFonts w:ascii="Times New Roman" w:hAnsi="Times New Roman"/>
                <w:color w:val="000000"/>
                <w:sz w:val="24"/>
                <w:szCs w:val="24"/>
              </w:rPr>
            </w:pPr>
          </w:p>
          <w:p w:rsidR="002A1823" w:rsidRPr="0019291C" w:rsidRDefault="0019291C" w:rsidP="00880D1F">
            <w:pPr>
              <w:rPr>
                <w:rFonts w:cs="Arial"/>
                <w:color w:val="000000"/>
              </w:rPr>
            </w:pPr>
            <w:r>
              <w:rPr>
                <w:rFonts w:cs="Arial"/>
                <w:color w:val="000000"/>
              </w:rPr>
              <w:t>The ATA has no comments on these items.</w:t>
            </w:r>
          </w:p>
        </w:tc>
      </w:tr>
      <w:tr w:rsidR="00307A01" w:rsidRPr="00880D1F" w:rsidTr="006F3F78">
        <w:trPr>
          <w:trHeight w:val="698"/>
        </w:trPr>
        <w:tc>
          <w:tcPr>
            <w:tcW w:w="9926" w:type="dxa"/>
            <w:shd w:val="clear" w:color="auto" w:fill="B6DDE8"/>
          </w:tcPr>
          <w:p w:rsidR="00307A01" w:rsidRDefault="00A70BED" w:rsidP="00BA7682">
            <w:pPr>
              <w:numPr>
                <w:ilvl w:val="0"/>
                <w:numId w:val="6"/>
              </w:numPr>
              <w:spacing w:before="240"/>
              <w:rPr>
                <w:b/>
              </w:rPr>
            </w:pPr>
            <w:r>
              <w:rPr>
                <w:b/>
              </w:rPr>
              <w:t>Eligible Expenditure Draft Guidance</w:t>
            </w:r>
          </w:p>
          <w:p w:rsidR="003F125C" w:rsidRDefault="00BA7682" w:rsidP="003F125C">
            <w:pPr>
              <w:numPr>
                <w:ilvl w:val="0"/>
                <w:numId w:val="5"/>
              </w:numPr>
              <w:spacing w:after="0"/>
            </w:pPr>
            <w:r>
              <w:t xml:space="preserve">Comments on </w:t>
            </w:r>
            <w:r w:rsidR="00E6477B">
              <w:t>e</w:t>
            </w:r>
            <w:r>
              <w:t xml:space="preserve">ligible </w:t>
            </w:r>
            <w:r w:rsidR="00152CEB">
              <w:t>and ineligible items</w:t>
            </w:r>
          </w:p>
          <w:p w:rsidR="00307A01" w:rsidRPr="00307A01" w:rsidRDefault="00307A01" w:rsidP="00152CEB">
            <w:pPr>
              <w:spacing w:after="0"/>
              <w:ind w:left="720"/>
            </w:pPr>
          </w:p>
        </w:tc>
      </w:tr>
      <w:tr w:rsidR="00307A01" w:rsidRPr="00880D1F" w:rsidTr="00BA7682">
        <w:trPr>
          <w:trHeight w:val="4632"/>
        </w:trPr>
        <w:tc>
          <w:tcPr>
            <w:tcW w:w="9926" w:type="dxa"/>
          </w:tcPr>
          <w:p w:rsidR="00307A01" w:rsidRPr="006F6C0E" w:rsidRDefault="00307A01" w:rsidP="00307A01">
            <w:pPr>
              <w:rPr>
                <w:rFonts w:ascii="Times New Roman" w:hAnsi="Times New Roman"/>
                <w:color w:val="000000"/>
                <w:sz w:val="24"/>
                <w:szCs w:val="24"/>
              </w:rPr>
            </w:pPr>
          </w:p>
          <w:p w:rsidR="0019291C" w:rsidRPr="0019291C" w:rsidRDefault="0019291C" w:rsidP="0019291C">
            <w:pPr>
              <w:pStyle w:val="NoSpacing"/>
              <w:rPr>
                <w:rFonts w:ascii="Arial" w:hAnsi="Arial" w:cs="Arial"/>
              </w:rPr>
            </w:pPr>
            <w:r w:rsidRPr="0019291C">
              <w:rPr>
                <w:rFonts w:ascii="Arial" w:hAnsi="Arial" w:cs="Arial"/>
              </w:rPr>
              <w:t xml:space="preserve">Consistent with recommendation 1 in this submission, the eligible activities in the information development, production and dissemination category should include the design of products that assist SMEs to </w:t>
            </w:r>
            <w:r>
              <w:rPr>
                <w:rFonts w:ascii="Arial" w:hAnsi="Arial" w:cs="Arial"/>
              </w:rPr>
              <w:t>change</w:t>
            </w:r>
            <w:r w:rsidRPr="0019291C">
              <w:rPr>
                <w:rFonts w:ascii="Arial" w:hAnsi="Arial" w:cs="Arial"/>
              </w:rPr>
              <w:t xml:space="preserve"> their business practices in response to the impact of a carbon price.</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b/>
              </w:rPr>
            </w:pPr>
            <w:r w:rsidRPr="0019291C">
              <w:rPr>
                <w:rFonts w:ascii="Arial" w:hAnsi="Arial" w:cs="Arial"/>
                <w:b/>
              </w:rPr>
              <w:t>Recommendation 3</w:t>
            </w:r>
          </w:p>
          <w:p w:rsidR="0019291C" w:rsidRPr="0019291C" w:rsidRDefault="0019291C" w:rsidP="0019291C">
            <w:pPr>
              <w:pStyle w:val="NoSpacing"/>
              <w:rPr>
                <w:rFonts w:ascii="Arial" w:hAnsi="Arial" w:cs="Arial"/>
                <w:b/>
              </w:rPr>
            </w:pPr>
          </w:p>
          <w:p w:rsidR="0019291C" w:rsidRPr="0019291C" w:rsidRDefault="0019291C" w:rsidP="0019291C">
            <w:pPr>
              <w:pStyle w:val="NoSpacing"/>
              <w:rPr>
                <w:rFonts w:ascii="Arial" w:hAnsi="Arial" w:cs="Arial"/>
                <w:b/>
              </w:rPr>
            </w:pPr>
            <w:r w:rsidRPr="0019291C">
              <w:rPr>
                <w:rFonts w:ascii="Arial" w:hAnsi="Arial" w:cs="Arial"/>
                <w:b/>
              </w:rPr>
              <w:t>The first dot point under information development, production and dissemination should be rewritten to read:</w:t>
            </w:r>
          </w:p>
          <w:p w:rsidR="0019291C" w:rsidRPr="0019291C" w:rsidRDefault="0019291C" w:rsidP="0019291C">
            <w:pPr>
              <w:pStyle w:val="NoSpacing"/>
              <w:rPr>
                <w:rFonts w:ascii="Arial" w:hAnsi="Arial" w:cs="Arial"/>
                <w:b/>
              </w:rPr>
            </w:pPr>
          </w:p>
          <w:p w:rsidR="0019291C" w:rsidRPr="0019291C" w:rsidRDefault="0019291C" w:rsidP="0019291C">
            <w:pPr>
              <w:pStyle w:val="NoSpacing"/>
              <w:numPr>
                <w:ilvl w:val="0"/>
                <w:numId w:val="11"/>
              </w:numPr>
              <w:ind w:left="714" w:hanging="357"/>
              <w:rPr>
                <w:rFonts w:ascii="Arial" w:hAnsi="Arial" w:cs="Arial"/>
                <w:b/>
              </w:rPr>
            </w:pPr>
            <w:r w:rsidRPr="0019291C">
              <w:rPr>
                <w:rFonts w:ascii="Arial" w:hAnsi="Arial" w:cs="Arial"/>
                <w:b/>
              </w:rPr>
              <w:t xml:space="preserve">Design of products such as fact sheets, video and sound recordings, web tools, </w:t>
            </w:r>
            <w:proofErr w:type="gramStart"/>
            <w:r w:rsidRPr="0019291C">
              <w:rPr>
                <w:rFonts w:ascii="Arial" w:hAnsi="Arial" w:cs="Arial"/>
                <w:b/>
              </w:rPr>
              <w:t>seminar</w:t>
            </w:r>
            <w:proofErr w:type="gramEnd"/>
            <w:r w:rsidRPr="0019291C">
              <w:rPr>
                <w:rFonts w:ascii="Arial" w:hAnsi="Arial" w:cs="Arial"/>
                <w:b/>
              </w:rPr>
              <w:t xml:space="preserve"> and workshop material designed to build skills in energy efficiency, promote factual awareness of carbon price impacts, and assist </w:t>
            </w:r>
            <w:r w:rsidR="00560FB9">
              <w:rPr>
                <w:rFonts w:ascii="Arial" w:hAnsi="Arial" w:cs="Arial"/>
                <w:b/>
              </w:rPr>
              <w:t>change</w:t>
            </w:r>
            <w:r w:rsidR="00821A08">
              <w:rPr>
                <w:rFonts w:ascii="Arial" w:hAnsi="Arial" w:cs="Arial"/>
                <w:b/>
              </w:rPr>
              <w:t>s</w:t>
            </w:r>
            <w:r w:rsidR="00560FB9">
              <w:rPr>
                <w:rFonts w:ascii="Arial" w:hAnsi="Arial" w:cs="Arial"/>
                <w:b/>
              </w:rPr>
              <w:t xml:space="preserve"> </w:t>
            </w:r>
            <w:r w:rsidR="00821A08">
              <w:rPr>
                <w:rFonts w:ascii="Arial" w:hAnsi="Arial" w:cs="Arial"/>
                <w:b/>
              </w:rPr>
              <w:t xml:space="preserve">to </w:t>
            </w:r>
            <w:r w:rsidRPr="0019291C">
              <w:rPr>
                <w:rFonts w:ascii="Arial" w:hAnsi="Arial" w:cs="Arial"/>
                <w:b/>
              </w:rPr>
              <w:t>business practices in response to those impacts.</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In addition, many energy saving measures will only deliver consistent, long-term results if businesses adopt a systematic approach to their implementation.</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For example, training drivers in ecodriving techniques can deliver fuel savings of 6-10 per cent across a truck fleet. To maintain those savings for more than a few months; however, a trucking business would need to have systems to ensure all its new drivers received the training as part of their induction, and that its existing drivers received periodic refreshers. </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The ATA’s experience with its TruckSafe program (</w:t>
            </w:r>
            <w:hyperlink r:id="rId11" w:history="1">
              <w:r w:rsidRPr="0019291C">
                <w:rPr>
                  <w:rStyle w:val="Hyperlink"/>
                  <w:rFonts w:ascii="Arial" w:hAnsi="Arial" w:cs="Arial"/>
                </w:rPr>
                <w:t>www.trucksafe.com.au</w:t>
              </w:r>
            </w:hyperlink>
            <w:r w:rsidRPr="0019291C">
              <w:rPr>
                <w:rFonts w:ascii="Arial" w:hAnsi="Arial" w:cs="Arial"/>
              </w:rPr>
              <w:t>) shows the best way to ensure that businesses maintain these systems is through independently audited accreditation program</w:t>
            </w:r>
            <w:r w:rsidR="00560FB9">
              <w:rPr>
                <w:rFonts w:ascii="Arial" w:hAnsi="Arial" w:cs="Arial"/>
              </w:rPr>
              <w:t>s</w:t>
            </w:r>
            <w:r w:rsidRPr="0019291C">
              <w:rPr>
                <w:rFonts w:ascii="Arial" w:hAnsi="Arial" w:cs="Arial"/>
              </w:rPr>
              <w:t xml:space="preserve">. Under these programs, businesses put systems in place in accordance with the program’s standards (in this example, to ensure drivers have appropriate training). They are then audited regularly to make sure those systems do not fall into disuse because of changing staff or priorities. </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 xml:space="preserve">These programs can deliver excellent, long-term results. In the safety area, for example, </w:t>
            </w:r>
            <w:r w:rsidR="00C73F9B">
              <w:rPr>
                <w:rFonts w:ascii="Arial" w:hAnsi="Arial" w:cs="Arial"/>
              </w:rPr>
              <w:t>independent research shows that TruckSafe accredited vehicles are twice as safe as non-accredited vehicles</w:t>
            </w:r>
            <w:r w:rsidRPr="0019291C">
              <w:rPr>
                <w:rFonts w:ascii="Arial" w:hAnsi="Arial" w:cs="Arial"/>
              </w:rPr>
              <w:t>.</w:t>
            </w:r>
          </w:p>
          <w:p w:rsidR="0019291C" w:rsidRDefault="0019291C" w:rsidP="0019291C">
            <w:pPr>
              <w:pStyle w:val="NoSpacing"/>
              <w:rPr>
                <w:rFonts w:ascii="Arial" w:hAnsi="Arial" w:cs="Arial"/>
              </w:rPr>
            </w:pPr>
          </w:p>
          <w:p w:rsidR="007E1A6C" w:rsidRDefault="007E1A6C" w:rsidP="0019291C">
            <w:pPr>
              <w:pStyle w:val="NoSpacing"/>
              <w:rPr>
                <w:rFonts w:ascii="Arial" w:hAnsi="Arial" w:cs="Arial"/>
              </w:rPr>
            </w:pPr>
          </w:p>
          <w:p w:rsidR="007E1A6C" w:rsidRDefault="007E1A6C" w:rsidP="0019291C">
            <w:pPr>
              <w:pStyle w:val="NoSpacing"/>
              <w:rPr>
                <w:rFonts w:ascii="Arial" w:hAnsi="Arial" w:cs="Arial"/>
              </w:rPr>
            </w:pPr>
          </w:p>
          <w:p w:rsidR="007E1A6C" w:rsidRPr="0019291C" w:rsidRDefault="007E1A6C" w:rsidP="0019291C">
            <w:pPr>
              <w:pStyle w:val="NoSpacing"/>
              <w:rPr>
                <w:rFonts w:ascii="Arial" w:hAnsi="Arial" w:cs="Arial"/>
              </w:rPr>
            </w:pPr>
          </w:p>
          <w:p w:rsidR="0019291C" w:rsidRPr="0019291C" w:rsidRDefault="0019291C" w:rsidP="0019291C">
            <w:pPr>
              <w:pStyle w:val="NoSpacing"/>
              <w:rPr>
                <w:rFonts w:ascii="Arial" w:hAnsi="Arial" w:cs="Arial"/>
              </w:rPr>
            </w:pPr>
            <w:r w:rsidRPr="0019291C">
              <w:rPr>
                <w:rFonts w:ascii="Arial" w:hAnsi="Arial" w:cs="Arial"/>
              </w:rPr>
              <w:t>Because of the results that can be achieved, the ATA considers the eligible activities in the information development, production and dissemination category should specifically allow industry associations to seek funding for the design of energy efficiency standards and audit tools for new or existing accreditation programs.</w:t>
            </w:r>
          </w:p>
          <w:p w:rsidR="0019291C" w:rsidRPr="0019291C" w:rsidRDefault="0019291C" w:rsidP="0019291C">
            <w:pPr>
              <w:pStyle w:val="NoSpacing"/>
              <w:rPr>
                <w:rFonts w:ascii="Arial" w:hAnsi="Arial" w:cs="Arial"/>
              </w:rPr>
            </w:pPr>
          </w:p>
          <w:p w:rsidR="0019291C" w:rsidRPr="0019291C" w:rsidRDefault="0019291C" w:rsidP="0019291C">
            <w:pPr>
              <w:pStyle w:val="NoSpacing"/>
              <w:rPr>
                <w:rFonts w:ascii="Arial" w:hAnsi="Arial" w:cs="Arial"/>
                <w:b/>
              </w:rPr>
            </w:pPr>
            <w:r w:rsidRPr="0019291C">
              <w:rPr>
                <w:rFonts w:ascii="Arial" w:hAnsi="Arial" w:cs="Arial"/>
                <w:b/>
              </w:rPr>
              <w:t>Recommendation 5</w:t>
            </w:r>
          </w:p>
          <w:p w:rsidR="0019291C" w:rsidRPr="0019291C" w:rsidRDefault="0019291C" w:rsidP="0019291C">
            <w:pPr>
              <w:pStyle w:val="NoSpacing"/>
              <w:rPr>
                <w:rFonts w:ascii="Arial" w:hAnsi="Arial" w:cs="Arial"/>
                <w:b/>
              </w:rPr>
            </w:pPr>
          </w:p>
          <w:p w:rsidR="0019291C" w:rsidRPr="0019291C" w:rsidRDefault="0019291C" w:rsidP="0019291C">
            <w:pPr>
              <w:pStyle w:val="NoSpacing"/>
              <w:rPr>
                <w:rFonts w:ascii="Arial" w:hAnsi="Arial" w:cs="Arial"/>
                <w:b/>
              </w:rPr>
            </w:pPr>
            <w:r w:rsidRPr="0019291C">
              <w:rPr>
                <w:rFonts w:ascii="Arial" w:hAnsi="Arial" w:cs="Arial"/>
                <w:b/>
              </w:rPr>
              <w:t>An additional dot point should be added under information development, production and dissemination, as follows:</w:t>
            </w:r>
          </w:p>
          <w:p w:rsidR="0019291C" w:rsidRPr="0019291C" w:rsidRDefault="0019291C" w:rsidP="0019291C">
            <w:pPr>
              <w:pStyle w:val="NoSpacing"/>
              <w:rPr>
                <w:rFonts w:ascii="Arial" w:hAnsi="Arial" w:cs="Arial"/>
                <w:b/>
              </w:rPr>
            </w:pPr>
          </w:p>
          <w:p w:rsidR="0019291C" w:rsidRPr="0019291C" w:rsidRDefault="0019291C" w:rsidP="0019291C">
            <w:pPr>
              <w:pStyle w:val="NoSpacing"/>
              <w:numPr>
                <w:ilvl w:val="0"/>
                <w:numId w:val="10"/>
              </w:numPr>
              <w:rPr>
                <w:b/>
              </w:rPr>
            </w:pPr>
            <w:r w:rsidRPr="0019291C">
              <w:rPr>
                <w:rFonts w:ascii="Arial" w:hAnsi="Arial" w:cs="Arial"/>
                <w:b/>
              </w:rPr>
              <w:t>design of energy efficiency standards and audit tools for accreditation programs run by industry associations.</w:t>
            </w:r>
          </w:p>
          <w:p w:rsidR="002A1823" w:rsidRDefault="002A1823" w:rsidP="00307A01">
            <w:pPr>
              <w:rPr>
                <w:rFonts w:ascii="Times New Roman" w:hAnsi="Times New Roman"/>
                <w:color w:val="000000"/>
                <w:sz w:val="24"/>
                <w:szCs w:val="24"/>
              </w:rPr>
            </w:pPr>
          </w:p>
          <w:p w:rsidR="002A1823" w:rsidRPr="006F6C0E" w:rsidRDefault="002A1823" w:rsidP="0019291C">
            <w:pPr>
              <w:rPr>
                <w:rFonts w:ascii="Times New Roman" w:hAnsi="Times New Roman"/>
                <w:color w:val="000000"/>
                <w:sz w:val="24"/>
                <w:szCs w:val="24"/>
              </w:rPr>
            </w:pPr>
          </w:p>
        </w:tc>
      </w:tr>
    </w:tbl>
    <w:p w:rsidR="00193A6F" w:rsidRDefault="00193A6F" w:rsidP="00BA7682"/>
    <w:sectPr w:rsidR="00193A6F" w:rsidSect="00E470E7">
      <w:pgSz w:w="11906" w:h="16838" w:code="9"/>
      <w:pgMar w:top="1134" w:right="1134" w:bottom="1134" w:left="1134" w:header="425"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1E" w:rsidRDefault="0066531E" w:rsidP="00307A01">
      <w:pPr>
        <w:spacing w:after="0" w:line="240" w:lineRule="auto"/>
      </w:pPr>
      <w:r>
        <w:separator/>
      </w:r>
    </w:p>
  </w:endnote>
  <w:endnote w:type="continuationSeparator" w:id="0">
    <w:p w:rsidR="0066531E" w:rsidRDefault="0066531E" w:rsidP="0030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1E" w:rsidRDefault="0066531E" w:rsidP="00307A01">
      <w:pPr>
        <w:spacing w:after="0" w:line="240" w:lineRule="auto"/>
      </w:pPr>
      <w:r>
        <w:separator/>
      </w:r>
    </w:p>
  </w:footnote>
  <w:footnote w:type="continuationSeparator" w:id="0">
    <w:p w:rsidR="0066531E" w:rsidRDefault="0066531E" w:rsidP="00307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5869"/>
    <w:multiLevelType w:val="hybridMultilevel"/>
    <w:tmpl w:val="E610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75464E"/>
    <w:multiLevelType w:val="hybridMultilevel"/>
    <w:tmpl w:val="A0EA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CD3AB9"/>
    <w:multiLevelType w:val="hybridMultilevel"/>
    <w:tmpl w:val="209C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B667DF"/>
    <w:multiLevelType w:val="hybridMultilevel"/>
    <w:tmpl w:val="602CE4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8F0F2B"/>
    <w:multiLevelType w:val="multilevel"/>
    <w:tmpl w:val="088E79F2"/>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2B83358"/>
    <w:multiLevelType w:val="hybridMultilevel"/>
    <w:tmpl w:val="EF0C2AB0"/>
    <w:lvl w:ilvl="0" w:tplc="CD4C5A52">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66521894"/>
    <w:multiLevelType w:val="hybridMultilevel"/>
    <w:tmpl w:val="59BE3724"/>
    <w:lvl w:ilvl="0" w:tplc="426CB052">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DB2D47"/>
    <w:multiLevelType w:val="hybridMultilevel"/>
    <w:tmpl w:val="EA8C98C6"/>
    <w:lvl w:ilvl="0" w:tplc="BEF0949A">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75E820A5"/>
    <w:multiLevelType w:val="hybridMultilevel"/>
    <w:tmpl w:val="0420C14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7A7C276F"/>
    <w:multiLevelType w:val="hybridMultilevel"/>
    <w:tmpl w:val="F25E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066922"/>
    <w:multiLevelType w:val="hybridMultilevel"/>
    <w:tmpl w:val="59048B3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10"/>
  </w:num>
  <w:num w:numId="8">
    <w:abstractNumId w:val="1"/>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470E7"/>
    <w:rsid w:val="00076B23"/>
    <w:rsid w:val="000C3539"/>
    <w:rsid w:val="0011297C"/>
    <w:rsid w:val="0015233F"/>
    <w:rsid w:val="00152CEB"/>
    <w:rsid w:val="00180120"/>
    <w:rsid w:val="001909D5"/>
    <w:rsid w:val="0019291C"/>
    <w:rsid w:val="00193A6F"/>
    <w:rsid w:val="001B0E02"/>
    <w:rsid w:val="001C4A71"/>
    <w:rsid w:val="001D7912"/>
    <w:rsid w:val="001E5F7B"/>
    <w:rsid w:val="00223347"/>
    <w:rsid w:val="002352E0"/>
    <w:rsid w:val="00242067"/>
    <w:rsid w:val="002966D9"/>
    <w:rsid w:val="002A1823"/>
    <w:rsid w:val="002A7B4F"/>
    <w:rsid w:val="00307971"/>
    <w:rsid w:val="00307A01"/>
    <w:rsid w:val="0032165A"/>
    <w:rsid w:val="00330C6D"/>
    <w:rsid w:val="0033326B"/>
    <w:rsid w:val="00357582"/>
    <w:rsid w:val="003635D8"/>
    <w:rsid w:val="003B280E"/>
    <w:rsid w:val="003D6439"/>
    <w:rsid w:val="003E2088"/>
    <w:rsid w:val="003F1127"/>
    <w:rsid w:val="003F125C"/>
    <w:rsid w:val="00465FEA"/>
    <w:rsid w:val="00470521"/>
    <w:rsid w:val="004C13A5"/>
    <w:rsid w:val="004E05E8"/>
    <w:rsid w:val="004E3F0F"/>
    <w:rsid w:val="004E7EF9"/>
    <w:rsid w:val="004F00D5"/>
    <w:rsid w:val="00502A7C"/>
    <w:rsid w:val="00534989"/>
    <w:rsid w:val="00537831"/>
    <w:rsid w:val="00560FB9"/>
    <w:rsid w:val="006065B8"/>
    <w:rsid w:val="0061732F"/>
    <w:rsid w:val="006264F8"/>
    <w:rsid w:val="0063356F"/>
    <w:rsid w:val="0066531E"/>
    <w:rsid w:val="006B641F"/>
    <w:rsid w:val="006F3F78"/>
    <w:rsid w:val="006F6C0E"/>
    <w:rsid w:val="007A61CC"/>
    <w:rsid w:val="007C5C8D"/>
    <w:rsid w:val="007E1A6C"/>
    <w:rsid w:val="007E55A7"/>
    <w:rsid w:val="00821A08"/>
    <w:rsid w:val="00867787"/>
    <w:rsid w:val="00880D1F"/>
    <w:rsid w:val="008C0610"/>
    <w:rsid w:val="008E3177"/>
    <w:rsid w:val="008E46BB"/>
    <w:rsid w:val="008F588B"/>
    <w:rsid w:val="00954AD6"/>
    <w:rsid w:val="009715F8"/>
    <w:rsid w:val="009965BA"/>
    <w:rsid w:val="009C4AE6"/>
    <w:rsid w:val="009E6631"/>
    <w:rsid w:val="00A02768"/>
    <w:rsid w:val="00A27795"/>
    <w:rsid w:val="00A55EB6"/>
    <w:rsid w:val="00A601C9"/>
    <w:rsid w:val="00A70BED"/>
    <w:rsid w:val="00AE356A"/>
    <w:rsid w:val="00B039AA"/>
    <w:rsid w:val="00B35262"/>
    <w:rsid w:val="00B4392F"/>
    <w:rsid w:val="00B46A80"/>
    <w:rsid w:val="00BA7682"/>
    <w:rsid w:val="00BC3312"/>
    <w:rsid w:val="00BD6E1E"/>
    <w:rsid w:val="00BF0866"/>
    <w:rsid w:val="00C70ACA"/>
    <w:rsid w:val="00C73F9B"/>
    <w:rsid w:val="00C82801"/>
    <w:rsid w:val="00CF6CB1"/>
    <w:rsid w:val="00D5169C"/>
    <w:rsid w:val="00D56423"/>
    <w:rsid w:val="00E2008B"/>
    <w:rsid w:val="00E470E7"/>
    <w:rsid w:val="00E624E9"/>
    <w:rsid w:val="00E6477B"/>
    <w:rsid w:val="00E91EE8"/>
    <w:rsid w:val="00E9625C"/>
    <w:rsid w:val="00E97754"/>
    <w:rsid w:val="00EA05A4"/>
    <w:rsid w:val="00EC3BBE"/>
    <w:rsid w:val="00EE0C62"/>
    <w:rsid w:val="00F920E3"/>
    <w:rsid w:val="00FB1960"/>
    <w:rsid w:val="00FD18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E7"/>
    <w:pPr>
      <w:spacing w:after="120" w:line="288"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link w:val="HChar"/>
    <w:qFormat/>
    <w:rsid w:val="00E470E7"/>
    <w:pPr>
      <w:pageBreakBefore/>
      <w:pBdr>
        <w:top w:val="single" w:sz="4" w:space="1" w:color="auto"/>
        <w:left w:val="single" w:sz="4" w:space="4" w:color="auto"/>
        <w:bottom w:val="single" w:sz="4" w:space="1" w:color="auto"/>
        <w:right w:val="single" w:sz="4" w:space="4" w:color="auto"/>
      </w:pBdr>
      <w:shd w:val="clear" w:color="auto" w:fill="FDE9D9"/>
      <w:jc w:val="center"/>
    </w:pPr>
    <w:rPr>
      <w:rFonts w:cs="Arial"/>
      <w:b/>
      <w:caps/>
      <w:sz w:val="28"/>
      <w:szCs w:val="28"/>
    </w:rPr>
  </w:style>
  <w:style w:type="character" w:customStyle="1" w:styleId="HChar">
    <w:name w:val="H Char"/>
    <w:basedOn w:val="DefaultParagraphFont"/>
    <w:link w:val="H"/>
    <w:locked/>
    <w:rsid w:val="00E470E7"/>
    <w:rPr>
      <w:rFonts w:ascii="Arial" w:eastAsia="Times New Roman" w:hAnsi="Arial" w:cs="Arial"/>
      <w:b/>
      <w:caps/>
      <w:sz w:val="28"/>
      <w:szCs w:val="28"/>
      <w:shd w:val="clear" w:color="auto" w:fill="FDE9D9"/>
    </w:rPr>
  </w:style>
  <w:style w:type="paragraph" w:customStyle="1" w:styleId="TableText">
    <w:name w:val="TableText"/>
    <w:basedOn w:val="Normal"/>
    <w:link w:val="TableTextChar"/>
    <w:rsid w:val="00954AD6"/>
    <w:pPr>
      <w:spacing w:before="120" w:line="280" w:lineRule="exact"/>
    </w:pPr>
    <w:rPr>
      <w:sz w:val="20"/>
      <w:szCs w:val="24"/>
    </w:rPr>
  </w:style>
  <w:style w:type="character" w:customStyle="1" w:styleId="TableTextChar">
    <w:name w:val="TableText Char"/>
    <w:basedOn w:val="DefaultParagraphFont"/>
    <w:link w:val="TableText"/>
    <w:locked/>
    <w:rsid w:val="00954AD6"/>
    <w:rPr>
      <w:rFonts w:ascii="Arial" w:hAnsi="Arial" w:cs="Times New Roman"/>
      <w:sz w:val="24"/>
      <w:szCs w:val="24"/>
      <w:lang w:eastAsia="en-US"/>
    </w:rPr>
  </w:style>
  <w:style w:type="paragraph" w:customStyle="1" w:styleId="Bullet">
    <w:name w:val="Bullet"/>
    <w:basedOn w:val="Normal"/>
    <w:link w:val="BulletChar"/>
    <w:rsid w:val="00954AD6"/>
    <w:pPr>
      <w:numPr>
        <w:numId w:val="3"/>
      </w:numPr>
      <w:spacing w:line="360" w:lineRule="auto"/>
    </w:pPr>
    <w:rPr>
      <w:rFonts w:cs="Arial"/>
    </w:rPr>
  </w:style>
  <w:style w:type="character" w:customStyle="1" w:styleId="BulletChar">
    <w:name w:val="Bullet Char"/>
    <w:basedOn w:val="TableTextChar"/>
    <w:link w:val="Bullet"/>
    <w:locked/>
    <w:rsid w:val="00954AD6"/>
    <w:rPr>
      <w:rFonts w:cs="Arial"/>
      <w:sz w:val="22"/>
      <w:szCs w:val="22"/>
    </w:rPr>
  </w:style>
  <w:style w:type="paragraph" w:customStyle="1" w:styleId="Dash">
    <w:name w:val="Dash"/>
    <w:basedOn w:val="Normal"/>
    <w:link w:val="DashChar"/>
    <w:rsid w:val="00954AD6"/>
    <w:pPr>
      <w:numPr>
        <w:ilvl w:val="1"/>
        <w:numId w:val="3"/>
      </w:numPr>
      <w:spacing w:line="360" w:lineRule="auto"/>
    </w:pPr>
    <w:rPr>
      <w:rFonts w:cs="Arial"/>
    </w:rPr>
  </w:style>
  <w:style w:type="character" w:customStyle="1" w:styleId="DashChar">
    <w:name w:val="Dash Char"/>
    <w:basedOn w:val="TableTextChar"/>
    <w:link w:val="Dash"/>
    <w:locked/>
    <w:rsid w:val="00954AD6"/>
    <w:rPr>
      <w:rFonts w:cs="Arial"/>
      <w:sz w:val="22"/>
      <w:szCs w:val="22"/>
    </w:rPr>
  </w:style>
  <w:style w:type="paragraph" w:customStyle="1" w:styleId="DoubleDot">
    <w:name w:val="Double Dot"/>
    <w:basedOn w:val="Normal"/>
    <w:link w:val="DoubleDotChar"/>
    <w:rsid w:val="00954AD6"/>
    <w:pPr>
      <w:numPr>
        <w:ilvl w:val="2"/>
        <w:numId w:val="3"/>
      </w:numPr>
      <w:spacing w:line="360" w:lineRule="auto"/>
    </w:pPr>
    <w:rPr>
      <w:rFonts w:cs="Arial"/>
    </w:rPr>
  </w:style>
  <w:style w:type="character" w:customStyle="1" w:styleId="DoubleDotChar">
    <w:name w:val="Double Dot Char"/>
    <w:basedOn w:val="TableTextChar"/>
    <w:link w:val="DoubleDot"/>
    <w:locked/>
    <w:rsid w:val="00954AD6"/>
    <w:rPr>
      <w:rFonts w:cs="Arial"/>
      <w:sz w:val="22"/>
      <w:szCs w:val="22"/>
    </w:rPr>
  </w:style>
  <w:style w:type="paragraph" w:styleId="BalloonText">
    <w:name w:val="Balloon Text"/>
    <w:basedOn w:val="Normal"/>
    <w:link w:val="BalloonTextChar"/>
    <w:uiPriority w:val="99"/>
    <w:semiHidden/>
    <w:unhideWhenUsed/>
    <w:rsid w:val="0023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2E0"/>
    <w:rPr>
      <w:rFonts w:ascii="Tahoma" w:hAnsi="Tahoma" w:cs="Tahoma"/>
      <w:sz w:val="16"/>
      <w:szCs w:val="16"/>
      <w:lang w:eastAsia="en-US"/>
    </w:rPr>
  </w:style>
  <w:style w:type="character" w:styleId="Hyperlink">
    <w:name w:val="Hyperlink"/>
    <w:basedOn w:val="DefaultParagraphFont"/>
    <w:uiPriority w:val="99"/>
    <w:unhideWhenUsed/>
    <w:rsid w:val="007C5C8D"/>
    <w:rPr>
      <w:color w:val="0000FF" w:themeColor="hyperlink"/>
      <w:u w:val="single"/>
    </w:rPr>
  </w:style>
  <w:style w:type="paragraph" w:styleId="NoSpacing">
    <w:name w:val="No Spacing"/>
    <w:uiPriority w:val="1"/>
    <w:qFormat/>
    <w:rsid w:val="0019291C"/>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rsid w:val="0019291C"/>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9291C"/>
    <w:rPr>
      <w:rFonts w:eastAsia="Calibri"/>
      <w:lang w:eastAsia="en-US"/>
    </w:rPr>
  </w:style>
  <w:style w:type="character" w:styleId="FootnoteReference">
    <w:name w:val="footnote reference"/>
    <w:basedOn w:val="DefaultParagraphFont"/>
    <w:uiPriority w:val="99"/>
    <w:semiHidden/>
    <w:rsid w:val="0019291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ksafe.com.au" TargetMode="External"/><Relationship Id="rId5" Type="http://schemas.openxmlformats.org/officeDocument/2006/relationships/webSettings" Target="webSettings.xml"/><Relationship Id="rId10" Type="http://schemas.openxmlformats.org/officeDocument/2006/relationships/hyperlink" Target="mailto:bill.mckinley@truck.net.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D0E4-DEAB-483C-835F-C8B0E7FF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dcc064;Bill McKinley</dc:creator>
  <cp:lastModifiedBy>angelika.poulson</cp:lastModifiedBy>
  <cp:revision>2</cp:revision>
  <cp:lastPrinted>2011-12-06T05:23:00Z</cp:lastPrinted>
  <dcterms:created xsi:type="dcterms:W3CDTF">2011-12-06T23:14:00Z</dcterms:created>
  <dcterms:modified xsi:type="dcterms:W3CDTF">2011-12-06T23:14:00Z</dcterms:modified>
</cp:coreProperties>
</file>