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F8" w:rsidRPr="008D57F8" w:rsidRDefault="008D57F8" w:rsidP="00431A02">
      <w:pPr>
        <w:pStyle w:val="NoSpacing"/>
        <w:jc w:val="center"/>
        <w:rPr>
          <w:rFonts w:ascii="Arial" w:hAnsi="Arial" w:cs="Arial"/>
          <w:color w:val="auto"/>
          <w:sz w:val="22"/>
          <w:szCs w:val="22"/>
        </w:rPr>
      </w:pPr>
      <w:bookmarkStart w:id="0" w:name="_GoBack"/>
      <w:bookmarkEnd w:id="0"/>
      <w:r>
        <w:rPr>
          <w:rFonts w:ascii="Arial" w:hAnsi="Arial" w:cs="Arial"/>
          <w:noProof/>
          <w:color w:val="auto"/>
          <w:sz w:val="22"/>
          <w:szCs w:val="22"/>
        </w:rPr>
        <w:drawing>
          <wp:inline distT="0" distB="0" distL="0" distR="0">
            <wp:extent cx="1150358" cy="555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 Logo Mono 2015.png"/>
                    <pic:cNvPicPr/>
                  </pic:nvPicPr>
                  <pic:blipFill>
                    <a:blip r:embed="rId8">
                      <a:extLst>
                        <a:ext uri="{28A0092B-C50C-407E-A947-70E740481C1C}">
                          <a14:useLocalDpi xmlns:a14="http://schemas.microsoft.com/office/drawing/2010/main" val="0"/>
                        </a:ext>
                      </a:extLst>
                    </a:blip>
                    <a:stretch>
                      <a:fillRect/>
                    </a:stretch>
                  </pic:blipFill>
                  <pic:spPr>
                    <a:xfrm>
                      <a:off x="0" y="0"/>
                      <a:ext cx="1168774" cy="564838"/>
                    </a:xfrm>
                    <a:prstGeom prst="rect">
                      <a:avLst/>
                    </a:prstGeom>
                  </pic:spPr>
                </pic:pic>
              </a:graphicData>
            </a:graphic>
          </wp:inline>
        </w:drawing>
      </w:r>
    </w:p>
    <w:p w:rsidR="008D57F8" w:rsidRPr="008D57F8" w:rsidRDefault="008D57F8" w:rsidP="00431A02">
      <w:pPr>
        <w:pStyle w:val="NoSpacing"/>
        <w:jc w:val="center"/>
        <w:rPr>
          <w:rFonts w:ascii="Arial" w:hAnsi="Arial" w:cs="Arial"/>
          <w:color w:val="auto"/>
          <w:sz w:val="22"/>
          <w:szCs w:val="22"/>
        </w:rPr>
      </w:pPr>
    </w:p>
    <w:p w:rsidR="0009785A" w:rsidRDefault="00545BFF" w:rsidP="00431A02">
      <w:pPr>
        <w:pStyle w:val="NoSpacing"/>
        <w:jc w:val="center"/>
        <w:rPr>
          <w:rFonts w:ascii="Arial" w:hAnsi="Arial" w:cs="Arial"/>
          <w:b/>
          <w:color w:val="auto"/>
          <w:sz w:val="22"/>
          <w:szCs w:val="22"/>
        </w:rPr>
      </w:pPr>
      <w:r>
        <w:rPr>
          <w:rFonts w:ascii="Arial" w:hAnsi="Arial" w:cs="Arial"/>
          <w:b/>
          <w:color w:val="auto"/>
          <w:sz w:val="22"/>
          <w:szCs w:val="22"/>
        </w:rPr>
        <w:t xml:space="preserve">EXECUTIVE OFFICER DUE DILIGENCE OBLIGATION </w:t>
      </w:r>
      <w:r w:rsidR="00AE3B7D">
        <w:rPr>
          <w:rFonts w:ascii="Arial" w:hAnsi="Arial" w:cs="Arial"/>
          <w:b/>
          <w:color w:val="auto"/>
          <w:sz w:val="22"/>
          <w:szCs w:val="22"/>
        </w:rPr>
        <w:t xml:space="preserve">CONSULTATION </w:t>
      </w:r>
      <w:r>
        <w:rPr>
          <w:rFonts w:ascii="Arial" w:hAnsi="Arial" w:cs="Arial"/>
          <w:b/>
          <w:color w:val="auto"/>
          <w:sz w:val="22"/>
          <w:szCs w:val="22"/>
        </w:rPr>
        <w:t>RIS</w:t>
      </w:r>
    </w:p>
    <w:p w:rsidR="00AC2EB5" w:rsidRDefault="00AC2EB5" w:rsidP="00431A02">
      <w:pPr>
        <w:pStyle w:val="NoSpacing"/>
        <w:jc w:val="center"/>
        <w:rPr>
          <w:rFonts w:ascii="Arial" w:hAnsi="Arial" w:cs="Arial"/>
          <w:b/>
          <w:color w:val="auto"/>
          <w:sz w:val="22"/>
          <w:szCs w:val="22"/>
        </w:rPr>
      </w:pPr>
      <w:r>
        <w:rPr>
          <w:rFonts w:ascii="Arial" w:hAnsi="Arial" w:cs="Arial"/>
          <w:b/>
          <w:color w:val="auto"/>
          <w:sz w:val="22"/>
          <w:szCs w:val="22"/>
        </w:rPr>
        <w:t>AUSTRALIAN TRUCKING ASSOCIATION RESPONSE</w:t>
      </w:r>
    </w:p>
    <w:p w:rsidR="008D57F8" w:rsidRDefault="00545BFF" w:rsidP="00431A02">
      <w:pPr>
        <w:pStyle w:val="NoSpacing"/>
        <w:jc w:val="center"/>
        <w:rPr>
          <w:rFonts w:ascii="Arial" w:hAnsi="Arial" w:cs="Arial"/>
          <w:b/>
          <w:color w:val="auto"/>
          <w:sz w:val="22"/>
          <w:szCs w:val="22"/>
        </w:rPr>
      </w:pPr>
      <w:r>
        <w:rPr>
          <w:rFonts w:ascii="Arial" w:hAnsi="Arial" w:cs="Arial"/>
          <w:b/>
          <w:color w:val="auto"/>
          <w:sz w:val="22"/>
          <w:szCs w:val="22"/>
        </w:rPr>
        <w:t>22</w:t>
      </w:r>
      <w:r w:rsidR="008D57F8">
        <w:rPr>
          <w:rFonts w:ascii="Arial" w:hAnsi="Arial" w:cs="Arial"/>
          <w:b/>
          <w:color w:val="auto"/>
          <w:sz w:val="22"/>
          <w:szCs w:val="22"/>
        </w:rPr>
        <w:t xml:space="preserve"> APRIL 2016</w:t>
      </w:r>
    </w:p>
    <w:p w:rsidR="008D57F8" w:rsidRPr="00431A02" w:rsidRDefault="008D57F8" w:rsidP="00431A02">
      <w:pPr>
        <w:pStyle w:val="NoSpacing"/>
        <w:jc w:val="center"/>
        <w:rPr>
          <w:rFonts w:ascii="Arial" w:hAnsi="Arial" w:cs="Arial"/>
          <w:b/>
          <w:color w:val="auto"/>
          <w:sz w:val="22"/>
          <w:szCs w:val="22"/>
        </w:rPr>
      </w:pPr>
    </w:p>
    <w:p w:rsidR="00AC2EB5" w:rsidRDefault="00AC2EB5" w:rsidP="0009785A">
      <w:pPr>
        <w:pStyle w:val="NoSpacing"/>
        <w:rPr>
          <w:rFonts w:ascii="Arial" w:hAnsi="Arial" w:cs="Arial"/>
          <w:color w:val="auto"/>
          <w:sz w:val="22"/>
          <w:szCs w:val="22"/>
        </w:rPr>
      </w:pPr>
    </w:p>
    <w:p w:rsidR="00431A02" w:rsidRPr="00ED6E9A" w:rsidRDefault="000E7586" w:rsidP="0009785A">
      <w:pPr>
        <w:pStyle w:val="NoSpacing"/>
        <w:rPr>
          <w:rFonts w:ascii="Arial" w:hAnsi="Arial" w:cs="Arial"/>
          <w:b/>
          <w:color w:val="auto"/>
          <w:sz w:val="24"/>
          <w:szCs w:val="24"/>
        </w:rPr>
      </w:pPr>
      <w:r w:rsidRPr="00ED6E9A">
        <w:rPr>
          <w:rFonts w:ascii="Arial" w:hAnsi="Arial" w:cs="Arial"/>
          <w:b/>
          <w:color w:val="auto"/>
          <w:sz w:val="24"/>
          <w:szCs w:val="24"/>
        </w:rPr>
        <w:t>Introduction</w:t>
      </w:r>
    </w:p>
    <w:p w:rsidR="00431A02" w:rsidRDefault="00431A02" w:rsidP="0009785A">
      <w:pPr>
        <w:pStyle w:val="NoSpacing"/>
        <w:rPr>
          <w:rFonts w:ascii="Arial" w:hAnsi="Arial" w:cs="Arial"/>
          <w:color w:val="auto"/>
          <w:sz w:val="22"/>
          <w:szCs w:val="22"/>
        </w:rPr>
      </w:pPr>
    </w:p>
    <w:p w:rsidR="00545BFF" w:rsidRDefault="00545BFF" w:rsidP="0009785A">
      <w:pPr>
        <w:pStyle w:val="NoSpacing"/>
        <w:rPr>
          <w:rFonts w:ascii="Arial" w:hAnsi="Arial" w:cs="Arial"/>
          <w:color w:val="auto"/>
          <w:sz w:val="22"/>
          <w:szCs w:val="22"/>
        </w:rPr>
      </w:pPr>
      <w:r>
        <w:rPr>
          <w:rFonts w:ascii="Arial" w:hAnsi="Arial" w:cs="Arial"/>
          <w:color w:val="auto"/>
          <w:sz w:val="22"/>
          <w:szCs w:val="22"/>
        </w:rPr>
        <w:t xml:space="preserve">In November 2015, transport ministers agreed to series of reforms to the Heavy Vehicle National Law (HVNL), including the introduction of a </w:t>
      </w:r>
      <w:r w:rsidR="00ED6E9A">
        <w:rPr>
          <w:rFonts w:ascii="Arial" w:hAnsi="Arial" w:cs="Arial"/>
          <w:color w:val="auto"/>
          <w:sz w:val="22"/>
          <w:szCs w:val="22"/>
        </w:rPr>
        <w:t xml:space="preserve">positive </w:t>
      </w:r>
      <w:r>
        <w:rPr>
          <w:rFonts w:ascii="Arial" w:hAnsi="Arial" w:cs="Arial"/>
          <w:color w:val="auto"/>
          <w:sz w:val="22"/>
          <w:szCs w:val="22"/>
        </w:rPr>
        <w:t>due diligence obligation for executive officers to ensu</w:t>
      </w:r>
      <w:r w:rsidR="00ED6E9A">
        <w:rPr>
          <w:rFonts w:ascii="Arial" w:hAnsi="Arial" w:cs="Arial"/>
          <w:color w:val="auto"/>
          <w:sz w:val="22"/>
          <w:szCs w:val="22"/>
        </w:rPr>
        <w:t>re chain parties comply with their primary safety duty</w:t>
      </w:r>
      <w:r>
        <w:rPr>
          <w:rFonts w:ascii="Arial" w:hAnsi="Arial" w:cs="Arial"/>
          <w:color w:val="auto"/>
          <w:sz w:val="22"/>
          <w:szCs w:val="22"/>
        </w:rPr>
        <w:t>.</w:t>
      </w:r>
    </w:p>
    <w:p w:rsidR="00545BFF" w:rsidRDefault="00545BFF" w:rsidP="0009785A">
      <w:pPr>
        <w:pStyle w:val="NoSpacing"/>
        <w:rPr>
          <w:rFonts w:ascii="Arial" w:hAnsi="Arial" w:cs="Arial"/>
          <w:color w:val="auto"/>
          <w:sz w:val="22"/>
          <w:szCs w:val="22"/>
        </w:rPr>
      </w:pPr>
    </w:p>
    <w:p w:rsidR="00545BFF" w:rsidRDefault="00545BFF" w:rsidP="0009785A">
      <w:pPr>
        <w:pStyle w:val="NoSpacing"/>
        <w:rPr>
          <w:rFonts w:ascii="Arial" w:hAnsi="Arial" w:cs="Arial"/>
          <w:color w:val="auto"/>
          <w:sz w:val="22"/>
          <w:szCs w:val="22"/>
        </w:rPr>
      </w:pPr>
      <w:r>
        <w:rPr>
          <w:rFonts w:ascii="Arial" w:hAnsi="Arial" w:cs="Arial"/>
          <w:color w:val="auto"/>
          <w:sz w:val="22"/>
          <w:szCs w:val="22"/>
        </w:rPr>
        <w:t xml:space="preserve">Ministers </w:t>
      </w:r>
      <w:r w:rsidR="00D5370A">
        <w:rPr>
          <w:rFonts w:ascii="Arial" w:hAnsi="Arial" w:cs="Arial"/>
          <w:color w:val="auto"/>
          <w:sz w:val="22"/>
          <w:szCs w:val="22"/>
        </w:rPr>
        <w:t xml:space="preserve">also </w:t>
      </w:r>
      <w:r>
        <w:rPr>
          <w:rFonts w:ascii="Arial" w:hAnsi="Arial" w:cs="Arial"/>
          <w:color w:val="auto"/>
          <w:sz w:val="22"/>
          <w:szCs w:val="22"/>
        </w:rPr>
        <w:t xml:space="preserve">agreed to </w:t>
      </w:r>
      <w:r w:rsidR="00ED6E9A">
        <w:rPr>
          <w:rFonts w:ascii="Arial" w:hAnsi="Arial" w:cs="Arial"/>
          <w:color w:val="auto"/>
          <w:sz w:val="22"/>
          <w:szCs w:val="22"/>
        </w:rPr>
        <w:t>extend the executive officer due diligence obligation to include any person with a duty or obligation under the HV</w:t>
      </w:r>
      <w:r w:rsidR="00D5370A">
        <w:rPr>
          <w:rFonts w:ascii="Arial" w:hAnsi="Arial" w:cs="Arial"/>
          <w:color w:val="auto"/>
          <w:sz w:val="22"/>
          <w:szCs w:val="22"/>
        </w:rPr>
        <w:t>NL, subject to the outcomes of the</w:t>
      </w:r>
      <w:r w:rsidR="00ED6E9A">
        <w:rPr>
          <w:rFonts w:ascii="Arial" w:hAnsi="Arial" w:cs="Arial"/>
          <w:color w:val="auto"/>
          <w:sz w:val="22"/>
          <w:szCs w:val="22"/>
        </w:rPr>
        <w:t xml:space="preserve"> RIS</w:t>
      </w:r>
      <w:r w:rsidR="00D5370A">
        <w:rPr>
          <w:rFonts w:ascii="Arial" w:hAnsi="Arial" w:cs="Arial"/>
          <w:color w:val="auto"/>
          <w:sz w:val="22"/>
          <w:szCs w:val="22"/>
        </w:rPr>
        <w:t xml:space="preserve"> under consideration in this submission.</w:t>
      </w:r>
      <w:r w:rsidR="00ED6E9A">
        <w:rPr>
          <w:rStyle w:val="FootnoteReference"/>
          <w:rFonts w:ascii="Arial" w:hAnsi="Arial"/>
          <w:color w:val="auto"/>
          <w:sz w:val="22"/>
          <w:szCs w:val="22"/>
        </w:rPr>
        <w:footnoteReference w:id="1"/>
      </w:r>
    </w:p>
    <w:p w:rsidR="00545BFF" w:rsidRDefault="00545BFF" w:rsidP="0009785A">
      <w:pPr>
        <w:pStyle w:val="NoSpacing"/>
        <w:rPr>
          <w:rFonts w:ascii="Arial" w:hAnsi="Arial" w:cs="Arial"/>
          <w:color w:val="auto"/>
          <w:sz w:val="22"/>
          <w:szCs w:val="22"/>
        </w:rPr>
      </w:pPr>
    </w:p>
    <w:p w:rsidR="00282E12" w:rsidRPr="00282E12" w:rsidRDefault="00545BFF" w:rsidP="00282E12">
      <w:pPr>
        <w:pStyle w:val="NoSpacing"/>
        <w:rPr>
          <w:rFonts w:ascii="Arial" w:hAnsi="Arial" w:cs="Arial"/>
          <w:color w:val="auto"/>
          <w:sz w:val="22"/>
          <w:szCs w:val="22"/>
        </w:rPr>
      </w:pPr>
      <w:r>
        <w:rPr>
          <w:rFonts w:ascii="Arial" w:hAnsi="Arial" w:cs="Arial"/>
          <w:color w:val="auto"/>
          <w:sz w:val="22"/>
          <w:szCs w:val="22"/>
        </w:rPr>
        <w:t xml:space="preserve">The </w:t>
      </w:r>
      <w:r w:rsidR="00AE3B7D">
        <w:rPr>
          <w:rFonts w:ascii="Arial" w:hAnsi="Arial" w:cs="Arial"/>
          <w:color w:val="auto"/>
          <w:sz w:val="22"/>
          <w:szCs w:val="22"/>
        </w:rPr>
        <w:t>RIS examines four options</w:t>
      </w:r>
      <w:r w:rsidR="00282E12" w:rsidRPr="00282E12">
        <w:rPr>
          <w:rFonts w:ascii="Arial" w:hAnsi="Arial" w:cs="Arial"/>
          <w:color w:val="auto"/>
          <w:sz w:val="22"/>
          <w:szCs w:val="22"/>
        </w:rPr>
        <w:t>:</w:t>
      </w:r>
    </w:p>
    <w:p w:rsidR="00282E12" w:rsidRPr="00282E12" w:rsidRDefault="00282E12" w:rsidP="00282E12">
      <w:pPr>
        <w:pStyle w:val="NoSpacing"/>
        <w:rPr>
          <w:rFonts w:ascii="Arial" w:hAnsi="Arial" w:cs="Arial"/>
          <w:color w:val="auto"/>
          <w:sz w:val="22"/>
          <w:szCs w:val="22"/>
        </w:rPr>
      </w:pPr>
      <w:r w:rsidRPr="00282E12">
        <w:rPr>
          <w:rFonts w:ascii="Arial" w:hAnsi="Arial" w:cs="Arial"/>
          <w:color w:val="auto"/>
          <w:sz w:val="22"/>
          <w:szCs w:val="22"/>
        </w:rPr>
        <w:t xml:space="preserve"> </w:t>
      </w:r>
    </w:p>
    <w:p w:rsidR="00282E12" w:rsidRPr="00282E12" w:rsidRDefault="00282E12" w:rsidP="00864EFE">
      <w:pPr>
        <w:pStyle w:val="NoSpacing"/>
        <w:numPr>
          <w:ilvl w:val="0"/>
          <w:numId w:val="3"/>
        </w:numPr>
        <w:rPr>
          <w:rFonts w:ascii="Arial" w:hAnsi="Arial" w:cs="Arial"/>
          <w:color w:val="auto"/>
          <w:sz w:val="22"/>
          <w:szCs w:val="22"/>
        </w:rPr>
      </w:pPr>
      <w:r w:rsidRPr="00282E12">
        <w:rPr>
          <w:rFonts w:ascii="Arial" w:hAnsi="Arial" w:cs="Arial"/>
          <w:color w:val="auto"/>
          <w:sz w:val="22"/>
          <w:szCs w:val="22"/>
        </w:rPr>
        <w:t>Impose a positive due diligence obligation on executives in relation to CoR issues; executive officer liability for non-CoR offences would not be changed, although the burden of proof for the remaining offences listed in column 3 of schedule 4 would be imposed on the prosecution</w:t>
      </w:r>
    </w:p>
    <w:p w:rsidR="00282E12" w:rsidRPr="00282E12" w:rsidRDefault="00282E12" w:rsidP="00864EFE">
      <w:pPr>
        <w:pStyle w:val="NoSpacing"/>
        <w:numPr>
          <w:ilvl w:val="0"/>
          <w:numId w:val="3"/>
        </w:numPr>
        <w:rPr>
          <w:rFonts w:ascii="Arial" w:hAnsi="Arial" w:cs="Arial"/>
          <w:color w:val="auto"/>
          <w:sz w:val="22"/>
          <w:szCs w:val="22"/>
        </w:rPr>
      </w:pPr>
      <w:r w:rsidRPr="00282E12">
        <w:rPr>
          <w:rFonts w:ascii="Arial" w:hAnsi="Arial" w:cs="Arial"/>
          <w:color w:val="auto"/>
          <w:sz w:val="22"/>
          <w:szCs w:val="22"/>
        </w:rPr>
        <w:t>Remove executive officer liability for all non-CoR offences</w:t>
      </w:r>
    </w:p>
    <w:p w:rsidR="00282E12" w:rsidRPr="00282E12" w:rsidRDefault="00282E12" w:rsidP="00864EFE">
      <w:pPr>
        <w:pStyle w:val="NoSpacing"/>
        <w:numPr>
          <w:ilvl w:val="0"/>
          <w:numId w:val="3"/>
        </w:numPr>
        <w:rPr>
          <w:rFonts w:ascii="Arial" w:hAnsi="Arial" w:cs="Arial"/>
          <w:color w:val="auto"/>
          <w:sz w:val="22"/>
          <w:szCs w:val="22"/>
        </w:rPr>
      </w:pPr>
      <w:r w:rsidRPr="00282E12">
        <w:rPr>
          <w:rFonts w:ascii="Arial" w:hAnsi="Arial" w:cs="Arial"/>
          <w:color w:val="auto"/>
          <w:sz w:val="22"/>
          <w:szCs w:val="22"/>
        </w:rPr>
        <w:t>Extend the due diligence obligation for CoR offences to cover the non-CoR offences listed in the schedule</w:t>
      </w:r>
    </w:p>
    <w:p w:rsidR="00545BFF" w:rsidRDefault="00282E12" w:rsidP="00864EFE">
      <w:pPr>
        <w:pStyle w:val="NoSpacing"/>
        <w:numPr>
          <w:ilvl w:val="0"/>
          <w:numId w:val="3"/>
        </w:numPr>
        <w:rPr>
          <w:rFonts w:ascii="Arial" w:hAnsi="Arial" w:cs="Arial"/>
          <w:color w:val="auto"/>
          <w:sz w:val="22"/>
          <w:szCs w:val="22"/>
        </w:rPr>
      </w:pPr>
      <w:r w:rsidRPr="00282E12">
        <w:rPr>
          <w:rFonts w:ascii="Arial" w:hAnsi="Arial" w:cs="Arial"/>
          <w:color w:val="auto"/>
          <w:sz w:val="22"/>
          <w:szCs w:val="22"/>
        </w:rPr>
        <w:t>Extend the due diligence obligation to cover the executive officers of any party with a duty or obligation</w:t>
      </w:r>
      <w:r w:rsidR="00ED6E9A">
        <w:rPr>
          <w:rFonts w:ascii="Arial" w:hAnsi="Arial" w:cs="Arial"/>
          <w:color w:val="auto"/>
          <w:sz w:val="22"/>
          <w:szCs w:val="22"/>
        </w:rPr>
        <w:t xml:space="preserve"> under the HVNL.</w:t>
      </w:r>
      <w:r w:rsidR="00ED6E9A">
        <w:rPr>
          <w:rStyle w:val="FootnoteReference"/>
          <w:rFonts w:ascii="Arial" w:hAnsi="Arial"/>
          <w:color w:val="auto"/>
          <w:sz w:val="22"/>
          <w:szCs w:val="22"/>
        </w:rPr>
        <w:footnoteReference w:id="2"/>
      </w:r>
    </w:p>
    <w:p w:rsidR="00277912" w:rsidRDefault="00277912" w:rsidP="0009785A">
      <w:pPr>
        <w:pStyle w:val="NoSpacing"/>
        <w:rPr>
          <w:rFonts w:ascii="Arial" w:hAnsi="Arial" w:cs="Arial"/>
          <w:color w:val="auto"/>
          <w:sz w:val="22"/>
          <w:szCs w:val="22"/>
        </w:rPr>
      </w:pPr>
    </w:p>
    <w:p w:rsidR="00277912" w:rsidRDefault="00277912" w:rsidP="0009785A">
      <w:pPr>
        <w:pStyle w:val="NoSpacing"/>
        <w:rPr>
          <w:rFonts w:ascii="Arial" w:hAnsi="Arial" w:cs="Arial"/>
          <w:color w:val="auto"/>
          <w:sz w:val="22"/>
          <w:szCs w:val="22"/>
        </w:rPr>
      </w:pPr>
    </w:p>
    <w:p w:rsidR="00545BFF" w:rsidRPr="00ED6E9A" w:rsidRDefault="00ED6E9A" w:rsidP="0009785A">
      <w:pPr>
        <w:pStyle w:val="NoSpacing"/>
        <w:rPr>
          <w:rFonts w:ascii="Arial" w:hAnsi="Arial" w:cs="Arial"/>
          <w:b/>
          <w:color w:val="auto"/>
          <w:sz w:val="24"/>
          <w:szCs w:val="24"/>
        </w:rPr>
      </w:pPr>
      <w:r w:rsidRPr="00ED6E9A">
        <w:rPr>
          <w:rFonts w:ascii="Arial" w:hAnsi="Arial" w:cs="Arial"/>
          <w:b/>
          <w:color w:val="auto"/>
          <w:sz w:val="24"/>
          <w:szCs w:val="24"/>
        </w:rPr>
        <w:t>ATA a</w:t>
      </w:r>
      <w:r w:rsidR="00545BFF" w:rsidRPr="00ED6E9A">
        <w:rPr>
          <w:rFonts w:ascii="Arial" w:hAnsi="Arial" w:cs="Arial"/>
          <w:b/>
          <w:color w:val="auto"/>
          <w:sz w:val="24"/>
          <w:szCs w:val="24"/>
        </w:rPr>
        <w:t>ssessment of options</w:t>
      </w:r>
    </w:p>
    <w:p w:rsidR="00545BFF" w:rsidRDefault="00545BFF" w:rsidP="0009785A">
      <w:pPr>
        <w:pStyle w:val="NoSpacing"/>
        <w:rPr>
          <w:rFonts w:ascii="Arial" w:hAnsi="Arial" w:cs="Arial"/>
          <w:color w:val="auto"/>
          <w:sz w:val="22"/>
          <w:szCs w:val="22"/>
        </w:rPr>
      </w:pPr>
    </w:p>
    <w:p w:rsidR="00FC0BC1" w:rsidRPr="00ED6E9A" w:rsidRDefault="00FC0BC1" w:rsidP="0009785A">
      <w:pPr>
        <w:pStyle w:val="NoSpacing"/>
        <w:rPr>
          <w:rFonts w:ascii="Arial" w:hAnsi="Arial" w:cs="Arial"/>
          <w:b/>
          <w:color w:val="auto"/>
          <w:sz w:val="22"/>
          <w:szCs w:val="22"/>
        </w:rPr>
      </w:pPr>
      <w:r w:rsidRPr="00ED6E9A">
        <w:rPr>
          <w:rFonts w:ascii="Arial" w:hAnsi="Arial" w:cs="Arial"/>
          <w:b/>
          <w:color w:val="auto"/>
          <w:sz w:val="22"/>
          <w:szCs w:val="22"/>
        </w:rPr>
        <w:t>Option 1</w:t>
      </w:r>
    </w:p>
    <w:p w:rsidR="00FC0BC1" w:rsidRDefault="00FC0BC1" w:rsidP="0009785A">
      <w:pPr>
        <w:pStyle w:val="NoSpacing"/>
        <w:rPr>
          <w:rFonts w:ascii="Arial" w:hAnsi="Arial" w:cs="Arial"/>
          <w:color w:val="auto"/>
          <w:sz w:val="22"/>
          <w:szCs w:val="22"/>
        </w:rPr>
      </w:pPr>
    </w:p>
    <w:p w:rsidR="00D675C5" w:rsidRDefault="005B5BBD" w:rsidP="0009785A">
      <w:pPr>
        <w:pStyle w:val="NoSpacing"/>
        <w:rPr>
          <w:rFonts w:ascii="Arial" w:hAnsi="Arial" w:cs="Arial"/>
          <w:color w:val="auto"/>
          <w:sz w:val="22"/>
          <w:szCs w:val="22"/>
        </w:rPr>
      </w:pPr>
      <w:r>
        <w:rPr>
          <w:rFonts w:ascii="Arial" w:hAnsi="Arial" w:cs="Arial"/>
          <w:color w:val="auto"/>
          <w:sz w:val="22"/>
          <w:szCs w:val="22"/>
        </w:rPr>
        <w:t>Under option 1, the HVNL would include two mechanisms for extending liability to executive officers:</w:t>
      </w:r>
    </w:p>
    <w:p w:rsidR="005B5BBD" w:rsidRDefault="005B5BBD" w:rsidP="0009785A">
      <w:pPr>
        <w:pStyle w:val="NoSpacing"/>
        <w:rPr>
          <w:rFonts w:ascii="Arial" w:hAnsi="Arial" w:cs="Arial"/>
          <w:color w:val="auto"/>
          <w:sz w:val="22"/>
          <w:szCs w:val="22"/>
        </w:rPr>
      </w:pPr>
    </w:p>
    <w:p w:rsidR="005B5BBD" w:rsidRDefault="005B5BBD" w:rsidP="00864EFE">
      <w:pPr>
        <w:pStyle w:val="NoSpacing"/>
        <w:numPr>
          <w:ilvl w:val="0"/>
          <w:numId w:val="4"/>
        </w:numPr>
        <w:rPr>
          <w:rFonts w:ascii="Arial" w:hAnsi="Arial" w:cs="Arial"/>
          <w:color w:val="auto"/>
          <w:sz w:val="22"/>
          <w:szCs w:val="22"/>
        </w:rPr>
      </w:pPr>
      <w:r>
        <w:rPr>
          <w:rFonts w:ascii="Arial" w:hAnsi="Arial" w:cs="Arial"/>
          <w:color w:val="auto"/>
          <w:sz w:val="22"/>
          <w:szCs w:val="22"/>
        </w:rPr>
        <w:t xml:space="preserve">a </w:t>
      </w:r>
      <w:r w:rsidR="0009295E">
        <w:rPr>
          <w:rFonts w:ascii="Arial" w:hAnsi="Arial" w:cs="Arial"/>
          <w:color w:val="auto"/>
          <w:sz w:val="22"/>
          <w:szCs w:val="22"/>
        </w:rPr>
        <w:t xml:space="preserve">positive </w:t>
      </w:r>
      <w:r>
        <w:rPr>
          <w:rFonts w:ascii="Arial" w:hAnsi="Arial" w:cs="Arial"/>
          <w:color w:val="auto"/>
          <w:sz w:val="22"/>
          <w:szCs w:val="22"/>
        </w:rPr>
        <w:t xml:space="preserve">due diligence </w:t>
      </w:r>
      <w:r w:rsidR="0009295E">
        <w:rPr>
          <w:rFonts w:ascii="Arial" w:hAnsi="Arial" w:cs="Arial"/>
          <w:color w:val="auto"/>
          <w:sz w:val="22"/>
          <w:szCs w:val="22"/>
        </w:rPr>
        <w:t xml:space="preserve">obligation for executive officers to ensure chain parties comply with their primary safety duty </w:t>
      </w:r>
      <w:r>
        <w:rPr>
          <w:rFonts w:ascii="Arial" w:hAnsi="Arial" w:cs="Arial"/>
          <w:color w:val="auto"/>
          <w:sz w:val="22"/>
          <w:szCs w:val="22"/>
        </w:rPr>
        <w:t>and</w:t>
      </w:r>
    </w:p>
    <w:p w:rsidR="005B5BBD" w:rsidRDefault="005B5BBD" w:rsidP="00864EFE">
      <w:pPr>
        <w:pStyle w:val="NoSpacing"/>
        <w:numPr>
          <w:ilvl w:val="0"/>
          <w:numId w:val="4"/>
        </w:numPr>
        <w:rPr>
          <w:rFonts w:ascii="Arial" w:hAnsi="Arial" w:cs="Arial"/>
          <w:color w:val="auto"/>
          <w:sz w:val="22"/>
          <w:szCs w:val="22"/>
        </w:rPr>
      </w:pPr>
      <w:proofErr w:type="gramStart"/>
      <w:r>
        <w:rPr>
          <w:rFonts w:ascii="Arial" w:hAnsi="Arial" w:cs="Arial"/>
          <w:color w:val="auto"/>
          <w:sz w:val="22"/>
          <w:szCs w:val="22"/>
        </w:rPr>
        <w:t>a</w:t>
      </w:r>
      <w:proofErr w:type="gramEnd"/>
      <w:r>
        <w:rPr>
          <w:rFonts w:ascii="Arial" w:hAnsi="Arial" w:cs="Arial"/>
          <w:color w:val="auto"/>
          <w:sz w:val="22"/>
          <w:szCs w:val="22"/>
        </w:rPr>
        <w:t xml:space="preserve"> modified version of the existing s</w:t>
      </w:r>
      <w:r w:rsidR="003F3C86">
        <w:rPr>
          <w:rFonts w:ascii="Arial" w:hAnsi="Arial" w:cs="Arial"/>
          <w:color w:val="auto"/>
          <w:sz w:val="22"/>
          <w:szCs w:val="22"/>
        </w:rPr>
        <w:t xml:space="preserve"> </w:t>
      </w:r>
      <w:r>
        <w:rPr>
          <w:rFonts w:ascii="Arial" w:hAnsi="Arial" w:cs="Arial"/>
          <w:color w:val="auto"/>
          <w:sz w:val="22"/>
          <w:szCs w:val="22"/>
        </w:rPr>
        <w:t xml:space="preserve">636(2) approach to executive officer liability, which would apply to </w:t>
      </w:r>
      <w:r w:rsidR="00D5370A">
        <w:rPr>
          <w:rFonts w:ascii="Arial" w:hAnsi="Arial" w:cs="Arial"/>
          <w:color w:val="auto"/>
          <w:sz w:val="22"/>
          <w:szCs w:val="22"/>
        </w:rPr>
        <w:t xml:space="preserve">the </w:t>
      </w:r>
      <w:r>
        <w:rPr>
          <w:rFonts w:ascii="Arial" w:hAnsi="Arial" w:cs="Arial"/>
          <w:color w:val="auto"/>
          <w:sz w:val="22"/>
          <w:szCs w:val="22"/>
        </w:rPr>
        <w:t xml:space="preserve">34 non-CoR offences </w:t>
      </w:r>
      <w:r w:rsidR="00D5370A">
        <w:rPr>
          <w:rFonts w:ascii="Arial" w:hAnsi="Arial" w:cs="Arial"/>
          <w:color w:val="auto"/>
          <w:sz w:val="22"/>
          <w:szCs w:val="22"/>
        </w:rPr>
        <w:t xml:space="preserve">that would be </w:t>
      </w:r>
      <w:r w:rsidR="004408EB">
        <w:rPr>
          <w:rFonts w:ascii="Arial" w:hAnsi="Arial" w:cs="Arial"/>
          <w:color w:val="auto"/>
          <w:sz w:val="22"/>
          <w:szCs w:val="22"/>
        </w:rPr>
        <w:t xml:space="preserve">listed in column 3 of schedule 4 </w:t>
      </w:r>
      <w:r w:rsidR="0009295E">
        <w:rPr>
          <w:rFonts w:ascii="Arial" w:hAnsi="Arial" w:cs="Arial"/>
          <w:color w:val="auto"/>
          <w:sz w:val="22"/>
          <w:szCs w:val="22"/>
        </w:rPr>
        <w:t>only.</w:t>
      </w:r>
    </w:p>
    <w:p w:rsidR="004408EB" w:rsidRDefault="004408EB" w:rsidP="0009785A">
      <w:pPr>
        <w:pStyle w:val="NoSpacing"/>
        <w:rPr>
          <w:rFonts w:ascii="Arial" w:hAnsi="Arial" w:cs="Arial"/>
          <w:color w:val="auto"/>
          <w:sz w:val="22"/>
          <w:szCs w:val="22"/>
        </w:rPr>
      </w:pPr>
    </w:p>
    <w:p w:rsidR="005B5BBD" w:rsidRDefault="004408EB" w:rsidP="0009785A">
      <w:pPr>
        <w:pStyle w:val="NoSpacing"/>
        <w:rPr>
          <w:rFonts w:ascii="Arial" w:hAnsi="Arial" w:cs="Arial"/>
          <w:color w:val="auto"/>
          <w:sz w:val="22"/>
          <w:szCs w:val="22"/>
        </w:rPr>
      </w:pPr>
      <w:r>
        <w:rPr>
          <w:rFonts w:ascii="Arial" w:hAnsi="Arial" w:cs="Arial"/>
          <w:color w:val="auto"/>
          <w:sz w:val="22"/>
          <w:szCs w:val="22"/>
        </w:rPr>
        <w:t>The</w:t>
      </w:r>
      <w:r w:rsidR="007474F8">
        <w:rPr>
          <w:rFonts w:ascii="Arial" w:hAnsi="Arial" w:cs="Arial"/>
          <w:color w:val="auto"/>
          <w:sz w:val="22"/>
          <w:szCs w:val="22"/>
        </w:rPr>
        <w:t xml:space="preserve">re are arguments for and against both these approaches to executive officer liability, but nothing </w:t>
      </w:r>
      <w:r w:rsidR="0009295E">
        <w:rPr>
          <w:rFonts w:ascii="Arial" w:hAnsi="Arial" w:cs="Arial"/>
          <w:color w:val="auto"/>
          <w:sz w:val="22"/>
          <w:szCs w:val="22"/>
        </w:rPr>
        <w:t xml:space="preserve">can be said in favour of </w:t>
      </w:r>
      <w:r w:rsidR="007474F8">
        <w:rPr>
          <w:rFonts w:ascii="Arial" w:hAnsi="Arial" w:cs="Arial"/>
          <w:color w:val="auto"/>
          <w:sz w:val="22"/>
          <w:szCs w:val="22"/>
        </w:rPr>
        <w:t xml:space="preserve">having </w:t>
      </w:r>
      <w:r w:rsidR="00D5370A">
        <w:rPr>
          <w:rFonts w:ascii="Arial" w:hAnsi="Arial" w:cs="Arial"/>
          <w:color w:val="auto"/>
          <w:sz w:val="22"/>
          <w:szCs w:val="22"/>
        </w:rPr>
        <w:t xml:space="preserve">both of them </w:t>
      </w:r>
      <w:r>
        <w:rPr>
          <w:rFonts w:ascii="Arial" w:hAnsi="Arial" w:cs="Arial"/>
          <w:color w:val="auto"/>
          <w:sz w:val="22"/>
          <w:szCs w:val="22"/>
        </w:rPr>
        <w:t xml:space="preserve">in the </w:t>
      </w:r>
      <w:r w:rsidR="007474F8">
        <w:rPr>
          <w:rFonts w:ascii="Arial" w:hAnsi="Arial" w:cs="Arial"/>
          <w:color w:val="auto"/>
          <w:sz w:val="22"/>
          <w:szCs w:val="22"/>
        </w:rPr>
        <w:t>same piece of legislation</w:t>
      </w:r>
      <w:r>
        <w:rPr>
          <w:rFonts w:ascii="Arial" w:hAnsi="Arial" w:cs="Arial"/>
          <w:color w:val="auto"/>
          <w:sz w:val="22"/>
          <w:szCs w:val="22"/>
        </w:rPr>
        <w:t xml:space="preserve">. </w:t>
      </w:r>
      <w:r w:rsidR="007474F8">
        <w:rPr>
          <w:rFonts w:ascii="Arial" w:hAnsi="Arial" w:cs="Arial"/>
          <w:color w:val="auto"/>
          <w:sz w:val="22"/>
          <w:szCs w:val="22"/>
        </w:rPr>
        <w:t>O</w:t>
      </w:r>
      <w:r w:rsidR="008A270C">
        <w:rPr>
          <w:rFonts w:ascii="Arial" w:hAnsi="Arial" w:cs="Arial"/>
          <w:color w:val="auto"/>
          <w:sz w:val="22"/>
          <w:szCs w:val="22"/>
        </w:rPr>
        <w:t xml:space="preserve">ption 1 would </w:t>
      </w:r>
      <w:r w:rsidR="007474F8">
        <w:rPr>
          <w:rFonts w:ascii="Arial" w:hAnsi="Arial" w:cs="Arial"/>
          <w:color w:val="auto"/>
          <w:sz w:val="22"/>
          <w:szCs w:val="22"/>
        </w:rPr>
        <w:t xml:space="preserve">unnecessarily complicate the development of corporate safety </w:t>
      </w:r>
      <w:r w:rsidR="0002124B">
        <w:rPr>
          <w:rFonts w:ascii="Arial" w:hAnsi="Arial" w:cs="Arial"/>
          <w:color w:val="auto"/>
          <w:sz w:val="22"/>
          <w:szCs w:val="22"/>
        </w:rPr>
        <w:t>systems</w:t>
      </w:r>
      <w:r w:rsidR="0009295E">
        <w:rPr>
          <w:rFonts w:ascii="Arial" w:hAnsi="Arial" w:cs="Arial"/>
          <w:color w:val="auto"/>
          <w:sz w:val="22"/>
          <w:szCs w:val="22"/>
        </w:rPr>
        <w:t xml:space="preserve"> and </w:t>
      </w:r>
      <w:r w:rsidR="007474F8">
        <w:rPr>
          <w:rFonts w:ascii="Arial" w:hAnsi="Arial" w:cs="Arial"/>
          <w:color w:val="auto"/>
          <w:sz w:val="22"/>
          <w:szCs w:val="22"/>
        </w:rPr>
        <w:t>should not be adopted.</w:t>
      </w:r>
    </w:p>
    <w:p w:rsidR="007474F8" w:rsidRDefault="007474F8" w:rsidP="0009785A">
      <w:pPr>
        <w:pStyle w:val="NoSpacing"/>
        <w:rPr>
          <w:rFonts w:ascii="Arial" w:hAnsi="Arial" w:cs="Arial"/>
          <w:color w:val="auto"/>
          <w:sz w:val="22"/>
          <w:szCs w:val="22"/>
        </w:rPr>
      </w:pPr>
    </w:p>
    <w:p w:rsidR="008A270C" w:rsidRPr="00545BFF" w:rsidRDefault="008A270C" w:rsidP="0009785A">
      <w:pPr>
        <w:pStyle w:val="NoSpacing"/>
        <w:rPr>
          <w:rFonts w:ascii="Arial" w:hAnsi="Arial" w:cs="Arial"/>
          <w:color w:val="auto"/>
          <w:sz w:val="22"/>
          <w:szCs w:val="22"/>
        </w:rPr>
      </w:pPr>
    </w:p>
    <w:p w:rsidR="00545BFF" w:rsidRPr="00ED6E9A" w:rsidRDefault="00277912" w:rsidP="0009785A">
      <w:pPr>
        <w:pStyle w:val="NoSpacing"/>
        <w:rPr>
          <w:rFonts w:ascii="Arial" w:hAnsi="Arial" w:cs="Arial"/>
          <w:b/>
          <w:color w:val="auto"/>
          <w:sz w:val="22"/>
          <w:szCs w:val="22"/>
        </w:rPr>
      </w:pPr>
      <w:r w:rsidRPr="00ED6E9A">
        <w:rPr>
          <w:rFonts w:ascii="Arial" w:hAnsi="Arial" w:cs="Arial"/>
          <w:b/>
          <w:color w:val="auto"/>
          <w:sz w:val="22"/>
          <w:szCs w:val="22"/>
        </w:rPr>
        <w:t>Option 2</w:t>
      </w:r>
    </w:p>
    <w:p w:rsidR="00545BFF" w:rsidRDefault="00545BFF" w:rsidP="0009785A">
      <w:pPr>
        <w:pStyle w:val="NoSpacing"/>
        <w:rPr>
          <w:rFonts w:ascii="Arial" w:hAnsi="Arial" w:cs="Arial"/>
          <w:color w:val="auto"/>
          <w:sz w:val="22"/>
          <w:szCs w:val="22"/>
        </w:rPr>
      </w:pPr>
    </w:p>
    <w:p w:rsidR="0023754E" w:rsidRDefault="001C62A6" w:rsidP="00277912">
      <w:pPr>
        <w:pStyle w:val="NoSpacing"/>
        <w:rPr>
          <w:rFonts w:ascii="Arial" w:hAnsi="Arial" w:cs="Arial"/>
          <w:color w:val="auto"/>
          <w:sz w:val="22"/>
          <w:szCs w:val="22"/>
        </w:rPr>
      </w:pPr>
      <w:r>
        <w:rPr>
          <w:rFonts w:ascii="Arial" w:hAnsi="Arial" w:cs="Arial"/>
          <w:color w:val="auto"/>
          <w:sz w:val="22"/>
          <w:szCs w:val="22"/>
        </w:rPr>
        <w:t>O</w:t>
      </w:r>
      <w:r w:rsidR="00277912">
        <w:rPr>
          <w:rFonts w:ascii="Arial" w:hAnsi="Arial" w:cs="Arial"/>
          <w:color w:val="auto"/>
          <w:sz w:val="22"/>
          <w:szCs w:val="22"/>
        </w:rPr>
        <w:t>ption 2</w:t>
      </w:r>
      <w:r>
        <w:rPr>
          <w:rFonts w:ascii="Arial" w:hAnsi="Arial" w:cs="Arial"/>
          <w:color w:val="auto"/>
          <w:sz w:val="22"/>
          <w:szCs w:val="22"/>
        </w:rPr>
        <w:t xml:space="preserve"> would remove</w:t>
      </w:r>
      <w:r w:rsidR="00277912">
        <w:rPr>
          <w:rFonts w:ascii="Arial" w:hAnsi="Arial" w:cs="Arial"/>
          <w:color w:val="auto"/>
          <w:sz w:val="22"/>
          <w:szCs w:val="22"/>
        </w:rPr>
        <w:t xml:space="preserve"> </w:t>
      </w:r>
      <w:r w:rsidR="00277912" w:rsidRPr="00282E12">
        <w:rPr>
          <w:rFonts w:ascii="Arial" w:hAnsi="Arial" w:cs="Arial"/>
          <w:color w:val="auto"/>
          <w:sz w:val="22"/>
          <w:szCs w:val="22"/>
        </w:rPr>
        <w:t>executive officer liability for non-CoR offences</w:t>
      </w:r>
      <w:r w:rsidR="00D5370A">
        <w:rPr>
          <w:rFonts w:ascii="Arial" w:hAnsi="Arial" w:cs="Arial"/>
          <w:color w:val="auto"/>
          <w:sz w:val="22"/>
          <w:szCs w:val="22"/>
        </w:rPr>
        <w:t xml:space="preserve">. Section </w:t>
      </w:r>
      <w:r w:rsidR="0023754E">
        <w:rPr>
          <w:rFonts w:ascii="Arial" w:hAnsi="Arial" w:cs="Arial"/>
          <w:color w:val="auto"/>
          <w:sz w:val="22"/>
          <w:szCs w:val="22"/>
        </w:rPr>
        <w:t>636(2) of the HVNL would be repealed, as would the list of offences in column 3 of schedule 4.</w:t>
      </w:r>
      <w:r w:rsidR="0023754E">
        <w:rPr>
          <w:rStyle w:val="FootnoteReference"/>
          <w:rFonts w:ascii="Arial" w:hAnsi="Arial"/>
          <w:color w:val="auto"/>
          <w:sz w:val="22"/>
          <w:szCs w:val="22"/>
        </w:rPr>
        <w:footnoteReference w:id="3"/>
      </w:r>
      <w:r w:rsidR="0023754E">
        <w:rPr>
          <w:rFonts w:ascii="Arial" w:hAnsi="Arial" w:cs="Arial"/>
          <w:color w:val="auto"/>
          <w:sz w:val="22"/>
          <w:szCs w:val="22"/>
        </w:rPr>
        <w:t xml:space="preserve"> </w:t>
      </w:r>
    </w:p>
    <w:p w:rsidR="0023754E" w:rsidRDefault="0023754E" w:rsidP="00277912">
      <w:pPr>
        <w:pStyle w:val="NoSpacing"/>
        <w:rPr>
          <w:rFonts w:ascii="Arial" w:hAnsi="Arial" w:cs="Arial"/>
          <w:color w:val="auto"/>
          <w:sz w:val="22"/>
          <w:szCs w:val="22"/>
        </w:rPr>
      </w:pPr>
    </w:p>
    <w:p w:rsidR="0023754E" w:rsidRDefault="0023754E" w:rsidP="00277912">
      <w:pPr>
        <w:pStyle w:val="NoSpacing"/>
        <w:rPr>
          <w:rFonts w:ascii="Arial" w:hAnsi="Arial" w:cs="Arial"/>
          <w:color w:val="auto"/>
          <w:sz w:val="22"/>
          <w:szCs w:val="22"/>
        </w:rPr>
      </w:pPr>
      <w:r>
        <w:rPr>
          <w:rFonts w:ascii="Arial" w:hAnsi="Arial" w:cs="Arial"/>
          <w:color w:val="auto"/>
          <w:sz w:val="22"/>
          <w:szCs w:val="22"/>
        </w:rPr>
        <w:t>The option would reduce the scope of executive officer liability acr</w:t>
      </w:r>
      <w:r w:rsidR="007C0D67">
        <w:rPr>
          <w:rFonts w:ascii="Arial" w:hAnsi="Arial" w:cs="Arial"/>
          <w:color w:val="auto"/>
          <w:sz w:val="22"/>
          <w:szCs w:val="22"/>
        </w:rPr>
        <w:t>oss the law.</w:t>
      </w:r>
      <w:r>
        <w:rPr>
          <w:rFonts w:ascii="Arial" w:hAnsi="Arial" w:cs="Arial"/>
          <w:color w:val="auto"/>
          <w:sz w:val="22"/>
          <w:szCs w:val="22"/>
        </w:rPr>
        <w:t xml:space="preserve"> </w:t>
      </w:r>
      <w:r w:rsidR="007C0D67">
        <w:rPr>
          <w:rFonts w:ascii="Arial" w:hAnsi="Arial" w:cs="Arial"/>
          <w:color w:val="auto"/>
          <w:sz w:val="22"/>
          <w:szCs w:val="22"/>
        </w:rPr>
        <w:t xml:space="preserve">It </w:t>
      </w:r>
      <w:r>
        <w:rPr>
          <w:rFonts w:ascii="Arial" w:hAnsi="Arial" w:cs="Arial"/>
          <w:color w:val="auto"/>
          <w:sz w:val="22"/>
          <w:szCs w:val="22"/>
        </w:rPr>
        <w:t>would mean that officers would no longer be personally liable for taking steps to prevent a number of serious safety offences, including</w:t>
      </w:r>
      <w:r w:rsidR="007C0D67">
        <w:rPr>
          <w:rFonts w:ascii="Arial" w:hAnsi="Arial" w:cs="Arial"/>
          <w:color w:val="auto"/>
          <w:sz w:val="22"/>
          <w:szCs w:val="22"/>
        </w:rPr>
        <w:t xml:space="preserve"> offences related to:</w:t>
      </w:r>
    </w:p>
    <w:p w:rsidR="0023754E" w:rsidRDefault="0023754E" w:rsidP="007C0D67">
      <w:pPr>
        <w:pStyle w:val="NoSpacing"/>
        <w:rPr>
          <w:rFonts w:ascii="Arial" w:hAnsi="Arial" w:cs="Arial"/>
          <w:color w:val="auto"/>
          <w:sz w:val="22"/>
          <w:szCs w:val="22"/>
        </w:rPr>
      </w:pPr>
    </w:p>
    <w:p w:rsidR="007C0D67" w:rsidRDefault="001F1D8C" w:rsidP="00864EFE">
      <w:pPr>
        <w:pStyle w:val="NoSpacing"/>
        <w:numPr>
          <w:ilvl w:val="0"/>
          <w:numId w:val="5"/>
        </w:numPr>
        <w:rPr>
          <w:rFonts w:ascii="Arial" w:hAnsi="Arial" w:cs="Arial"/>
          <w:color w:val="auto"/>
          <w:sz w:val="22"/>
          <w:szCs w:val="22"/>
        </w:rPr>
      </w:pPr>
      <w:r>
        <w:rPr>
          <w:rFonts w:ascii="Arial" w:hAnsi="Arial" w:cs="Arial"/>
          <w:color w:val="auto"/>
          <w:sz w:val="22"/>
          <w:szCs w:val="22"/>
        </w:rPr>
        <w:t>v</w:t>
      </w:r>
      <w:r w:rsidR="007C0D67">
        <w:rPr>
          <w:rFonts w:ascii="Arial" w:hAnsi="Arial" w:cs="Arial"/>
          <w:color w:val="auto"/>
          <w:sz w:val="22"/>
          <w:szCs w:val="22"/>
        </w:rPr>
        <w:t>ehicle registration,</w:t>
      </w:r>
      <w:r w:rsidR="009A2202">
        <w:rPr>
          <w:rStyle w:val="FootnoteReference"/>
          <w:rFonts w:ascii="Arial" w:hAnsi="Arial"/>
          <w:color w:val="auto"/>
          <w:sz w:val="22"/>
          <w:szCs w:val="22"/>
        </w:rPr>
        <w:footnoteReference w:id="4"/>
      </w:r>
      <w:r w:rsidR="007C0D67">
        <w:rPr>
          <w:rFonts w:ascii="Arial" w:hAnsi="Arial" w:cs="Arial"/>
          <w:color w:val="auto"/>
          <w:sz w:val="22"/>
          <w:szCs w:val="22"/>
        </w:rPr>
        <w:t xml:space="preserve"> although </w:t>
      </w:r>
      <w:r w:rsidR="009A2202">
        <w:rPr>
          <w:rFonts w:ascii="Arial" w:hAnsi="Arial" w:cs="Arial"/>
          <w:color w:val="auto"/>
          <w:sz w:val="22"/>
          <w:szCs w:val="22"/>
        </w:rPr>
        <w:t>it should be noted that the vehicle registration chapter of the HVNL</w:t>
      </w:r>
      <w:r w:rsidR="00B7485A">
        <w:rPr>
          <w:rFonts w:ascii="Arial" w:hAnsi="Arial" w:cs="Arial"/>
          <w:color w:val="auto"/>
          <w:sz w:val="22"/>
          <w:szCs w:val="22"/>
        </w:rPr>
        <w:t xml:space="preserve"> </w:t>
      </w:r>
      <w:r w:rsidR="007C0D67">
        <w:rPr>
          <w:rFonts w:ascii="Arial" w:hAnsi="Arial" w:cs="Arial"/>
          <w:color w:val="auto"/>
          <w:sz w:val="22"/>
          <w:szCs w:val="22"/>
        </w:rPr>
        <w:t>has not yet come into effect</w:t>
      </w:r>
    </w:p>
    <w:p w:rsidR="007C0D67" w:rsidRDefault="00B7485A" w:rsidP="00864EFE">
      <w:pPr>
        <w:pStyle w:val="NoSpacing"/>
        <w:numPr>
          <w:ilvl w:val="0"/>
          <w:numId w:val="5"/>
        </w:numPr>
        <w:rPr>
          <w:rFonts w:ascii="Arial" w:hAnsi="Arial" w:cs="Arial"/>
          <w:color w:val="auto"/>
          <w:sz w:val="22"/>
          <w:szCs w:val="22"/>
        </w:rPr>
      </w:pPr>
      <w:r>
        <w:rPr>
          <w:rFonts w:ascii="Arial" w:hAnsi="Arial" w:cs="Arial"/>
          <w:color w:val="auto"/>
          <w:sz w:val="22"/>
          <w:szCs w:val="22"/>
        </w:rPr>
        <w:t>operating an unsafe heavy vehicle</w:t>
      </w:r>
      <w:r>
        <w:rPr>
          <w:rStyle w:val="FootnoteReference"/>
          <w:rFonts w:ascii="Arial" w:hAnsi="Arial"/>
          <w:color w:val="auto"/>
          <w:sz w:val="22"/>
          <w:szCs w:val="22"/>
        </w:rPr>
        <w:footnoteReference w:id="5"/>
      </w:r>
    </w:p>
    <w:p w:rsidR="007C0D67" w:rsidRDefault="001F1D8C" w:rsidP="00864EFE">
      <w:pPr>
        <w:pStyle w:val="NoSpacing"/>
        <w:numPr>
          <w:ilvl w:val="0"/>
          <w:numId w:val="5"/>
        </w:numPr>
        <w:rPr>
          <w:rFonts w:ascii="Arial" w:hAnsi="Arial" w:cs="Arial"/>
          <w:color w:val="auto"/>
          <w:sz w:val="22"/>
          <w:szCs w:val="22"/>
        </w:rPr>
      </w:pPr>
      <w:r>
        <w:rPr>
          <w:rFonts w:ascii="Arial" w:hAnsi="Arial" w:cs="Arial"/>
          <w:color w:val="auto"/>
          <w:sz w:val="22"/>
          <w:szCs w:val="22"/>
        </w:rPr>
        <w:t>c</w:t>
      </w:r>
      <w:r w:rsidR="007C0D67">
        <w:rPr>
          <w:rFonts w:ascii="Arial" w:hAnsi="Arial" w:cs="Arial"/>
          <w:color w:val="auto"/>
          <w:sz w:val="22"/>
          <w:szCs w:val="22"/>
        </w:rPr>
        <w:t xml:space="preserve">ontravening conditions </w:t>
      </w:r>
      <w:r w:rsidR="00B7485A">
        <w:rPr>
          <w:rFonts w:ascii="Arial" w:hAnsi="Arial" w:cs="Arial"/>
          <w:color w:val="auto"/>
          <w:sz w:val="22"/>
          <w:szCs w:val="22"/>
        </w:rPr>
        <w:t>of mass or dimension exemptions</w:t>
      </w:r>
      <w:r w:rsidR="00B7485A">
        <w:rPr>
          <w:rStyle w:val="FootnoteReference"/>
          <w:rFonts w:ascii="Arial" w:hAnsi="Arial"/>
          <w:color w:val="auto"/>
          <w:sz w:val="22"/>
          <w:szCs w:val="22"/>
        </w:rPr>
        <w:footnoteReference w:id="6"/>
      </w:r>
    </w:p>
    <w:p w:rsidR="007C0D67" w:rsidRDefault="001F1D8C" w:rsidP="00864EFE">
      <w:pPr>
        <w:pStyle w:val="NoSpacing"/>
        <w:numPr>
          <w:ilvl w:val="0"/>
          <w:numId w:val="5"/>
        </w:numPr>
        <w:rPr>
          <w:rFonts w:ascii="Arial" w:hAnsi="Arial" w:cs="Arial"/>
          <w:color w:val="auto"/>
          <w:sz w:val="22"/>
          <w:szCs w:val="22"/>
        </w:rPr>
      </w:pPr>
      <w:r>
        <w:rPr>
          <w:rFonts w:ascii="Arial" w:hAnsi="Arial" w:cs="Arial"/>
          <w:color w:val="auto"/>
          <w:sz w:val="22"/>
          <w:szCs w:val="22"/>
        </w:rPr>
        <w:t>t</w:t>
      </w:r>
      <w:r w:rsidR="007C0D67">
        <w:rPr>
          <w:rFonts w:ascii="Arial" w:hAnsi="Arial" w:cs="Arial"/>
          <w:color w:val="auto"/>
          <w:sz w:val="22"/>
          <w:szCs w:val="22"/>
        </w:rPr>
        <w:t>ampering with a speed li</w:t>
      </w:r>
      <w:r w:rsidR="00B7485A">
        <w:rPr>
          <w:rFonts w:ascii="Arial" w:hAnsi="Arial" w:cs="Arial"/>
          <w:color w:val="auto"/>
          <w:sz w:val="22"/>
          <w:szCs w:val="22"/>
        </w:rPr>
        <w:t>miter fitted to a heavy vehicle</w:t>
      </w:r>
      <w:r w:rsidR="00B7485A">
        <w:rPr>
          <w:rStyle w:val="FootnoteReference"/>
          <w:rFonts w:ascii="Arial" w:hAnsi="Arial"/>
          <w:color w:val="auto"/>
          <w:sz w:val="22"/>
          <w:szCs w:val="22"/>
        </w:rPr>
        <w:footnoteReference w:id="7"/>
      </w:r>
    </w:p>
    <w:p w:rsidR="007C0D67" w:rsidRDefault="001F1D8C" w:rsidP="00864EFE">
      <w:pPr>
        <w:pStyle w:val="NoSpacing"/>
        <w:numPr>
          <w:ilvl w:val="0"/>
          <w:numId w:val="5"/>
        </w:numPr>
        <w:rPr>
          <w:rFonts w:ascii="Arial" w:hAnsi="Arial" w:cs="Arial"/>
          <w:color w:val="auto"/>
          <w:sz w:val="22"/>
          <w:szCs w:val="22"/>
        </w:rPr>
      </w:pPr>
      <w:r>
        <w:rPr>
          <w:rFonts w:ascii="Arial" w:hAnsi="Arial" w:cs="Arial"/>
          <w:color w:val="auto"/>
          <w:sz w:val="22"/>
          <w:szCs w:val="22"/>
        </w:rPr>
        <w:t>t</w:t>
      </w:r>
      <w:r w:rsidR="007C0D67">
        <w:rPr>
          <w:rFonts w:ascii="Arial" w:hAnsi="Arial" w:cs="Arial"/>
          <w:color w:val="auto"/>
          <w:sz w:val="22"/>
          <w:szCs w:val="22"/>
        </w:rPr>
        <w:t>ampering with an approved electronic recording system.</w:t>
      </w:r>
      <w:r w:rsidR="00B7485A">
        <w:rPr>
          <w:rStyle w:val="FootnoteReference"/>
          <w:rFonts w:ascii="Arial" w:hAnsi="Arial"/>
          <w:color w:val="auto"/>
          <w:sz w:val="22"/>
          <w:szCs w:val="22"/>
        </w:rPr>
        <w:footnoteReference w:id="8"/>
      </w:r>
    </w:p>
    <w:p w:rsidR="0023754E" w:rsidRDefault="0023754E" w:rsidP="00277912">
      <w:pPr>
        <w:pStyle w:val="NoSpacing"/>
        <w:rPr>
          <w:rFonts w:ascii="Arial" w:hAnsi="Arial" w:cs="Arial"/>
          <w:color w:val="auto"/>
          <w:sz w:val="22"/>
          <w:szCs w:val="22"/>
        </w:rPr>
      </w:pPr>
    </w:p>
    <w:p w:rsidR="00D5370A" w:rsidRDefault="00D5370A" w:rsidP="00277912">
      <w:pPr>
        <w:pStyle w:val="NoSpacing"/>
        <w:rPr>
          <w:rFonts w:ascii="Arial" w:hAnsi="Arial" w:cs="Arial"/>
          <w:color w:val="auto"/>
          <w:sz w:val="22"/>
          <w:szCs w:val="22"/>
        </w:rPr>
      </w:pPr>
      <w:r>
        <w:rPr>
          <w:rFonts w:ascii="Arial" w:hAnsi="Arial" w:cs="Arial"/>
          <w:color w:val="auto"/>
          <w:sz w:val="22"/>
          <w:szCs w:val="22"/>
        </w:rPr>
        <w:t>Executive officers of chain parties would nonetheless have a due diligence obligation to ensure compliance with their primary safety duty.</w:t>
      </w:r>
    </w:p>
    <w:p w:rsidR="00D5370A" w:rsidRDefault="00D5370A" w:rsidP="00277912">
      <w:pPr>
        <w:pStyle w:val="NoSpacing"/>
        <w:rPr>
          <w:rFonts w:ascii="Arial" w:hAnsi="Arial" w:cs="Arial"/>
          <w:color w:val="auto"/>
          <w:sz w:val="22"/>
          <w:szCs w:val="22"/>
        </w:rPr>
      </w:pPr>
    </w:p>
    <w:p w:rsidR="002F07F2" w:rsidRDefault="00FC4FA1" w:rsidP="0009785A">
      <w:pPr>
        <w:pStyle w:val="NoSpacing"/>
        <w:rPr>
          <w:rFonts w:ascii="Arial" w:hAnsi="Arial" w:cs="Arial"/>
          <w:color w:val="auto"/>
          <w:sz w:val="22"/>
          <w:szCs w:val="22"/>
        </w:rPr>
      </w:pPr>
      <w:r>
        <w:rPr>
          <w:rFonts w:ascii="Arial" w:hAnsi="Arial" w:cs="Arial"/>
          <w:color w:val="auto"/>
          <w:sz w:val="22"/>
          <w:szCs w:val="22"/>
        </w:rPr>
        <w:t xml:space="preserve">The </w:t>
      </w:r>
      <w:r w:rsidR="00B7485A">
        <w:rPr>
          <w:rFonts w:ascii="Arial" w:hAnsi="Arial" w:cs="Arial"/>
          <w:color w:val="auto"/>
          <w:sz w:val="22"/>
          <w:szCs w:val="22"/>
        </w:rPr>
        <w:t xml:space="preserve">ATA is particularly concerned that the option would remove executive officer liability for speed limiter tampering, at least as far as non-chain parties are concerned. </w:t>
      </w:r>
    </w:p>
    <w:p w:rsidR="002F07F2" w:rsidRPr="002F07F2" w:rsidRDefault="002F07F2" w:rsidP="0009785A">
      <w:pPr>
        <w:pStyle w:val="NoSpacing"/>
        <w:rPr>
          <w:rFonts w:ascii="Arial" w:hAnsi="Arial" w:cs="Arial"/>
          <w:color w:val="auto"/>
          <w:sz w:val="22"/>
          <w:szCs w:val="22"/>
        </w:rPr>
      </w:pPr>
    </w:p>
    <w:p w:rsidR="002F07F2" w:rsidRPr="002F07F2" w:rsidRDefault="002F07F2" w:rsidP="002F07F2">
      <w:pPr>
        <w:autoSpaceDE w:val="0"/>
        <w:autoSpaceDN w:val="0"/>
        <w:adjustRightInd w:val="0"/>
        <w:rPr>
          <w:rFonts w:ascii="Arial" w:hAnsi="Arial" w:cs="Arial"/>
        </w:rPr>
      </w:pPr>
      <w:r w:rsidRPr="002F07F2">
        <w:rPr>
          <w:rFonts w:ascii="Arial" w:hAnsi="Arial" w:cs="Arial"/>
        </w:rPr>
        <w:t>Research shows that travelling just 10 km/h faster on rural roads than the average speed of other traffic doubles the risk of involvement in a crash.</w:t>
      </w:r>
      <w:r w:rsidRPr="002F07F2">
        <w:rPr>
          <w:rStyle w:val="FootnoteReference"/>
          <w:rFonts w:ascii="Arial" w:hAnsi="Arial" w:cs="Arial"/>
        </w:rPr>
        <w:footnoteReference w:id="9"/>
      </w:r>
      <w:r w:rsidRPr="002F07F2">
        <w:rPr>
          <w:rFonts w:ascii="Arial" w:hAnsi="Arial" w:cs="Arial"/>
        </w:rPr>
        <w:t xml:space="preserve"> Speeding also increases the severity of crashes when they occur.</w:t>
      </w:r>
    </w:p>
    <w:p w:rsidR="002F07F2" w:rsidRPr="002F07F2" w:rsidRDefault="002F07F2" w:rsidP="002F07F2">
      <w:pPr>
        <w:autoSpaceDE w:val="0"/>
        <w:autoSpaceDN w:val="0"/>
        <w:adjustRightInd w:val="0"/>
        <w:rPr>
          <w:rFonts w:ascii="Arial" w:hAnsi="Arial" w:cs="Arial"/>
        </w:rPr>
      </w:pPr>
    </w:p>
    <w:p w:rsidR="002F07F2" w:rsidRPr="002F07F2" w:rsidRDefault="002F07F2" w:rsidP="002F07F2">
      <w:pPr>
        <w:autoSpaceDE w:val="0"/>
        <w:autoSpaceDN w:val="0"/>
        <w:adjustRightInd w:val="0"/>
        <w:rPr>
          <w:rFonts w:ascii="Arial" w:hAnsi="Arial" w:cs="Arial"/>
        </w:rPr>
      </w:pPr>
      <w:r>
        <w:rPr>
          <w:rFonts w:ascii="Arial" w:hAnsi="Arial" w:cs="Arial"/>
        </w:rPr>
        <w:t>G</w:t>
      </w:r>
      <w:r w:rsidRPr="002F07F2">
        <w:rPr>
          <w:rFonts w:ascii="Arial" w:hAnsi="Arial" w:cs="Arial"/>
        </w:rPr>
        <w:t xml:space="preserve">overnments mandated speed limiters </w:t>
      </w:r>
      <w:r>
        <w:rPr>
          <w:rFonts w:ascii="Arial" w:hAnsi="Arial" w:cs="Arial"/>
        </w:rPr>
        <w:t xml:space="preserve">in 1990 </w:t>
      </w:r>
      <w:r w:rsidRPr="002F07F2">
        <w:rPr>
          <w:rFonts w:ascii="Arial" w:hAnsi="Arial" w:cs="Arial"/>
        </w:rPr>
        <w:t xml:space="preserve">because </w:t>
      </w:r>
      <w:r>
        <w:rPr>
          <w:rFonts w:ascii="Arial" w:hAnsi="Arial" w:cs="Arial"/>
        </w:rPr>
        <w:t xml:space="preserve">it was </w:t>
      </w:r>
      <w:r w:rsidRPr="002F07F2">
        <w:rPr>
          <w:rFonts w:ascii="Arial" w:hAnsi="Arial" w:cs="Arial"/>
        </w:rPr>
        <w:t xml:space="preserve">recognised that conventional speed enforcement methods were not sufficient to secure compliance. Although the trucking industry’s </w:t>
      </w:r>
      <w:r w:rsidR="00C918F8">
        <w:rPr>
          <w:rFonts w:ascii="Arial" w:hAnsi="Arial" w:cs="Arial"/>
        </w:rPr>
        <w:t xml:space="preserve">speed compliance </w:t>
      </w:r>
      <w:r w:rsidRPr="002F07F2">
        <w:rPr>
          <w:rFonts w:ascii="Arial" w:hAnsi="Arial" w:cs="Arial"/>
        </w:rPr>
        <w:t>is steadily improving</w:t>
      </w:r>
      <w:r w:rsidR="00C918F8">
        <w:rPr>
          <w:rFonts w:ascii="Arial" w:hAnsi="Arial" w:cs="Arial"/>
        </w:rPr>
        <w:t xml:space="preserve"> – for example, the number of heavy vehicles detected speeding by the NSW Safe-T-Cam system fell 95 per cent between 2011 and 2014</w:t>
      </w:r>
      <w:r w:rsidR="00C918F8">
        <w:rPr>
          <w:rStyle w:val="FootnoteReference"/>
          <w:rFonts w:ascii="Arial" w:hAnsi="Arial"/>
        </w:rPr>
        <w:footnoteReference w:id="10"/>
      </w:r>
      <w:r w:rsidR="00C918F8">
        <w:rPr>
          <w:rFonts w:ascii="Arial" w:hAnsi="Arial" w:cs="Arial"/>
        </w:rPr>
        <w:t xml:space="preserve"> –</w:t>
      </w:r>
      <w:r w:rsidRPr="002F07F2">
        <w:rPr>
          <w:rFonts w:ascii="Arial" w:hAnsi="Arial" w:cs="Arial"/>
        </w:rPr>
        <w:t xml:space="preserve"> </w:t>
      </w:r>
      <w:r w:rsidR="00C918F8">
        <w:rPr>
          <w:rFonts w:ascii="Arial" w:hAnsi="Arial" w:cs="Arial"/>
        </w:rPr>
        <w:t>this is not the time to weaken the laws</w:t>
      </w:r>
      <w:r w:rsidRPr="002F07F2">
        <w:rPr>
          <w:rFonts w:ascii="Arial" w:hAnsi="Arial" w:cs="Arial"/>
        </w:rPr>
        <w:t xml:space="preserve">. </w:t>
      </w:r>
    </w:p>
    <w:p w:rsidR="00C918F8" w:rsidRDefault="00C918F8" w:rsidP="0009785A">
      <w:pPr>
        <w:pStyle w:val="NoSpacing"/>
        <w:rPr>
          <w:rFonts w:ascii="Arial" w:hAnsi="Arial" w:cs="Arial"/>
          <w:color w:val="auto"/>
          <w:sz w:val="22"/>
          <w:szCs w:val="22"/>
        </w:rPr>
      </w:pPr>
    </w:p>
    <w:p w:rsidR="00FC4FA1" w:rsidRDefault="002F07F2" w:rsidP="0009785A">
      <w:pPr>
        <w:pStyle w:val="NoSpacing"/>
        <w:rPr>
          <w:rFonts w:ascii="Arial" w:hAnsi="Arial" w:cs="Arial"/>
          <w:color w:val="auto"/>
          <w:sz w:val="22"/>
          <w:szCs w:val="22"/>
        </w:rPr>
      </w:pPr>
      <w:r>
        <w:rPr>
          <w:rFonts w:ascii="Arial" w:hAnsi="Arial" w:cs="Arial"/>
          <w:color w:val="auto"/>
          <w:sz w:val="22"/>
          <w:szCs w:val="22"/>
        </w:rPr>
        <w:t>Overall, t</w:t>
      </w:r>
      <w:r w:rsidR="00391946">
        <w:rPr>
          <w:rFonts w:ascii="Arial" w:hAnsi="Arial" w:cs="Arial"/>
          <w:color w:val="auto"/>
          <w:sz w:val="22"/>
          <w:szCs w:val="22"/>
        </w:rPr>
        <w:t xml:space="preserve">he ATA </w:t>
      </w:r>
      <w:r>
        <w:rPr>
          <w:rFonts w:ascii="Arial" w:hAnsi="Arial" w:cs="Arial"/>
          <w:color w:val="auto"/>
          <w:sz w:val="22"/>
          <w:szCs w:val="22"/>
        </w:rPr>
        <w:t xml:space="preserve">strongly </w:t>
      </w:r>
      <w:r w:rsidR="00391946">
        <w:rPr>
          <w:rFonts w:ascii="Arial" w:hAnsi="Arial" w:cs="Arial"/>
          <w:color w:val="auto"/>
          <w:sz w:val="22"/>
          <w:szCs w:val="22"/>
        </w:rPr>
        <w:t>agrees with the RIS that option 2 has the pot</w:t>
      </w:r>
      <w:r>
        <w:rPr>
          <w:rFonts w:ascii="Arial" w:hAnsi="Arial" w:cs="Arial"/>
          <w:color w:val="auto"/>
          <w:sz w:val="22"/>
          <w:szCs w:val="22"/>
        </w:rPr>
        <w:t>ential to reduce safety outcomes in the industry</w:t>
      </w:r>
      <w:r w:rsidR="00391946">
        <w:rPr>
          <w:rFonts w:ascii="Arial" w:hAnsi="Arial" w:cs="Arial"/>
          <w:color w:val="auto"/>
          <w:sz w:val="22"/>
          <w:szCs w:val="22"/>
        </w:rPr>
        <w:t xml:space="preserve">. </w:t>
      </w:r>
      <w:r>
        <w:rPr>
          <w:rFonts w:ascii="Arial" w:hAnsi="Arial" w:cs="Arial"/>
          <w:color w:val="auto"/>
          <w:sz w:val="22"/>
          <w:szCs w:val="22"/>
        </w:rPr>
        <w:t>O</w:t>
      </w:r>
      <w:r w:rsidR="00432128">
        <w:rPr>
          <w:rFonts w:ascii="Arial" w:hAnsi="Arial" w:cs="Arial"/>
          <w:color w:val="auto"/>
          <w:sz w:val="22"/>
          <w:szCs w:val="22"/>
        </w:rPr>
        <w:t>ption 2</w:t>
      </w:r>
      <w:r w:rsidR="00FC4FA1">
        <w:rPr>
          <w:rFonts w:ascii="Arial" w:hAnsi="Arial" w:cs="Arial"/>
          <w:color w:val="auto"/>
          <w:sz w:val="22"/>
          <w:szCs w:val="22"/>
        </w:rPr>
        <w:t xml:space="preserve"> </w:t>
      </w:r>
      <w:r w:rsidR="00391946">
        <w:rPr>
          <w:rFonts w:ascii="Arial" w:hAnsi="Arial" w:cs="Arial"/>
          <w:color w:val="auto"/>
          <w:sz w:val="22"/>
          <w:szCs w:val="22"/>
        </w:rPr>
        <w:t>should not be considered further.</w:t>
      </w:r>
    </w:p>
    <w:p w:rsidR="00FC0BC1" w:rsidRDefault="00FC0BC1" w:rsidP="0009785A">
      <w:pPr>
        <w:pStyle w:val="NoSpacing"/>
        <w:rPr>
          <w:rFonts w:ascii="Arial" w:hAnsi="Arial" w:cs="Arial"/>
          <w:color w:val="auto"/>
          <w:sz w:val="22"/>
          <w:szCs w:val="22"/>
        </w:rPr>
      </w:pPr>
    </w:p>
    <w:p w:rsidR="00FC4FA1" w:rsidRDefault="00FC4FA1" w:rsidP="0009785A">
      <w:pPr>
        <w:pStyle w:val="NoSpacing"/>
        <w:rPr>
          <w:rFonts w:ascii="Arial" w:hAnsi="Arial" w:cs="Arial"/>
          <w:color w:val="auto"/>
          <w:sz w:val="22"/>
          <w:szCs w:val="22"/>
        </w:rPr>
      </w:pPr>
    </w:p>
    <w:p w:rsidR="00D675C5" w:rsidRPr="00ED6E9A" w:rsidRDefault="00D675C5" w:rsidP="009A2202">
      <w:pPr>
        <w:pStyle w:val="NoSpacing"/>
        <w:keepNext/>
        <w:rPr>
          <w:rFonts w:ascii="Arial" w:hAnsi="Arial" w:cs="Arial"/>
          <w:b/>
          <w:color w:val="auto"/>
          <w:sz w:val="22"/>
          <w:szCs w:val="22"/>
        </w:rPr>
      </w:pPr>
      <w:r w:rsidRPr="00ED6E9A">
        <w:rPr>
          <w:rFonts w:ascii="Arial" w:hAnsi="Arial" w:cs="Arial"/>
          <w:b/>
          <w:color w:val="auto"/>
          <w:sz w:val="22"/>
          <w:szCs w:val="22"/>
        </w:rPr>
        <w:t>Option 3</w:t>
      </w:r>
    </w:p>
    <w:p w:rsidR="00D675C5" w:rsidRDefault="00D675C5" w:rsidP="009A2202">
      <w:pPr>
        <w:pStyle w:val="NoSpacing"/>
        <w:keepNext/>
        <w:rPr>
          <w:rFonts w:ascii="Arial" w:hAnsi="Arial" w:cs="Arial"/>
          <w:color w:val="auto"/>
          <w:sz w:val="22"/>
          <w:szCs w:val="22"/>
        </w:rPr>
      </w:pPr>
    </w:p>
    <w:p w:rsidR="009A2202" w:rsidRDefault="009A2202" w:rsidP="009A2202">
      <w:pPr>
        <w:pStyle w:val="NoSpacing"/>
        <w:keepNext/>
        <w:rPr>
          <w:rFonts w:ascii="Arial" w:hAnsi="Arial" w:cs="Arial"/>
          <w:color w:val="auto"/>
          <w:sz w:val="22"/>
          <w:szCs w:val="22"/>
        </w:rPr>
      </w:pPr>
      <w:r>
        <w:rPr>
          <w:rFonts w:ascii="Arial" w:hAnsi="Arial" w:cs="Arial"/>
          <w:color w:val="auto"/>
          <w:sz w:val="22"/>
          <w:szCs w:val="22"/>
        </w:rPr>
        <w:t>Under option 3, executive officers would be required to un</w:t>
      </w:r>
      <w:r w:rsidR="00D5370A">
        <w:rPr>
          <w:rFonts w:ascii="Arial" w:hAnsi="Arial" w:cs="Arial"/>
          <w:color w:val="auto"/>
          <w:sz w:val="22"/>
          <w:szCs w:val="22"/>
        </w:rPr>
        <w:t>dertake positive due diligence in relation to</w:t>
      </w:r>
      <w:r>
        <w:rPr>
          <w:rFonts w:ascii="Arial" w:hAnsi="Arial" w:cs="Arial"/>
          <w:color w:val="auto"/>
          <w:sz w:val="22"/>
          <w:szCs w:val="22"/>
        </w:rPr>
        <w:t xml:space="preserve"> the non-CoR offences listed under column 3 of schedule 4, in addition to their due diligence obligations with respect to CoR compliance. The RIS notes that the non-CoR </w:t>
      </w:r>
      <w:r>
        <w:rPr>
          <w:rFonts w:ascii="Arial" w:hAnsi="Arial" w:cs="Arial"/>
          <w:color w:val="auto"/>
          <w:sz w:val="22"/>
          <w:szCs w:val="22"/>
        </w:rPr>
        <w:lastRenderedPageBreak/>
        <w:t>offences are being modified to remove the current reverse onus of proof and place the burden of proof on the prosecution.</w:t>
      </w:r>
      <w:r>
        <w:rPr>
          <w:rStyle w:val="FootnoteReference"/>
          <w:rFonts w:ascii="Arial" w:hAnsi="Arial"/>
          <w:color w:val="auto"/>
          <w:sz w:val="22"/>
          <w:szCs w:val="22"/>
        </w:rPr>
        <w:footnoteReference w:id="11"/>
      </w:r>
    </w:p>
    <w:p w:rsidR="009A2202" w:rsidRDefault="009A2202" w:rsidP="0009785A">
      <w:pPr>
        <w:pStyle w:val="NoSpacing"/>
        <w:rPr>
          <w:rFonts w:ascii="Arial" w:hAnsi="Arial" w:cs="Arial"/>
          <w:color w:val="auto"/>
          <w:sz w:val="22"/>
          <w:szCs w:val="22"/>
        </w:rPr>
      </w:pPr>
    </w:p>
    <w:p w:rsidR="009A2202" w:rsidRDefault="009A2202" w:rsidP="0009785A">
      <w:pPr>
        <w:pStyle w:val="NoSpacing"/>
        <w:rPr>
          <w:rFonts w:ascii="Arial" w:hAnsi="Arial" w:cs="Arial"/>
          <w:color w:val="auto"/>
          <w:sz w:val="22"/>
          <w:szCs w:val="22"/>
        </w:rPr>
      </w:pPr>
      <w:r>
        <w:rPr>
          <w:rFonts w:ascii="Arial" w:hAnsi="Arial" w:cs="Arial"/>
          <w:color w:val="auto"/>
          <w:sz w:val="22"/>
          <w:szCs w:val="22"/>
        </w:rPr>
        <w:t>The ATA supports this option. As the RIS points out, it would create a consistent approach to executive officer liability across the HVNL. It would encourage higher levels of compliance and therefore safety.</w:t>
      </w:r>
    </w:p>
    <w:p w:rsidR="009A2202" w:rsidRDefault="009A2202" w:rsidP="0009785A">
      <w:pPr>
        <w:pStyle w:val="NoSpacing"/>
        <w:rPr>
          <w:rFonts w:ascii="Arial" w:hAnsi="Arial" w:cs="Arial"/>
          <w:color w:val="auto"/>
          <w:sz w:val="22"/>
          <w:szCs w:val="22"/>
        </w:rPr>
      </w:pPr>
    </w:p>
    <w:p w:rsidR="00D675C5" w:rsidRDefault="00D675C5" w:rsidP="0009785A">
      <w:pPr>
        <w:pStyle w:val="NoSpacing"/>
        <w:rPr>
          <w:rFonts w:ascii="Arial" w:hAnsi="Arial" w:cs="Arial"/>
          <w:color w:val="auto"/>
          <w:sz w:val="22"/>
          <w:szCs w:val="22"/>
        </w:rPr>
      </w:pPr>
    </w:p>
    <w:p w:rsidR="00D675C5" w:rsidRPr="00ED6E9A" w:rsidRDefault="00D675C5" w:rsidP="0009785A">
      <w:pPr>
        <w:pStyle w:val="NoSpacing"/>
        <w:rPr>
          <w:rFonts w:ascii="Arial" w:hAnsi="Arial" w:cs="Arial"/>
          <w:b/>
          <w:color w:val="auto"/>
          <w:sz w:val="22"/>
          <w:szCs w:val="22"/>
        </w:rPr>
      </w:pPr>
      <w:r w:rsidRPr="00ED6E9A">
        <w:rPr>
          <w:rFonts w:ascii="Arial" w:hAnsi="Arial" w:cs="Arial"/>
          <w:b/>
          <w:color w:val="auto"/>
          <w:sz w:val="22"/>
          <w:szCs w:val="22"/>
        </w:rPr>
        <w:t>Option 4</w:t>
      </w:r>
    </w:p>
    <w:p w:rsidR="00D675C5" w:rsidRPr="00D675C5" w:rsidRDefault="00D675C5" w:rsidP="0009785A">
      <w:pPr>
        <w:pStyle w:val="NoSpacing"/>
        <w:rPr>
          <w:rFonts w:ascii="Arial" w:hAnsi="Arial" w:cs="Arial"/>
          <w:color w:val="auto"/>
          <w:sz w:val="22"/>
          <w:szCs w:val="22"/>
        </w:rPr>
      </w:pPr>
    </w:p>
    <w:p w:rsidR="00E925AA" w:rsidRDefault="00D675C5" w:rsidP="0009785A">
      <w:pPr>
        <w:pStyle w:val="NoSpacing"/>
        <w:rPr>
          <w:rFonts w:ascii="Arial" w:hAnsi="Arial" w:cs="Arial"/>
          <w:color w:val="auto"/>
          <w:sz w:val="22"/>
          <w:szCs w:val="22"/>
        </w:rPr>
      </w:pPr>
      <w:r>
        <w:rPr>
          <w:rFonts w:ascii="Arial" w:hAnsi="Arial" w:cs="Arial"/>
          <w:color w:val="auto"/>
          <w:sz w:val="22"/>
          <w:szCs w:val="22"/>
        </w:rPr>
        <w:t>Option 4 would e</w:t>
      </w:r>
      <w:r w:rsidRPr="00D675C5">
        <w:rPr>
          <w:rFonts w:ascii="Arial" w:hAnsi="Arial" w:cs="Arial"/>
          <w:color w:val="auto"/>
          <w:sz w:val="22"/>
          <w:szCs w:val="22"/>
        </w:rPr>
        <w:t xml:space="preserve">xtend the due diligence obligation to </w:t>
      </w:r>
      <w:r w:rsidR="00D53E6B">
        <w:rPr>
          <w:rFonts w:ascii="Arial" w:hAnsi="Arial" w:cs="Arial"/>
          <w:color w:val="auto"/>
          <w:sz w:val="22"/>
          <w:szCs w:val="22"/>
        </w:rPr>
        <w:t xml:space="preserve">include anyone with a duty or obligation under the HVNL. According to the RIS, the option </w:t>
      </w:r>
      <w:r>
        <w:rPr>
          <w:rFonts w:ascii="Arial" w:hAnsi="Arial" w:cs="Arial"/>
          <w:color w:val="auto"/>
          <w:sz w:val="22"/>
          <w:szCs w:val="22"/>
        </w:rPr>
        <w:t xml:space="preserve">would extend the </w:t>
      </w:r>
      <w:r w:rsidR="00D53E6B">
        <w:rPr>
          <w:rFonts w:ascii="Arial" w:hAnsi="Arial" w:cs="Arial"/>
          <w:color w:val="auto"/>
          <w:sz w:val="22"/>
          <w:szCs w:val="22"/>
        </w:rPr>
        <w:t xml:space="preserve">liability </w:t>
      </w:r>
      <w:r w:rsidR="004F4244">
        <w:rPr>
          <w:rFonts w:ascii="Arial" w:hAnsi="Arial" w:cs="Arial"/>
          <w:color w:val="auto"/>
          <w:sz w:val="22"/>
          <w:szCs w:val="22"/>
        </w:rPr>
        <w:t xml:space="preserve">of executive </w:t>
      </w:r>
      <w:r w:rsidR="00E925AA">
        <w:rPr>
          <w:rFonts w:ascii="Arial" w:hAnsi="Arial" w:cs="Arial"/>
          <w:color w:val="auto"/>
          <w:sz w:val="22"/>
          <w:szCs w:val="22"/>
        </w:rPr>
        <w:t xml:space="preserve">officers to </w:t>
      </w:r>
      <w:r w:rsidR="00D53E6B">
        <w:rPr>
          <w:rFonts w:ascii="Arial" w:hAnsi="Arial" w:cs="Arial"/>
          <w:color w:val="auto"/>
          <w:sz w:val="22"/>
          <w:szCs w:val="22"/>
        </w:rPr>
        <w:t xml:space="preserve">include some </w:t>
      </w:r>
      <w:r w:rsidR="00E925AA">
        <w:rPr>
          <w:rFonts w:ascii="Arial" w:hAnsi="Arial" w:cs="Arial"/>
          <w:color w:val="auto"/>
          <w:sz w:val="22"/>
          <w:szCs w:val="22"/>
        </w:rPr>
        <w:t xml:space="preserve">200 </w:t>
      </w:r>
      <w:r w:rsidR="00D53E6B">
        <w:rPr>
          <w:rFonts w:ascii="Arial" w:hAnsi="Arial" w:cs="Arial"/>
          <w:color w:val="auto"/>
          <w:sz w:val="22"/>
          <w:szCs w:val="22"/>
        </w:rPr>
        <w:t xml:space="preserve">additional </w:t>
      </w:r>
      <w:r w:rsidR="00E925AA">
        <w:rPr>
          <w:rFonts w:ascii="Arial" w:hAnsi="Arial" w:cs="Arial"/>
          <w:color w:val="auto"/>
          <w:sz w:val="22"/>
          <w:szCs w:val="22"/>
        </w:rPr>
        <w:t>offences.</w:t>
      </w:r>
      <w:r w:rsidR="00D53E6B">
        <w:rPr>
          <w:rStyle w:val="FootnoteReference"/>
          <w:rFonts w:ascii="Arial" w:hAnsi="Arial"/>
          <w:color w:val="auto"/>
          <w:sz w:val="22"/>
          <w:szCs w:val="22"/>
        </w:rPr>
        <w:footnoteReference w:id="12"/>
      </w:r>
    </w:p>
    <w:p w:rsidR="00D675C5" w:rsidRDefault="00D675C5" w:rsidP="0009785A">
      <w:pPr>
        <w:pStyle w:val="NoSpacing"/>
        <w:rPr>
          <w:rFonts w:ascii="Arial" w:hAnsi="Arial" w:cs="Arial"/>
          <w:color w:val="auto"/>
          <w:sz w:val="22"/>
          <w:szCs w:val="22"/>
        </w:rPr>
      </w:pPr>
    </w:p>
    <w:p w:rsidR="00D53E6B" w:rsidRDefault="00D53E6B" w:rsidP="0009785A">
      <w:pPr>
        <w:pStyle w:val="NoSpacing"/>
        <w:rPr>
          <w:rFonts w:ascii="Arial" w:hAnsi="Arial" w:cs="Arial"/>
          <w:color w:val="auto"/>
          <w:sz w:val="22"/>
          <w:szCs w:val="22"/>
        </w:rPr>
      </w:pPr>
      <w:r>
        <w:rPr>
          <w:rFonts w:ascii="Arial" w:hAnsi="Arial" w:cs="Arial"/>
          <w:color w:val="auto"/>
          <w:sz w:val="22"/>
          <w:szCs w:val="22"/>
        </w:rPr>
        <w:t>The ATA does not support option 4. Despite the arguments in the RI</w:t>
      </w:r>
      <w:r w:rsidR="00D5370A">
        <w:rPr>
          <w:rFonts w:ascii="Arial" w:hAnsi="Arial" w:cs="Arial"/>
          <w:color w:val="auto"/>
          <w:sz w:val="22"/>
          <w:szCs w:val="22"/>
        </w:rPr>
        <w:t>S, it would not increase safety</w:t>
      </w:r>
      <w:r>
        <w:rPr>
          <w:rFonts w:ascii="Arial" w:hAnsi="Arial" w:cs="Arial"/>
          <w:color w:val="auto"/>
          <w:sz w:val="22"/>
          <w:szCs w:val="22"/>
        </w:rPr>
        <w:t xml:space="preserve"> and </w:t>
      </w:r>
      <w:r w:rsidR="00A658ED">
        <w:rPr>
          <w:rFonts w:ascii="Arial" w:hAnsi="Arial" w:cs="Arial"/>
          <w:color w:val="auto"/>
          <w:sz w:val="22"/>
          <w:szCs w:val="22"/>
        </w:rPr>
        <w:t xml:space="preserve">could </w:t>
      </w:r>
      <w:r>
        <w:rPr>
          <w:rFonts w:ascii="Arial" w:hAnsi="Arial" w:cs="Arial"/>
          <w:color w:val="auto"/>
          <w:sz w:val="22"/>
          <w:szCs w:val="22"/>
        </w:rPr>
        <w:t xml:space="preserve">in fact reduce it. It would increase the compliance </w:t>
      </w:r>
      <w:r w:rsidR="00A658ED">
        <w:rPr>
          <w:rFonts w:ascii="Arial" w:hAnsi="Arial" w:cs="Arial"/>
          <w:color w:val="auto"/>
          <w:sz w:val="22"/>
          <w:szCs w:val="22"/>
        </w:rPr>
        <w:t>burden on business</w:t>
      </w:r>
      <w:r>
        <w:rPr>
          <w:rFonts w:ascii="Arial" w:hAnsi="Arial" w:cs="Arial"/>
          <w:color w:val="auto"/>
          <w:sz w:val="22"/>
          <w:szCs w:val="22"/>
        </w:rPr>
        <w:t xml:space="preserve"> and would not be consistent with </w:t>
      </w:r>
      <w:r w:rsidR="00A658ED">
        <w:rPr>
          <w:rFonts w:ascii="Arial" w:hAnsi="Arial" w:cs="Arial"/>
          <w:color w:val="auto"/>
          <w:sz w:val="22"/>
          <w:szCs w:val="22"/>
        </w:rPr>
        <w:t xml:space="preserve">the </w:t>
      </w:r>
      <w:r>
        <w:rPr>
          <w:rFonts w:ascii="Arial" w:hAnsi="Arial" w:cs="Arial"/>
          <w:color w:val="auto"/>
          <w:sz w:val="22"/>
          <w:szCs w:val="22"/>
        </w:rPr>
        <w:t>other national safety laws.</w:t>
      </w:r>
    </w:p>
    <w:p w:rsidR="001246EB" w:rsidRDefault="001246EB" w:rsidP="0009785A">
      <w:pPr>
        <w:pStyle w:val="NoSpacing"/>
        <w:rPr>
          <w:rFonts w:ascii="Arial" w:hAnsi="Arial" w:cs="Arial"/>
          <w:color w:val="auto"/>
          <w:sz w:val="22"/>
          <w:szCs w:val="22"/>
        </w:rPr>
      </w:pPr>
    </w:p>
    <w:p w:rsidR="00A658ED" w:rsidRDefault="00A658ED" w:rsidP="0009785A">
      <w:pPr>
        <w:pStyle w:val="NoSpacing"/>
        <w:rPr>
          <w:rFonts w:ascii="Arial" w:hAnsi="Arial" w:cs="Arial"/>
          <w:color w:val="auto"/>
          <w:sz w:val="22"/>
          <w:szCs w:val="22"/>
        </w:rPr>
      </w:pPr>
      <w:r>
        <w:rPr>
          <w:rFonts w:ascii="Arial" w:hAnsi="Arial" w:cs="Arial"/>
          <w:color w:val="auto"/>
          <w:sz w:val="22"/>
          <w:szCs w:val="22"/>
        </w:rPr>
        <w:t>In assessing option 4, the ATA has drawn on the COAG principles and guidelines for personal liability for corporate fault.</w:t>
      </w:r>
      <w:r>
        <w:rPr>
          <w:rStyle w:val="FootnoteReference"/>
          <w:rFonts w:ascii="Arial" w:hAnsi="Arial"/>
          <w:color w:val="auto"/>
          <w:sz w:val="22"/>
          <w:szCs w:val="22"/>
        </w:rPr>
        <w:footnoteReference w:id="13"/>
      </w:r>
      <w:r>
        <w:rPr>
          <w:rFonts w:ascii="Arial" w:hAnsi="Arial" w:cs="Arial"/>
          <w:color w:val="auto"/>
          <w:sz w:val="22"/>
          <w:szCs w:val="22"/>
        </w:rPr>
        <w:t xml:space="preserve"> </w:t>
      </w:r>
    </w:p>
    <w:p w:rsidR="00A658ED" w:rsidRDefault="00A658ED" w:rsidP="0009785A">
      <w:pPr>
        <w:pStyle w:val="NoSpacing"/>
        <w:rPr>
          <w:rFonts w:ascii="Arial" w:hAnsi="Arial" w:cs="Arial"/>
          <w:color w:val="auto"/>
          <w:sz w:val="22"/>
          <w:szCs w:val="22"/>
        </w:rPr>
      </w:pPr>
    </w:p>
    <w:p w:rsidR="00A658ED" w:rsidRDefault="00A658ED" w:rsidP="0009785A">
      <w:pPr>
        <w:pStyle w:val="NoSpacing"/>
        <w:rPr>
          <w:rFonts w:ascii="Arial" w:hAnsi="Arial" w:cs="Arial"/>
          <w:color w:val="auto"/>
          <w:sz w:val="22"/>
          <w:szCs w:val="22"/>
        </w:rPr>
      </w:pPr>
      <w:r>
        <w:rPr>
          <w:rFonts w:ascii="Arial" w:hAnsi="Arial" w:cs="Arial"/>
          <w:color w:val="auto"/>
          <w:sz w:val="22"/>
          <w:szCs w:val="22"/>
        </w:rPr>
        <w:t>The RIS argues that the COAG principles do not apply, because the executive officer involved would personally commit the offence of failing to undertake due diligence.</w:t>
      </w:r>
      <w:r>
        <w:rPr>
          <w:rStyle w:val="FootnoteReference"/>
          <w:rFonts w:ascii="Arial" w:hAnsi="Arial"/>
          <w:color w:val="auto"/>
          <w:sz w:val="22"/>
          <w:szCs w:val="22"/>
        </w:rPr>
        <w:footnoteReference w:id="14"/>
      </w:r>
      <w:r>
        <w:rPr>
          <w:rFonts w:ascii="Arial" w:hAnsi="Arial" w:cs="Arial"/>
          <w:color w:val="auto"/>
          <w:sz w:val="22"/>
          <w:szCs w:val="22"/>
        </w:rPr>
        <w:t xml:space="preserve"> But the COAG principles are clearly intended to apply to situations where officers have a due diligence obligation. For example, section 2.3 of the </w:t>
      </w:r>
      <w:r w:rsidR="006E7F8B">
        <w:rPr>
          <w:rFonts w:ascii="Arial" w:hAnsi="Arial" w:cs="Arial"/>
          <w:color w:val="auto"/>
          <w:sz w:val="22"/>
          <w:szCs w:val="22"/>
        </w:rPr>
        <w:t>guidelines states that:</w:t>
      </w:r>
    </w:p>
    <w:p w:rsidR="006E7F8B" w:rsidRDefault="006E7F8B" w:rsidP="0009785A">
      <w:pPr>
        <w:pStyle w:val="NoSpacing"/>
        <w:rPr>
          <w:rFonts w:ascii="Arial" w:hAnsi="Arial" w:cs="Arial"/>
          <w:color w:val="auto"/>
          <w:sz w:val="22"/>
          <w:szCs w:val="22"/>
        </w:rPr>
      </w:pPr>
    </w:p>
    <w:p w:rsidR="006E7F8B" w:rsidRDefault="006E7F8B" w:rsidP="0009785A">
      <w:pPr>
        <w:pStyle w:val="NoSpacing"/>
        <w:rPr>
          <w:rFonts w:ascii="Arial" w:hAnsi="Arial" w:cs="Arial"/>
          <w:color w:val="auto"/>
          <w:sz w:val="22"/>
          <w:szCs w:val="22"/>
        </w:rPr>
      </w:pPr>
    </w:p>
    <w:p w:rsidR="006E7F8B" w:rsidRPr="006E7F8B" w:rsidRDefault="006E7F8B" w:rsidP="006E7F8B">
      <w:pPr>
        <w:ind w:left="1134" w:right="1134"/>
        <w:rPr>
          <w:rFonts w:ascii="Arial" w:eastAsia="Arial" w:hAnsi="Arial" w:cs="Arial"/>
          <w:sz w:val="20"/>
          <w:szCs w:val="20"/>
          <w:lang w:val="en-GB"/>
        </w:rPr>
      </w:pPr>
      <w:r w:rsidRPr="006E7F8B">
        <w:rPr>
          <w:rFonts w:ascii="Arial" w:eastAsia="Arial" w:hAnsi="Arial" w:cs="Arial"/>
          <w:sz w:val="20"/>
          <w:szCs w:val="20"/>
          <w:lang w:val="en-GB"/>
        </w:rPr>
        <w:t xml:space="preserve">The Directors’ Liability Provisions that are relevant to applying the COAG Principles are those that go beyond normal accessorial liability. </w:t>
      </w:r>
    </w:p>
    <w:p w:rsidR="006E7F8B" w:rsidRPr="006E7F8B" w:rsidRDefault="006E7F8B" w:rsidP="006E7F8B">
      <w:pPr>
        <w:ind w:left="1134" w:right="1134"/>
        <w:rPr>
          <w:rFonts w:ascii="Arial" w:eastAsia="Arial" w:hAnsi="Arial" w:cs="Arial"/>
          <w:sz w:val="20"/>
          <w:szCs w:val="20"/>
          <w:lang w:val="en-GB"/>
        </w:rPr>
      </w:pPr>
    </w:p>
    <w:p w:rsidR="006E7F8B" w:rsidRDefault="006E7F8B" w:rsidP="006E7F8B">
      <w:pPr>
        <w:ind w:left="1134" w:right="1134"/>
        <w:rPr>
          <w:rFonts w:ascii="Arial" w:eastAsia="Arial" w:hAnsi="Arial" w:cs="Arial"/>
          <w:sz w:val="20"/>
          <w:szCs w:val="20"/>
          <w:lang w:val="en-GB"/>
        </w:rPr>
      </w:pPr>
      <w:r w:rsidRPr="006E7F8B">
        <w:rPr>
          <w:rFonts w:ascii="Arial" w:eastAsia="Arial" w:hAnsi="Arial" w:cs="Arial"/>
          <w:sz w:val="20"/>
          <w:szCs w:val="20"/>
          <w:lang w:val="en-GB"/>
        </w:rPr>
        <w:t>Generally speaking these are provisions which extend liability by also holding directors liable where they have been negligent in relation to the corporation’s contravention. While different language is sometimes used, what is common about these provisions is that they provide that a director or other officer will be liable if they were “negligent”, or failed to take “reasonable steps”, or failed to exercise “</w:t>
      </w:r>
      <w:r w:rsidRPr="006E7F8B">
        <w:rPr>
          <w:rFonts w:ascii="Arial" w:eastAsia="Arial" w:hAnsi="Arial" w:cs="Arial"/>
          <w:b/>
          <w:sz w:val="20"/>
          <w:szCs w:val="20"/>
          <w:lang w:val="en-GB"/>
        </w:rPr>
        <w:t>due diligence</w:t>
      </w:r>
      <w:r w:rsidRPr="006E7F8B">
        <w:rPr>
          <w:rFonts w:ascii="Arial" w:eastAsia="Arial" w:hAnsi="Arial" w:cs="Arial"/>
          <w:sz w:val="20"/>
          <w:szCs w:val="20"/>
          <w:lang w:val="en-GB"/>
        </w:rPr>
        <w:t xml:space="preserve">”, to avoid or prevent the corporation’s contravention. </w:t>
      </w:r>
    </w:p>
    <w:p w:rsidR="006E7F8B" w:rsidRDefault="006E7F8B" w:rsidP="006E7F8B">
      <w:pPr>
        <w:ind w:left="1134" w:right="1134"/>
        <w:rPr>
          <w:rFonts w:ascii="Arial" w:eastAsia="Arial" w:hAnsi="Arial" w:cs="Arial"/>
          <w:sz w:val="20"/>
          <w:szCs w:val="20"/>
          <w:lang w:val="en-GB"/>
        </w:rPr>
      </w:pPr>
    </w:p>
    <w:p w:rsidR="006E7F8B" w:rsidRPr="006E7F8B" w:rsidRDefault="006E7F8B" w:rsidP="006E7F8B">
      <w:pPr>
        <w:ind w:left="1134" w:right="1134"/>
        <w:rPr>
          <w:rFonts w:ascii="Arial" w:eastAsia="Arial" w:hAnsi="Arial" w:cs="Arial"/>
          <w:sz w:val="20"/>
          <w:szCs w:val="20"/>
          <w:lang w:val="en-GB"/>
        </w:rPr>
      </w:pPr>
      <w:r>
        <w:rPr>
          <w:rFonts w:ascii="Arial" w:eastAsia="Arial" w:hAnsi="Arial" w:cs="Arial"/>
          <w:sz w:val="20"/>
          <w:szCs w:val="20"/>
          <w:lang w:val="en-GB"/>
        </w:rPr>
        <w:t>[emphasis added]</w:t>
      </w:r>
    </w:p>
    <w:p w:rsidR="006E7F8B" w:rsidRDefault="006E7F8B" w:rsidP="006E7F8B">
      <w:pPr>
        <w:pStyle w:val="NoSpacing"/>
        <w:rPr>
          <w:rFonts w:ascii="Arial" w:hAnsi="Arial" w:cs="Arial"/>
          <w:color w:val="auto"/>
          <w:sz w:val="22"/>
          <w:szCs w:val="22"/>
        </w:rPr>
      </w:pPr>
    </w:p>
    <w:p w:rsidR="006E7F8B" w:rsidRDefault="006E7F8B" w:rsidP="006E7F8B">
      <w:pPr>
        <w:pStyle w:val="NoSpacing"/>
        <w:rPr>
          <w:rFonts w:ascii="Arial" w:hAnsi="Arial" w:cs="Arial"/>
          <w:color w:val="auto"/>
          <w:sz w:val="22"/>
          <w:szCs w:val="22"/>
        </w:rPr>
      </w:pPr>
    </w:p>
    <w:p w:rsidR="006E7F8B" w:rsidRDefault="006E7F8B" w:rsidP="006E7F8B">
      <w:pPr>
        <w:pStyle w:val="NoSpacing"/>
        <w:rPr>
          <w:rFonts w:ascii="Arial" w:hAnsi="Arial" w:cs="Arial"/>
          <w:color w:val="auto"/>
          <w:sz w:val="22"/>
          <w:szCs w:val="22"/>
        </w:rPr>
      </w:pPr>
      <w:r>
        <w:rPr>
          <w:rFonts w:ascii="Arial" w:hAnsi="Arial" w:cs="Arial"/>
          <w:color w:val="auto"/>
          <w:sz w:val="22"/>
          <w:szCs w:val="22"/>
        </w:rPr>
        <w:t>In any case, the RIS itself has a bet each way on the applicability of the guidelines, since part of its case for option 3 is that all the offences that would be included under the option were recently assessed.</w:t>
      </w:r>
      <w:r w:rsidR="00621E7B">
        <w:rPr>
          <w:rStyle w:val="FootnoteReference"/>
          <w:rFonts w:ascii="Arial" w:hAnsi="Arial"/>
          <w:color w:val="auto"/>
          <w:sz w:val="22"/>
          <w:szCs w:val="22"/>
        </w:rPr>
        <w:footnoteReference w:id="15"/>
      </w:r>
    </w:p>
    <w:p w:rsidR="00D53E6B" w:rsidRDefault="00D53E6B" w:rsidP="0009785A">
      <w:pPr>
        <w:pStyle w:val="NoSpacing"/>
        <w:rPr>
          <w:rFonts w:ascii="Arial" w:hAnsi="Arial" w:cs="Arial"/>
          <w:color w:val="auto"/>
          <w:sz w:val="22"/>
          <w:szCs w:val="22"/>
        </w:rPr>
      </w:pPr>
    </w:p>
    <w:p w:rsidR="00A658ED" w:rsidRDefault="00A658ED" w:rsidP="0009785A">
      <w:pPr>
        <w:pStyle w:val="NoSpacing"/>
        <w:rPr>
          <w:rFonts w:ascii="Arial" w:hAnsi="Arial" w:cs="Arial"/>
          <w:color w:val="auto"/>
          <w:sz w:val="22"/>
          <w:szCs w:val="22"/>
        </w:rPr>
      </w:pPr>
    </w:p>
    <w:p w:rsidR="00D53E6B" w:rsidRPr="00ED6E9A" w:rsidRDefault="00D53E6B" w:rsidP="00D5370A">
      <w:pPr>
        <w:pStyle w:val="NoSpacing"/>
        <w:keepNext/>
        <w:rPr>
          <w:rFonts w:ascii="Arial" w:hAnsi="Arial" w:cs="Arial"/>
          <w:b/>
          <w:i/>
          <w:color w:val="auto"/>
          <w:sz w:val="22"/>
          <w:szCs w:val="22"/>
        </w:rPr>
      </w:pPr>
      <w:r w:rsidRPr="00ED6E9A">
        <w:rPr>
          <w:rFonts w:ascii="Arial" w:hAnsi="Arial" w:cs="Arial"/>
          <w:b/>
          <w:i/>
          <w:color w:val="auto"/>
          <w:sz w:val="22"/>
          <w:szCs w:val="22"/>
        </w:rPr>
        <w:lastRenderedPageBreak/>
        <w:t>Impact of option 4 on safety</w:t>
      </w:r>
    </w:p>
    <w:p w:rsidR="00D53E6B" w:rsidRDefault="00D53E6B" w:rsidP="00D5370A">
      <w:pPr>
        <w:pStyle w:val="NoSpacing"/>
        <w:keepNext/>
        <w:rPr>
          <w:rFonts w:ascii="Arial" w:hAnsi="Arial" w:cs="Arial"/>
          <w:color w:val="auto"/>
          <w:sz w:val="22"/>
          <w:szCs w:val="22"/>
        </w:rPr>
      </w:pPr>
    </w:p>
    <w:p w:rsidR="00D53E6B" w:rsidRDefault="00D53E6B" w:rsidP="00D5370A">
      <w:pPr>
        <w:pStyle w:val="NoSpacing"/>
        <w:keepNext/>
        <w:rPr>
          <w:rFonts w:ascii="Arial" w:hAnsi="Arial" w:cs="Arial"/>
          <w:color w:val="auto"/>
          <w:sz w:val="22"/>
          <w:szCs w:val="22"/>
        </w:rPr>
      </w:pPr>
      <w:r>
        <w:rPr>
          <w:rFonts w:ascii="Arial" w:hAnsi="Arial" w:cs="Arial"/>
          <w:color w:val="auto"/>
          <w:sz w:val="22"/>
          <w:szCs w:val="22"/>
        </w:rPr>
        <w:t>The RIS argues that option 4 would improve safety because it would extend the scope of executive officer responsibility to cover some serious safety-related offences where executive officers do not currently have any liability.</w:t>
      </w:r>
      <w:r>
        <w:rPr>
          <w:rStyle w:val="FootnoteReference"/>
          <w:rFonts w:ascii="Arial" w:hAnsi="Arial"/>
          <w:color w:val="auto"/>
          <w:sz w:val="22"/>
          <w:szCs w:val="22"/>
        </w:rPr>
        <w:footnoteReference w:id="16"/>
      </w:r>
    </w:p>
    <w:p w:rsidR="00D53E6B" w:rsidRDefault="00D53E6B" w:rsidP="00D53E6B">
      <w:pPr>
        <w:pStyle w:val="NoSpacing"/>
        <w:rPr>
          <w:rFonts w:ascii="Arial" w:hAnsi="Arial" w:cs="Arial"/>
          <w:color w:val="auto"/>
          <w:sz w:val="22"/>
          <w:szCs w:val="22"/>
        </w:rPr>
      </w:pPr>
    </w:p>
    <w:p w:rsidR="00621E7B" w:rsidRDefault="00621E7B" w:rsidP="00D53E6B">
      <w:pPr>
        <w:pStyle w:val="NoSpacing"/>
        <w:rPr>
          <w:rFonts w:ascii="Arial" w:hAnsi="Arial" w:cs="Arial"/>
          <w:color w:val="auto"/>
          <w:sz w:val="22"/>
          <w:szCs w:val="22"/>
        </w:rPr>
      </w:pPr>
      <w:r>
        <w:rPr>
          <w:rFonts w:ascii="Arial" w:hAnsi="Arial" w:cs="Arial"/>
          <w:color w:val="auto"/>
          <w:sz w:val="22"/>
          <w:szCs w:val="22"/>
        </w:rPr>
        <w:t xml:space="preserve">The COAG guidelines require a rigorous and transparent assessment </w:t>
      </w:r>
      <w:r w:rsidR="00CD4D02">
        <w:rPr>
          <w:rFonts w:ascii="Arial" w:hAnsi="Arial" w:cs="Arial"/>
          <w:color w:val="auto"/>
          <w:sz w:val="22"/>
          <w:szCs w:val="22"/>
        </w:rPr>
        <w:t>to demonstrate that a compelling public policy reason exists to extend liability for these offences.</w:t>
      </w:r>
      <w:r w:rsidR="00CD4D02">
        <w:rPr>
          <w:rStyle w:val="FootnoteReference"/>
          <w:rFonts w:ascii="Arial" w:hAnsi="Arial"/>
          <w:color w:val="auto"/>
          <w:sz w:val="22"/>
          <w:szCs w:val="22"/>
        </w:rPr>
        <w:footnoteReference w:id="17"/>
      </w:r>
    </w:p>
    <w:p w:rsidR="00D5370A" w:rsidRDefault="00D5370A" w:rsidP="00D53E6B">
      <w:pPr>
        <w:pStyle w:val="NoSpacing"/>
        <w:rPr>
          <w:rFonts w:ascii="Arial" w:hAnsi="Arial" w:cs="Arial"/>
          <w:color w:val="auto"/>
          <w:sz w:val="22"/>
          <w:szCs w:val="22"/>
        </w:rPr>
      </w:pPr>
    </w:p>
    <w:p w:rsidR="00D53E6B" w:rsidRDefault="00D53E6B" w:rsidP="00D53E6B">
      <w:pPr>
        <w:pStyle w:val="NoSpacing"/>
        <w:rPr>
          <w:rFonts w:ascii="Arial" w:hAnsi="Arial" w:cs="Arial"/>
          <w:color w:val="auto"/>
          <w:sz w:val="22"/>
          <w:szCs w:val="22"/>
        </w:rPr>
      </w:pPr>
      <w:r>
        <w:rPr>
          <w:rFonts w:ascii="Arial" w:hAnsi="Arial" w:cs="Arial"/>
          <w:color w:val="auto"/>
          <w:sz w:val="22"/>
          <w:szCs w:val="22"/>
        </w:rPr>
        <w:t xml:space="preserve">The RIS </w:t>
      </w:r>
      <w:r w:rsidR="00CD4D02">
        <w:rPr>
          <w:rFonts w:ascii="Arial" w:hAnsi="Arial" w:cs="Arial"/>
          <w:color w:val="auto"/>
          <w:sz w:val="22"/>
          <w:szCs w:val="22"/>
        </w:rPr>
        <w:t xml:space="preserve">fails to meet this requirement. It </w:t>
      </w:r>
      <w:r w:rsidR="0066153A">
        <w:rPr>
          <w:rFonts w:ascii="Arial" w:hAnsi="Arial" w:cs="Arial"/>
          <w:color w:val="auto"/>
          <w:sz w:val="22"/>
          <w:szCs w:val="22"/>
        </w:rPr>
        <w:t>only</w:t>
      </w:r>
      <w:r>
        <w:rPr>
          <w:rFonts w:ascii="Arial" w:hAnsi="Arial" w:cs="Arial"/>
          <w:color w:val="auto"/>
          <w:sz w:val="22"/>
          <w:szCs w:val="22"/>
        </w:rPr>
        <w:t xml:space="preserve"> cit</w:t>
      </w:r>
      <w:r w:rsidR="0066153A">
        <w:rPr>
          <w:rFonts w:ascii="Arial" w:hAnsi="Arial" w:cs="Arial"/>
          <w:color w:val="auto"/>
          <w:sz w:val="22"/>
          <w:szCs w:val="22"/>
        </w:rPr>
        <w:t>es</w:t>
      </w:r>
      <w:r>
        <w:rPr>
          <w:rFonts w:ascii="Arial" w:hAnsi="Arial" w:cs="Arial"/>
          <w:color w:val="auto"/>
          <w:sz w:val="22"/>
          <w:szCs w:val="22"/>
        </w:rPr>
        <w:t xml:space="preserve"> one example of </w:t>
      </w:r>
      <w:r w:rsidR="00CD4D02">
        <w:rPr>
          <w:rFonts w:ascii="Arial" w:hAnsi="Arial" w:cs="Arial"/>
          <w:color w:val="auto"/>
          <w:sz w:val="22"/>
          <w:szCs w:val="22"/>
        </w:rPr>
        <w:t xml:space="preserve">such </w:t>
      </w:r>
      <w:r>
        <w:rPr>
          <w:rFonts w:ascii="Arial" w:hAnsi="Arial" w:cs="Arial"/>
          <w:color w:val="auto"/>
          <w:sz w:val="22"/>
          <w:szCs w:val="22"/>
        </w:rPr>
        <w:t>an offence: section 228, which imposes a duty on drivers to avoid driving while fatigued. According to the RIS, option 4 would mean that executive officers would need to ensure corporations had systems in place to prevent fatigue breaches.</w:t>
      </w:r>
      <w:r w:rsidR="00CA03BB">
        <w:rPr>
          <w:rStyle w:val="FootnoteReference"/>
          <w:rFonts w:ascii="Arial" w:hAnsi="Arial"/>
          <w:color w:val="auto"/>
          <w:sz w:val="22"/>
          <w:szCs w:val="22"/>
        </w:rPr>
        <w:footnoteReference w:id="18"/>
      </w:r>
      <w:r>
        <w:rPr>
          <w:rFonts w:ascii="Arial" w:hAnsi="Arial" w:cs="Arial"/>
          <w:color w:val="auto"/>
          <w:sz w:val="22"/>
          <w:szCs w:val="22"/>
        </w:rPr>
        <w:t xml:space="preserve"> </w:t>
      </w:r>
    </w:p>
    <w:p w:rsidR="00D53E6B" w:rsidRDefault="00D53E6B" w:rsidP="00D53E6B">
      <w:pPr>
        <w:pStyle w:val="NoSpacing"/>
        <w:rPr>
          <w:rFonts w:ascii="Arial" w:hAnsi="Arial" w:cs="Arial"/>
          <w:color w:val="auto"/>
          <w:sz w:val="22"/>
          <w:szCs w:val="22"/>
        </w:rPr>
      </w:pPr>
    </w:p>
    <w:p w:rsidR="00D53E6B" w:rsidRDefault="00D53E6B" w:rsidP="00D53E6B">
      <w:pPr>
        <w:pStyle w:val="NoSpacing"/>
        <w:rPr>
          <w:rFonts w:ascii="Arial" w:hAnsi="Arial" w:cs="Arial"/>
          <w:color w:val="auto"/>
          <w:sz w:val="22"/>
          <w:szCs w:val="22"/>
        </w:rPr>
      </w:pPr>
      <w:r>
        <w:rPr>
          <w:rFonts w:ascii="Arial" w:hAnsi="Arial" w:cs="Arial"/>
          <w:color w:val="auto"/>
          <w:sz w:val="22"/>
          <w:szCs w:val="22"/>
        </w:rPr>
        <w:t>But executive officers already have t</w:t>
      </w:r>
      <w:r w:rsidR="00F336A0">
        <w:rPr>
          <w:rFonts w:ascii="Arial" w:hAnsi="Arial" w:cs="Arial"/>
          <w:color w:val="auto"/>
          <w:sz w:val="22"/>
          <w:szCs w:val="22"/>
        </w:rPr>
        <w:t>his obligation</w:t>
      </w:r>
      <w:r>
        <w:rPr>
          <w:rFonts w:ascii="Arial" w:hAnsi="Arial" w:cs="Arial"/>
          <w:color w:val="auto"/>
          <w:sz w:val="22"/>
          <w:szCs w:val="22"/>
        </w:rPr>
        <w:t xml:space="preserve"> under multiple provisions</w:t>
      </w:r>
      <w:r w:rsidR="004C2ACD">
        <w:rPr>
          <w:rFonts w:ascii="Arial" w:hAnsi="Arial" w:cs="Arial"/>
          <w:color w:val="auto"/>
          <w:sz w:val="22"/>
          <w:szCs w:val="22"/>
        </w:rPr>
        <w:t xml:space="preserve"> in</w:t>
      </w:r>
      <w:r w:rsidR="00F336A0">
        <w:rPr>
          <w:rFonts w:ascii="Arial" w:hAnsi="Arial" w:cs="Arial"/>
          <w:color w:val="auto"/>
          <w:sz w:val="22"/>
          <w:szCs w:val="22"/>
        </w:rPr>
        <w:t xml:space="preserve"> chapter 6</w:t>
      </w:r>
      <w:r>
        <w:rPr>
          <w:rFonts w:ascii="Arial" w:hAnsi="Arial" w:cs="Arial"/>
          <w:color w:val="auto"/>
          <w:sz w:val="22"/>
          <w:szCs w:val="22"/>
        </w:rPr>
        <w:t xml:space="preserve">, and </w:t>
      </w:r>
      <w:r w:rsidR="00CD4D02">
        <w:rPr>
          <w:rFonts w:ascii="Arial" w:hAnsi="Arial" w:cs="Arial"/>
          <w:color w:val="auto"/>
          <w:sz w:val="22"/>
          <w:szCs w:val="22"/>
        </w:rPr>
        <w:t xml:space="preserve">will </w:t>
      </w:r>
      <w:r>
        <w:rPr>
          <w:rFonts w:ascii="Arial" w:hAnsi="Arial" w:cs="Arial"/>
          <w:color w:val="auto"/>
          <w:sz w:val="22"/>
          <w:szCs w:val="22"/>
        </w:rPr>
        <w:t xml:space="preserve">in future have </w:t>
      </w:r>
      <w:r w:rsidR="00F336A0">
        <w:rPr>
          <w:rFonts w:ascii="Arial" w:hAnsi="Arial" w:cs="Arial"/>
          <w:color w:val="auto"/>
          <w:sz w:val="22"/>
          <w:szCs w:val="22"/>
        </w:rPr>
        <w:t xml:space="preserve">this obligation under their general due diligence </w:t>
      </w:r>
      <w:r w:rsidR="00D5370A">
        <w:rPr>
          <w:rFonts w:ascii="Arial" w:hAnsi="Arial" w:cs="Arial"/>
          <w:color w:val="auto"/>
          <w:sz w:val="22"/>
          <w:szCs w:val="22"/>
        </w:rPr>
        <w:t>obligation</w:t>
      </w:r>
      <w:r w:rsidR="00F336A0">
        <w:rPr>
          <w:rFonts w:ascii="Arial" w:hAnsi="Arial" w:cs="Arial"/>
          <w:color w:val="auto"/>
          <w:sz w:val="22"/>
          <w:szCs w:val="22"/>
        </w:rPr>
        <w:t xml:space="preserve">. Implementing option 4 would simply add complexity </w:t>
      </w:r>
      <w:r w:rsidR="0066153A">
        <w:rPr>
          <w:rFonts w:ascii="Arial" w:hAnsi="Arial" w:cs="Arial"/>
          <w:color w:val="auto"/>
          <w:sz w:val="22"/>
          <w:szCs w:val="22"/>
        </w:rPr>
        <w:t>and duplication to the obligations that officers already have</w:t>
      </w:r>
      <w:r w:rsidR="00F336A0">
        <w:rPr>
          <w:rFonts w:ascii="Arial" w:hAnsi="Arial" w:cs="Arial"/>
          <w:color w:val="auto"/>
          <w:sz w:val="22"/>
          <w:szCs w:val="22"/>
        </w:rPr>
        <w:t>.</w:t>
      </w:r>
    </w:p>
    <w:p w:rsidR="00D53E6B" w:rsidRDefault="00D53E6B" w:rsidP="00D53E6B">
      <w:pPr>
        <w:pStyle w:val="NoSpacing"/>
        <w:rPr>
          <w:rFonts w:ascii="Arial" w:hAnsi="Arial" w:cs="Arial"/>
          <w:color w:val="auto"/>
          <w:sz w:val="22"/>
          <w:szCs w:val="22"/>
        </w:rPr>
      </w:pPr>
    </w:p>
    <w:p w:rsidR="00D53E6B" w:rsidRDefault="0066153A" w:rsidP="00D53E6B">
      <w:pPr>
        <w:pStyle w:val="NoSpacing"/>
        <w:rPr>
          <w:rFonts w:ascii="Arial" w:hAnsi="Arial" w:cs="Arial"/>
          <w:color w:val="auto"/>
          <w:sz w:val="22"/>
          <w:szCs w:val="22"/>
        </w:rPr>
      </w:pPr>
      <w:r>
        <w:rPr>
          <w:rFonts w:ascii="Arial" w:hAnsi="Arial" w:cs="Arial"/>
          <w:color w:val="auto"/>
          <w:sz w:val="22"/>
          <w:szCs w:val="22"/>
        </w:rPr>
        <w:t xml:space="preserve">As a result of the additional complexity involved in option 4, </w:t>
      </w:r>
      <w:r w:rsidR="00F336A0">
        <w:rPr>
          <w:rFonts w:ascii="Arial" w:hAnsi="Arial" w:cs="Arial"/>
          <w:color w:val="auto"/>
          <w:sz w:val="22"/>
          <w:szCs w:val="22"/>
        </w:rPr>
        <w:t xml:space="preserve">the ATA </w:t>
      </w:r>
      <w:r>
        <w:rPr>
          <w:rFonts w:ascii="Arial" w:hAnsi="Arial" w:cs="Arial"/>
          <w:color w:val="auto"/>
          <w:sz w:val="22"/>
          <w:szCs w:val="22"/>
        </w:rPr>
        <w:t xml:space="preserve">considers that it could </w:t>
      </w:r>
      <w:r w:rsidR="00F336A0">
        <w:rPr>
          <w:rFonts w:ascii="Arial" w:hAnsi="Arial" w:cs="Arial"/>
          <w:color w:val="auto"/>
          <w:sz w:val="22"/>
          <w:szCs w:val="22"/>
        </w:rPr>
        <w:t>achieve the perverse resul</w:t>
      </w:r>
      <w:r>
        <w:rPr>
          <w:rFonts w:ascii="Arial" w:hAnsi="Arial" w:cs="Arial"/>
          <w:color w:val="auto"/>
          <w:sz w:val="22"/>
          <w:szCs w:val="22"/>
        </w:rPr>
        <w:t>t of reducing safety compliance rather than increasing it</w:t>
      </w:r>
      <w:r w:rsidR="00F336A0">
        <w:rPr>
          <w:rFonts w:ascii="Arial" w:hAnsi="Arial" w:cs="Arial"/>
          <w:color w:val="auto"/>
          <w:sz w:val="22"/>
          <w:szCs w:val="22"/>
        </w:rPr>
        <w:t>.</w:t>
      </w:r>
    </w:p>
    <w:p w:rsidR="00F336A0" w:rsidRPr="004F4244" w:rsidRDefault="00F336A0" w:rsidP="00D53E6B">
      <w:pPr>
        <w:pStyle w:val="NoSpacing"/>
        <w:rPr>
          <w:rFonts w:ascii="Arial" w:hAnsi="Arial" w:cs="Arial"/>
          <w:color w:val="auto"/>
          <w:sz w:val="22"/>
          <w:szCs w:val="22"/>
        </w:rPr>
      </w:pPr>
    </w:p>
    <w:p w:rsidR="00D53E6B" w:rsidRPr="004F4244" w:rsidRDefault="00D53E6B" w:rsidP="00D53E6B">
      <w:pPr>
        <w:keepNext/>
        <w:rPr>
          <w:rFonts w:ascii="Arial" w:hAnsi="Arial" w:cs="Arial"/>
        </w:rPr>
      </w:pPr>
      <w:r w:rsidRPr="004F4244">
        <w:rPr>
          <w:rFonts w:ascii="Arial" w:hAnsi="Arial" w:cs="Arial"/>
        </w:rPr>
        <w:t xml:space="preserve">The effectiveness of </w:t>
      </w:r>
      <w:r w:rsidR="00F336A0">
        <w:rPr>
          <w:rFonts w:ascii="Arial" w:hAnsi="Arial" w:cs="Arial"/>
        </w:rPr>
        <w:t xml:space="preserve">executive officer liability depends on its being imposed </w:t>
      </w:r>
      <w:r w:rsidR="0066153A">
        <w:rPr>
          <w:rFonts w:ascii="Arial" w:hAnsi="Arial" w:cs="Arial"/>
        </w:rPr>
        <w:t>on a manageable number of serious offences.</w:t>
      </w:r>
      <w:r w:rsidRPr="004F4244">
        <w:rPr>
          <w:rFonts w:ascii="Arial" w:hAnsi="Arial" w:cs="Arial"/>
        </w:rPr>
        <w:t xml:space="preserve"> As the COAG guidelines point out:</w:t>
      </w:r>
    </w:p>
    <w:p w:rsidR="00D53E6B" w:rsidRDefault="00D53E6B" w:rsidP="00D53E6B">
      <w:pPr>
        <w:rPr>
          <w:rFonts w:ascii="Arial" w:hAnsi="Arial" w:cs="Arial"/>
        </w:rPr>
      </w:pPr>
    </w:p>
    <w:p w:rsidR="00A61E1F" w:rsidRPr="004F4244" w:rsidRDefault="00A61E1F" w:rsidP="00D53E6B">
      <w:pPr>
        <w:rPr>
          <w:rFonts w:ascii="Arial" w:hAnsi="Arial" w:cs="Arial"/>
        </w:rPr>
      </w:pPr>
    </w:p>
    <w:p w:rsidR="00D53E6B" w:rsidRPr="004F4244" w:rsidRDefault="00D53E6B" w:rsidP="00D53E6B">
      <w:pPr>
        <w:ind w:left="1134" w:right="1134"/>
        <w:rPr>
          <w:rFonts w:ascii="Arial" w:hAnsi="Arial" w:cs="Arial"/>
          <w:sz w:val="20"/>
          <w:szCs w:val="20"/>
        </w:rPr>
      </w:pPr>
      <w:r w:rsidRPr="004F4244">
        <w:rPr>
          <w:rFonts w:ascii="Arial" w:hAnsi="Arial" w:cs="Arial"/>
          <w:sz w:val="20"/>
          <w:szCs w:val="20"/>
        </w:rPr>
        <w:t>If Directors’ Liability is imposed on too many offences, some of which are serious and some of which are not, then the imposition of such liability fails to serve as an effective signal to directors as to the few particular offences which society considers to be of such seriousness as to justify a higher level of personal diligence and risk-avoidance behaviour on the part of corporate boards.</w:t>
      </w:r>
      <w:r w:rsidR="00CD4D02">
        <w:rPr>
          <w:rStyle w:val="FootnoteReference"/>
          <w:rFonts w:ascii="Arial" w:hAnsi="Arial"/>
          <w:sz w:val="20"/>
          <w:szCs w:val="20"/>
        </w:rPr>
        <w:footnoteReference w:id="19"/>
      </w:r>
    </w:p>
    <w:p w:rsidR="00D53E6B" w:rsidRDefault="00D53E6B" w:rsidP="0009785A">
      <w:pPr>
        <w:pStyle w:val="NoSpacing"/>
        <w:rPr>
          <w:rFonts w:ascii="Arial" w:hAnsi="Arial" w:cs="Arial"/>
          <w:color w:val="auto"/>
          <w:sz w:val="22"/>
          <w:szCs w:val="22"/>
        </w:rPr>
      </w:pPr>
    </w:p>
    <w:p w:rsidR="00A61E1F" w:rsidRDefault="00A61E1F" w:rsidP="0009785A">
      <w:pPr>
        <w:pStyle w:val="NoSpacing"/>
        <w:rPr>
          <w:rFonts w:ascii="Arial" w:hAnsi="Arial" w:cs="Arial"/>
          <w:color w:val="auto"/>
          <w:sz w:val="22"/>
          <w:szCs w:val="22"/>
        </w:rPr>
      </w:pPr>
    </w:p>
    <w:p w:rsidR="0066153A" w:rsidRDefault="0066153A" w:rsidP="0009785A">
      <w:pPr>
        <w:pStyle w:val="NoSpacing"/>
        <w:rPr>
          <w:rFonts w:ascii="Arial" w:hAnsi="Arial" w:cs="Arial"/>
          <w:color w:val="auto"/>
          <w:sz w:val="22"/>
          <w:szCs w:val="22"/>
        </w:rPr>
      </w:pPr>
      <w:r>
        <w:rPr>
          <w:rFonts w:ascii="Arial" w:hAnsi="Arial" w:cs="Arial"/>
          <w:color w:val="auto"/>
          <w:sz w:val="22"/>
          <w:szCs w:val="22"/>
        </w:rPr>
        <w:t>Option 4 has exactly this problem: it would swamp critically important safety obligations under a</w:t>
      </w:r>
      <w:r w:rsidR="00CD4D02">
        <w:rPr>
          <w:rFonts w:ascii="Arial" w:hAnsi="Arial" w:cs="Arial"/>
          <w:color w:val="auto"/>
          <w:sz w:val="22"/>
          <w:szCs w:val="22"/>
        </w:rPr>
        <w:t xml:space="preserve"> requirement for executive officers to exercise due diligence to prevent an overwhelming number</w:t>
      </w:r>
      <w:r>
        <w:rPr>
          <w:rFonts w:ascii="Arial" w:hAnsi="Arial" w:cs="Arial"/>
          <w:color w:val="auto"/>
          <w:sz w:val="22"/>
          <w:szCs w:val="22"/>
        </w:rPr>
        <w:t xml:space="preserve"> of less serious offences.</w:t>
      </w:r>
    </w:p>
    <w:p w:rsidR="0066153A" w:rsidRDefault="0066153A" w:rsidP="0009785A">
      <w:pPr>
        <w:pStyle w:val="NoSpacing"/>
        <w:rPr>
          <w:rFonts w:ascii="Arial" w:hAnsi="Arial" w:cs="Arial"/>
          <w:color w:val="auto"/>
          <w:sz w:val="22"/>
          <w:szCs w:val="22"/>
        </w:rPr>
      </w:pPr>
    </w:p>
    <w:p w:rsidR="00D53E6B" w:rsidRDefault="00D53E6B" w:rsidP="0009785A">
      <w:pPr>
        <w:pStyle w:val="NoSpacing"/>
        <w:rPr>
          <w:rFonts w:ascii="Arial" w:hAnsi="Arial" w:cs="Arial"/>
          <w:color w:val="auto"/>
          <w:sz w:val="22"/>
          <w:szCs w:val="22"/>
        </w:rPr>
      </w:pPr>
    </w:p>
    <w:p w:rsidR="001246EB" w:rsidRPr="00ED6E9A" w:rsidRDefault="0066153A" w:rsidP="00ED6E9A">
      <w:pPr>
        <w:pStyle w:val="NoSpacing"/>
        <w:keepNext/>
        <w:rPr>
          <w:rFonts w:ascii="Arial" w:hAnsi="Arial" w:cs="Arial"/>
          <w:b/>
          <w:i/>
          <w:color w:val="auto"/>
          <w:sz w:val="22"/>
          <w:szCs w:val="22"/>
        </w:rPr>
      </w:pPr>
      <w:r w:rsidRPr="00ED6E9A">
        <w:rPr>
          <w:rFonts w:ascii="Arial" w:hAnsi="Arial" w:cs="Arial"/>
          <w:b/>
          <w:i/>
          <w:color w:val="auto"/>
          <w:sz w:val="22"/>
          <w:szCs w:val="22"/>
        </w:rPr>
        <w:t>Impact of option 4 on compliance costs</w:t>
      </w:r>
    </w:p>
    <w:p w:rsidR="001246EB" w:rsidRDefault="001246EB" w:rsidP="00ED6E9A">
      <w:pPr>
        <w:pStyle w:val="NoSpacing"/>
        <w:keepNext/>
        <w:rPr>
          <w:rFonts w:ascii="Arial" w:hAnsi="Arial" w:cs="Arial"/>
          <w:color w:val="auto"/>
          <w:sz w:val="22"/>
          <w:szCs w:val="22"/>
        </w:rPr>
      </w:pPr>
    </w:p>
    <w:p w:rsidR="00A61E1F" w:rsidRDefault="00627054" w:rsidP="00ED6E9A">
      <w:pPr>
        <w:pStyle w:val="NoSpacing"/>
        <w:keepNext/>
        <w:rPr>
          <w:rFonts w:ascii="Arial" w:hAnsi="Arial" w:cs="Arial"/>
          <w:color w:val="auto"/>
          <w:sz w:val="22"/>
          <w:szCs w:val="22"/>
        </w:rPr>
      </w:pPr>
      <w:r>
        <w:rPr>
          <w:rFonts w:ascii="Arial" w:hAnsi="Arial" w:cs="Arial"/>
          <w:color w:val="auto"/>
          <w:sz w:val="22"/>
          <w:szCs w:val="22"/>
        </w:rPr>
        <w:t>O</w:t>
      </w:r>
      <w:r w:rsidR="001246EB">
        <w:rPr>
          <w:rFonts w:ascii="Arial" w:hAnsi="Arial" w:cs="Arial"/>
          <w:color w:val="auto"/>
          <w:sz w:val="22"/>
          <w:szCs w:val="22"/>
        </w:rPr>
        <w:t xml:space="preserve">ption </w:t>
      </w:r>
      <w:r>
        <w:rPr>
          <w:rFonts w:ascii="Arial" w:hAnsi="Arial" w:cs="Arial"/>
          <w:color w:val="auto"/>
          <w:sz w:val="22"/>
          <w:szCs w:val="22"/>
        </w:rPr>
        <w:t xml:space="preserve">4 </w:t>
      </w:r>
      <w:r w:rsidR="001246EB">
        <w:rPr>
          <w:rFonts w:ascii="Arial" w:hAnsi="Arial" w:cs="Arial"/>
          <w:color w:val="auto"/>
          <w:sz w:val="22"/>
          <w:szCs w:val="22"/>
        </w:rPr>
        <w:t>would increase the compliance burden on bus</w:t>
      </w:r>
      <w:r w:rsidR="008C4022">
        <w:rPr>
          <w:rFonts w:ascii="Arial" w:hAnsi="Arial" w:cs="Arial"/>
          <w:color w:val="auto"/>
          <w:sz w:val="22"/>
          <w:szCs w:val="22"/>
        </w:rPr>
        <w:t>inesses by requiring executive officers</w:t>
      </w:r>
      <w:r w:rsidR="001246EB">
        <w:rPr>
          <w:rFonts w:ascii="Arial" w:hAnsi="Arial" w:cs="Arial"/>
          <w:color w:val="auto"/>
          <w:sz w:val="22"/>
          <w:szCs w:val="22"/>
        </w:rPr>
        <w:t xml:space="preserve"> to exercise due diligence </w:t>
      </w:r>
      <w:r w:rsidR="008C4022">
        <w:rPr>
          <w:rFonts w:ascii="Arial" w:hAnsi="Arial" w:cs="Arial"/>
          <w:color w:val="auto"/>
          <w:sz w:val="22"/>
          <w:szCs w:val="22"/>
        </w:rPr>
        <w:t xml:space="preserve">to prevent </w:t>
      </w:r>
      <w:r w:rsidR="001246EB">
        <w:rPr>
          <w:rFonts w:ascii="Arial" w:hAnsi="Arial" w:cs="Arial"/>
          <w:color w:val="auto"/>
          <w:sz w:val="22"/>
          <w:szCs w:val="22"/>
        </w:rPr>
        <w:t xml:space="preserve">a </w:t>
      </w:r>
      <w:r w:rsidR="008C4022">
        <w:rPr>
          <w:rFonts w:ascii="Arial" w:hAnsi="Arial" w:cs="Arial"/>
          <w:color w:val="auto"/>
          <w:sz w:val="22"/>
          <w:szCs w:val="22"/>
        </w:rPr>
        <w:t>much greater</w:t>
      </w:r>
      <w:r w:rsidR="001246EB">
        <w:rPr>
          <w:rFonts w:ascii="Arial" w:hAnsi="Arial" w:cs="Arial"/>
          <w:color w:val="auto"/>
          <w:sz w:val="22"/>
          <w:szCs w:val="22"/>
        </w:rPr>
        <w:t xml:space="preserve"> range of offences than at present.</w:t>
      </w:r>
      <w:r w:rsidR="00A61E1F">
        <w:rPr>
          <w:rFonts w:ascii="Arial" w:hAnsi="Arial" w:cs="Arial"/>
          <w:color w:val="auto"/>
          <w:sz w:val="22"/>
          <w:szCs w:val="22"/>
        </w:rPr>
        <w:t xml:space="preserve"> </w:t>
      </w:r>
    </w:p>
    <w:p w:rsidR="00A61E1F" w:rsidRDefault="00A61E1F" w:rsidP="00A61E1F">
      <w:pPr>
        <w:pStyle w:val="NoSpacing"/>
        <w:rPr>
          <w:rFonts w:ascii="Arial" w:hAnsi="Arial" w:cs="Arial"/>
          <w:color w:val="auto"/>
          <w:sz w:val="22"/>
          <w:szCs w:val="22"/>
        </w:rPr>
      </w:pPr>
    </w:p>
    <w:p w:rsidR="001246EB" w:rsidRDefault="00A61E1F" w:rsidP="00D5370A">
      <w:pPr>
        <w:pStyle w:val="NoSpacing"/>
        <w:keepNext/>
        <w:rPr>
          <w:rFonts w:ascii="Arial" w:hAnsi="Arial" w:cs="Arial"/>
          <w:color w:val="auto"/>
          <w:sz w:val="22"/>
          <w:szCs w:val="22"/>
        </w:rPr>
      </w:pPr>
      <w:r>
        <w:rPr>
          <w:rFonts w:ascii="Arial" w:hAnsi="Arial" w:cs="Arial"/>
          <w:color w:val="auto"/>
          <w:sz w:val="22"/>
          <w:szCs w:val="22"/>
        </w:rPr>
        <w:lastRenderedPageBreak/>
        <w:t>The RIS concedes that these offences are often less serious than those covered by the existing s 636(2) provisions and that many are administrative in nature.</w:t>
      </w:r>
      <w:r>
        <w:rPr>
          <w:rStyle w:val="FootnoteReference"/>
          <w:rFonts w:ascii="Arial" w:hAnsi="Arial"/>
          <w:color w:val="auto"/>
          <w:sz w:val="22"/>
          <w:szCs w:val="22"/>
        </w:rPr>
        <w:footnoteReference w:id="20"/>
      </w:r>
      <w:r w:rsidR="009F2C3D">
        <w:rPr>
          <w:rFonts w:ascii="Arial" w:hAnsi="Arial" w:cs="Arial"/>
          <w:color w:val="auto"/>
          <w:sz w:val="22"/>
          <w:szCs w:val="22"/>
        </w:rPr>
        <w:t xml:space="preserve"> They include offences relating to:</w:t>
      </w:r>
    </w:p>
    <w:p w:rsidR="009F2C3D" w:rsidRDefault="009F2C3D" w:rsidP="00D5370A">
      <w:pPr>
        <w:pStyle w:val="NoSpacing"/>
        <w:keepNext/>
        <w:rPr>
          <w:rFonts w:ascii="Arial" w:hAnsi="Arial" w:cs="Arial"/>
          <w:color w:val="auto"/>
          <w:sz w:val="22"/>
          <w:szCs w:val="22"/>
        </w:rPr>
      </w:pPr>
    </w:p>
    <w:p w:rsidR="009F2C3D" w:rsidRDefault="009F2C3D" w:rsidP="00D5370A">
      <w:pPr>
        <w:pStyle w:val="NoSpacing"/>
        <w:keepNext/>
        <w:numPr>
          <w:ilvl w:val="0"/>
          <w:numId w:val="6"/>
        </w:numPr>
        <w:rPr>
          <w:rFonts w:ascii="Arial" w:hAnsi="Arial" w:cs="Arial"/>
          <w:color w:val="auto"/>
          <w:sz w:val="22"/>
          <w:szCs w:val="22"/>
        </w:rPr>
      </w:pPr>
      <w:r>
        <w:rPr>
          <w:rFonts w:ascii="Arial" w:hAnsi="Arial" w:cs="Arial"/>
          <w:color w:val="auto"/>
          <w:sz w:val="22"/>
          <w:szCs w:val="22"/>
        </w:rPr>
        <w:t>replacing defaced, lost or stolen permits</w:t>
      </w:r>
      <w:r>
        <w:rPr>
          <w:rStyle w:val="FootnoteReference"/>
          <w:rFonts w:ascii="Arial" w:hAnsi="Arial"/>
          <w:color w:val="auto"/>
          <w:sz w:val="22"/>
          <w:szCs w:val="22"/>
        </w:rPr>
        <w:footnoteReference w:id="21"/>
      </w:r>
    </w:p>
    <w:p w:rsidR="009F2C3D" w:rsidRDefault="009F2C3D" w:rsidP="00D5370A">
      <w:pPr>
        <w:pStyle w:val="NoSpacing"/>
        <w:keepNext/>
        <w:numPr>
          <w:ilvl w:val="0"/>
          <w:numId w:val="6"/>
        </w:numPr>
        <w:rPr>
          <w:rFonts w:ascii="Arial" w:hAnsi="Arial" w:cs="Arial"/>
          <w:color w:val="auto"/>
          <w:sz w:val="22"/>
          <w:szCs w:val="22"/>
        </w:rPr>
      </w:pPr>
      <w:r>
        <w:rPr>
          <w:rFonts w:ascii="Arial" w:hAnsi="Arial" w:cs="Arial"/>
          <w:color w:val="auto"/>
          <w:sz w:val="22"/>
          <w:szCs w:val="22"/>
        </w:rPr>
        <w:t>using the correct time zone in a driver’s work diary</w:t>
      </w:r>
      <w:r>
        <w:rPr>
          <w:rStyle w:val="FootnoteReference"/>
          <w:rFonts w:ascii="Arial" w:hAnsi="Arial"/>
          <w:color w:val="auto"/>
          <w:sz w:val="22"/>
          <w:szCs w:val="22"/>
        </w:rPr>
        <w:footnoteReference w:id="22"/>
      </w:r>
      <w:r>
        <w:rPr>
          <w:rFonts w:ascii="Arial" w:hAnsi="Arial" w:cs="Arial"/>
          <w:color w:val="auto"/>
          <w:sz w:val="22"/>
          <w:szCs w:val="22"/>
        </w:rPr>
        <w:t xml:space="preserve"> and</w:t>
      </w:r>
    </w:p>
    <w:p w:rsidR="009F2C3D" w:rsidRDefault="009F2C3D" w:rsidP="00D5370A">
      <w:pPr>
        <w:pStyle w:val="NoSpacing"/>
        <w:keepNext/>
        <w:numPr>
          <w:ilvl w:val="0"/>
          <w:numId w:val="6"/>
        </w:numPr>
        <w:rPr>
          <w:rFonts w:ascii="Arial" w:hAnsi="Arial" w:cs="Arial"/>
          <w:color w:val="auto"/>
          <w:sz w:val="22"/>
          <w:szCs w:val="22"/>
        </w:rPr>
      </w:pPr>
      <w:r>
        <w:rPr>
          <w:rFonts w:ascii="Arial" w:hAnsi="Arial" w:cs="Arial"/>
          <w:color w:val="auto"/>
          <w:sz w:val="22"/>
          <w:szCs w:val="22"/>
        </w:rPr>
        <w:t>providing information to work diary record keepers within 21 days</w:t>
      </w:r>
      <w:r>
        <w:rPr>
          <w:rStyle w:val="FootnoteReference"/>
          <w:rFonts w:ascii="Arial" w:hAnsi="Arial"/>
          <w:color w:val="auto"/>
          <w:sz w:val="22"/>
          <w:szCs w:val="22"/>
        </w:rPr>
        <w:footnoteReference w:id="23"/>
      </w:r>
    </w:p>
    <w:p w:rsidR="001246EB" w:rsidRDefault="001246EB" w:rsidP="0009785A">
      <w:pPr>
        <w:pStyle w:val="NoSpacing"/>
        <w:rPr>
          <w:rFonts w:ascii="Arial" w:hAnsi="Arial" w:cs="Arial"/>
          <w:color w:val="auto"/>
          <w:sz w:val="22"/>
          <w:szCs w:val="22"/>
        </w:rPr>
      </w:pPr>
    </w:p>
    <w:p w:rsidR="009F2C3D" w:rsidRDefault="009F2C3D" w:rsidP="0009785A">
      <w:pPr>
        <w:pStyle w:val="NoSpacing"/>
        <w:rPr>
          <w:rFonts w:ascii="Arial" w:hAnsi="Arial" w:cs="Arial"/>
          <w:color w:val="auto"/>
          <w:sz w:val="22"/>
          <w:szCs w:val="22"/>
        </w:rPr>
      </w:pPr>
      <w:r>
        <w:rPr>
          <w:rFonts w:ascii="Arial" w:hAnsi="Arial" w:cs="Arial"/>
          <w:color w:val="auto"/>
          <w:sz w:val="22"/>
          <w:szCs w:val="22"/>
        </w:rPr>
        <w:t xml:space="preserve">It is not at all clear why an executive officer – who might be a part time, independent director – should </w:t>
      </w:r>
      <w:r w:rsidR="00D5370A">
        <w:rPr>
          <w:rFonts w:ascii="Arial" w:hAnsi="Arial" w:cs="Arial"/>
          <w:color w:val="auto"/>
          <w:sz w:val="22"/>
          <w:szCs w:val="22"/>
        </w:rPr>
        <w:t>be personally liable for</w:t>
      </w:r>
      <w:r>
        <w:rPr>
          <w:rFonts w:ascii="Arial" w:hAnsi="Arial" w:cs="Arial"/>
          <w:color w:val="auto"/>
          <w:sz w:val="22"/>
          <w:szCs w:val="22"/>
        </w:rPr>
        <w:t xml:space="preserve"> exercising due diligence to prevent such administrative offences, when the officer should be focusing </w:t>
      </w:r>
      <w:r w:rsidR="00F93594">
        <w:rPr>
          <w:rFonts w:ascii="Arial" w:hAnsi="Arial" w:cs="Arial"/>
          <w:color w:val="auto"/>
          <w:sz w:val="22"/>
          <w:szCs w:val="22"/>
        </w:rPr>
        <w:t>on broader safety and business concerns.</w:t>
      </w:r>
      <w:r w:rsidR="00D5370A">
        <w:rPr>
          <w:rFonts w:ascii="Arial" w:hAnsi="Arial" w:cs="Arial"/>
          <w:color w:val="auto"/>
          <w:sz w:val="22"/>
          <w:szCs w:val="22"/>
        </w:rPr>
        <w:t xml:space="preserve"> </w:t>
      </w:r>
    </w:p>
    <w:p w:rsidR="00A61E1F" w:rsidRDefault="00A61E1F" w:rsidP="0009785A">
      <w:pPr>
        <w:pStyle w:val="NoSpacing"/>
        <w:rPr>
          <w:rFonts w:ascii="Arial" w:hAnsi="Arial" w:cs="Arial"/>
          <w:color w:val="auto"/>
          <w:sz w:val="22"/>
          <w:szCs w:val="22"/>
        </w:rPr>
      </w:pPr>
    </w:p>
    <w:p w:rsidR="005411E8" w:rsidRDefault="005411E8" w:rsidP="005411E8">
      <w:pPr>
        <w:pStyle w:val="NoSpacing"/>
        <w:keepNext/>
        <w:rPr>
          <w:rFonts w:ascii="Arial" w:hAnsi="Arial" w:cs="Arial"/>
          <w:color w:val="auto"/>
          <w:sz w:val="22"/>
          <w:szCs w:val="22"/>
        </w:rPr>
      </w:pPr>
      <w:r>
        <w:rPr>
          <w:rFonts w:ascii="Arial" w:hAnsi="Arial" w:cs="Arial"/>
          <w:color w:val="auto"/>
          <w:sz w:val="22"/>
          <w:szCs w:val="22"/>
        </w:rPr>
        <w:t>Under option 4, executive officers would also bear a due diligence obligation to prevent offences by employees, such as:</w:t>
      </w:r>
    </w:p>
    <w:p w:rsidR="005411E8" w:rsidRDefault="005411E8" w:rsidP="005411E8">
      <w:pPr>
        <w:pStyle w:val="NoSpacing"/>
        <w:keepNext/>
        <w:rPr>
          <w:rFonts w:ascii="Arial" w:hAnsi="Arial" w:cs="Arial"/>
          <w:color w:val="auto"/>
          <w:sz w:val="22"/>
          <w:szCs w:val="22"/>
        </w:rPr>
      </w:pPr>
    </w:p>
    <w:p w:rsidR="005411E8" w:rsidRDefault="005411E8" w:rsidP="005411E8">
      <w:pPr>
        <w:pStyle w:val="NoSpacing"/>
        <w:keepNext/>
        <w:numPr>
          <w:ilvl w:val="0"/>
          <w:numId w:val="7"/>
        </w:numPr>
        <w:rPr>
          <w:rFonts w:ascii="Arial" w:hAnsi="Arial" w:cs="Arial"/>
          <w:color w:val="auto"/>
          <w:sz w:val="22"/>
          <w:szCs w:val="22"/>
        </w:rPr>
      </w:pPr>
      <w:r>
        <w:rPr>
          <w:rFonts w:ascii="Arial" w:hAnsi="Arial" w:cs="Arial"/>
          <w:color w:val="auto"/>
          <w:sz w:val="22"/>
          <w:szCs w:val="22"/>
        </w:rPr>
        <w:t>disobeying a direction to move or leave a heavy vehicle</w:t>
      </w:r>
      <w:r>
        <w:rPr>
          <w:rStyle w:val="FootnoteReference"/>
          <w:rFonts w:ascii="Arial" w:hAnsi="Arial"/>
          <w:color w:val="auto"/>
          <w:sz w:val="22"/>
          <w:szCs w:val="22"/>
        </w:rPr>
        <w:footnoteReference w:id="24"/>
      </w:r>
    </w:p>
    <w:p w:rsidR="005411E8" w:rsidRDefault="004C2ACD" w:rsidP="005411E8">
      <w:pPr>
        <w:pStyle w:val="NoSpacing"/>
        <w:keepNext/>
        <w:numPr>
          <w:ilvl w:val="0"/>
          <w:numId w:val="7"/>
        </w:numPr>
        <w:rPr>
          <w:rFonts w:ascii="Arial" w:hAnsi="Arial" w:cs="Arial"/>
          <w:color w:val="auto"/>
          <w:sz w:val="22"/>
          <w:szCs w:val="22"/>
        </w:rPr>
      </w:pPr>
      <w:r>
        <w:rPr>
          <w:rFonts w:ascii="Arial" w:hAnsi="Arial" w:cs="Arial"/>
          <w:color w:val="auto"/>
          <w:sz w:val="22"/>
          <w:szCs w:val="22"/>
        </w:rPr>
        <w:t xml:space="preserve">refusing to provide a name, </w:t>
      </w:r>
      <w:r w:rsidR="005411E8">
        <w:rPr>
          <w:rFonts w:ascii="Arial" w:hAnsi="Arial" w:cs="Arial"/>
          <w:color w:val="auto"/>
          <w:sz w:val="22"/>
          <w:szCs w:val="22"/>
        </w:rPr>
        <w:t>address</w:t>
      </w:r>
      <w:r>
        <w:rPr>
          <w:rFonts w:ascii="Arial" w:hAnsi="Arial" w:cs="Arial"/>
          <w:color w:val="auto"/>
          <w:sz w:val="22"/>
          <w:szCs w:val="22"/>
        </w:rPr>
        <w:t xml:space="preserve"> and date of birth</w:t>
      </w:r>
      <w:r w:rsidR="005411E8">
        <w:rPr>
          <w:rStyle w:val="FootnoteReference"/>
          <w:rFonts w:ascii="Arial" w:hAnsi="Arial"/>
          <w:color w:val="auto"/>
          <w:sz w:val="22"/>
          <w:szCs w:val="22"/>
        </w:rPr>
        <w:footnoteReference w:id="25"/>
      </w:r>
      <w:r w:rsidR="005411E8">
        <w:rPr>
          <w:rFonts w:ascii="Arial" w:hAnsi="Arial" w:cs="Arial"/>
          <w:color w:val="auto"/>
          <w:sz w:val="22"/>
          <w:szCs w:val="22"/>
        </w:rPr>
        <w:t xml:space="preserve"> and</w:t>
      </w:r>
    </w:p>
    <w:p w:rsidR="005411E8" w:rsidRDefault="005411E8" w:rsidP="005411E8">
      <w:pPr>
        <w:pStyle w:val="NoSpacing"/>
        <w:keepNext/>
        <w:numPr>
          <w:ilvl w:val="0"/>
          <w:numId w:val="7"/>
        </w:numPr>
        <w:rPr>
          <w:rFonts w:ascii="Arial" w:hAnsi="Arial" w:cs="Arial"/>
          <w:color w:val="auto"/>
          <w:sz w:val="22"/>
          <w:szCs w:val="22"/>
        </w:rPr>
      </w:pPr>
      <w:r>
        <w:rPr>
          <w:rFonts w:ascii="Arial" w:hAnsi="Arial" w:cs="Arial"/>
          <w:color w:val="auto"/>
          <w:sz w:val="22"/>
          <w:szCs w:val="22"/>
        </w:rPr>
        <w:t>obstructing an authorised officer.</w:t>
      </w:r>
      <w:r>
        <w:rPr>
          <w:rStyle w:val="FootnoteReference"/>
          <w:rFonts w:ascii="Arial" w:hAnsi="Arial"/>
          <w:color w:val="auto"/>
          <w:sz w:val="22"/>
          <w:szCs w:val="22"/>
        </w:rPr>
        <w:footnoteReference w:id="26"/>
      </w:r>
    </w:p>
    <w:p w:rsidR="005411E8" w:rsidRDefault="005411E8" w:rsidP="0009785A">
      <w:pPr>
        <w:pStyle w:val="NoSpacing"/>
        <w:rPr>
          <w:rFonts w:ascii="Arial" w:hAnsi="Arial" w:cs="Arial"/>
          <w:color w:val="auto"/>
          <w:sz w:val="22"/>
          <w:szCs w:val="22"/>
        </w:rPr>
      </w:pPr>
    </w:p>
    <w:p w:rsidR="005411E8" w:rsidRDefault="005411E8" w:rsidP="005411E8">
      <w:pPr>
        <w:pStyle w:val="NoSpacing"/>
        <w:rPr>
          <w:rFonts w:ascii="Arial" w:hAnsi="Arial" w:cs="Arial"/>
          <w:color w:val="auto"/>
          <w:sz w:val="22"/>
          <w:szCs w:val="22"/>
        </w:rPr>
      </w:pPr>
      <w:r>
        <w:rPr>
          <w:rFonts w:ascii="Arial" w:hAnsi="Arial" w:cs="Arial"/>
          <w:color w:val="auto"/>
          <w:sz w:val="22"/>
          <w:szCs w:val="22"/>
        </w:rPr>
        <w:t xml:space="preserve">Again, it is hard to see what an executive officer could do, in advance and from a distance, to manage the sort of dispute between an employee and an enforcement officer that </w:t>
      </w:r>
      <w:r w:rsidR="00D5370A">
        <w:rPr>
          <w:rFonts w:ascii="Arial" w:hAnsi="Arial" w:cs="Arial"/>
          <w:color w:val="auto"/>
          <w:sz w:val="22"/>
          <w:szCs w:val="22"/>
        </w:rPr>
        <w:t>would be likely to</w:t>
      </w:r>
      <w:r>
        <w:rPr>
          <w:rFonts w:ascii="Arial" w:hAnsi="Arial" w:cs="Arial"/>
          <w:color w:val="auto"/>
          <w:sz w:val="22"/>
          <w:szCs w:val="22"/>
        </w:rPr>
        <w:t xml:space="preserve"> lead to charges like these being laid. </w:t>
      </w:r>
    </w:p>
    <w:p w:rsidR="00E925AA" w:rsidRDefault="00E925AA" w:rsidP="00E925AA">
      <w:pPr>
        <w:pStyle w:val="NoSpacing"/>
        <w:rPr>
          <w:rFonts w:ascii="Arial" w:hAnsi="Arial" w:cs="Arial"/>
          <w:color w:val="auto"/>
          <w:sz w:val="22"/>
          <w:szCs w:val="22"/>
        </w:rPr>
      </w:pPr>
    </w:p>
    <w:p w:rsidR="00E925AA" w:rsidRDefault="00E925AA" w:rsidP="0009785A">
      <w:pPr>
        <w:pStyle w:val="NoSpacing"/>
        <w:rPr>
          <w:rFonts w:ascii="Arial" w:hAnsi="Arial" w:cs="Arial"/>
          <w:color w:val="auto"/>
          <w:sz w:val="22"/>
          <w:szCs w:val="22"/>
        </w:rPr>
      </w:pPr>
    </w:p>
    <w:p w:rsidR="00D675C5" w:rsidRPr="00ED6E9A" w:rsidRDefault="00545C2B" w:rsidP="0009785A">
      <w:pPr>
        <w:pStyle w:val="NoSpacing"/>
        <w:rPr>
          <w:rFonts w:ascii="Arial" w:hAnsi="Arial" w:cs="Arial"/>
          <w:b/>
          <w:i/>
          <w:color w:val="auto"/>
          <w:sz w:val="22"/>
          <w:szCs w:val="22"/>
        </w:rPr>
      </w:pPr>
      <w:r>
        <w:rPr>
          <w:rFonts w:ascii="Arial" w:hAnsi="Arial" w:cs="Arial"/>
          <w:b/>
          <w:i/>
          <w:color w:val="auto"/>
          <w:sz w:val="22"/>
          <w:szCs w:val="22"/>
        </w:rPr>
        <w:t>Consistency</w:t>
      </w:r>
      <w:r w:rsidR="009D6CE6" w:rsidRPr="00ED6E9A">
        <w:rPr>
          <w:rFonts w:ascii="Arial" w:hAnsi="Arial" w:cs="Arial"/>
          <w:b/>
          <w:i/>
          <w:color w:val="auto"/>
          <w:sz w:val="22"/>
          <w:szCs w:val="22"/>
        </w:rPr>
        <w:t xml:space="preserve"> with other national safety laws</w:t>
      </w:r>
    </w:p>
    <w:p w:rsidR="006A72DB" w:rsidRPr="009D6CE6" w:rsidRDefault="006A72DB" w:rsidP="006A72DB">
      <w:pPr>
        <w:autoSpaceDE w:val="0"/>
        <w:autoSpaceDN w:val="0"/>
        <w:adjustRightInd w:val="0"/>
        <w:rPr>
          <w:rFonts w:ascii="Arial" w:hAnsi="Arial" w:cs="Arial"/>
          <w:color w:val="000000"/>
          <w:lang w:eastAsia="en-AU"/>
        </w:rPr>
      </w:pPr>
    </w:p>
    <w:p w:rsidR="009D6CE6" w:rsidRPr="009D6CE6" w:rsidRDefault="009D6CE6" w:rsidP="006A72DB">
      <w:pPr>
        <w:autoSpaceDE w:val="0"/>
        <w:autoSpaceDN w:val="0"/>
        <w:adjustRightInd w:val="0"/>
        <w:rPr>
          <w:rFonts w:ascii="Arial" w:hAnsi="Arial" w:cs="Arial"/>
          <w:color w:val="000000"/>
          <w:lang w:eastAsia="en-AU"/>
        </w:rPr>
      </w:pPr>
      <w:r>
        <w:rPr>
          <w:rFonts w:ascii="Arial" w:hAnsi="Arial" w:cs="Arial"/>
          <w:color w:val="000000"/>
          <w:lang w:eastAsia="en-AU"/>
        </w:rPr>
        <w:t>The RIS argues that option 4 would be ‘similar in application’ to the requirements placed on executive officers under the RSNL and the Model WHS Act.</w:t>
      </w:r>
      <w:r w:rsidR="00911280">
        <w:rPr>
          <w:rStyle w:val="FootnoteReference"/>
          <w:rFonts w:ascii="Arial" w:hAnsi="Arial"/>
          <w:color w:val="000000"/>
          <w:lang w:eastAsia="en-AU"/>
        </w:rPr>
        <w:footnoteReference w:id="27"/>
      </w:r>
      <w:r>
        <w:rPr>
          <w:rFonts w:ascii="Arial" w:hAnsi="Arial" w:cs="Arial"/>
          <w:color w:val="000000"/>
          <w:lang w:eastAsia="en-AU"/>
        </w:rPr>
        <w:t xml:space="preserve"> </w:t>
      </w:r>
      <w:r w:rsidR="00627054">
        <w:rPr>
          <w:rFonts w:ascii="Arial" w:hAnsi="Arial" w:cs="Arial"/>
          <w:color w:val="000000"/>
          <w:lang w:eastAsia="en-AU"/>
        </w:rPr>
        <w:t>This argument is incorrect: option 4 would go well beyond the requirements</w:t>
      </w:r>
      <w:r w:rsidR="00911280">
        <w:rPr>
          <w:rFonts w:ascii="Arial" w:hAnsi="Arial" w:cs="Arial"/>
          <w:color w:val="000000"/>
          <w:lang w:eastAsia="en-AU"/>
        </w:rPr>
        <w:t xml:space="preserve"> </w:t>
      </w:r>
      <w:r w:rsidR="00627054">
        <w:rPr>
          <w:rFonts w:ascii="Arial" w:hAnsi="Arial" w:cs="Arial"/>
          <w:color w:val="000000"/>
          <w:lang w:eastAsia="en-AU"/>
        </w:rPr>
        <w:t>of the other national safety laws.</w:t>
      </w:r>
    </w:p>
    <w:p w:rsidR="009D6CE6" w:rsidRDefault="009D6CE6" w:rsidP="006A72DB">
      <w:pPr>
        <w:autoSpaceDE w:val="0"/>
        <w:autoSpaceDN w:val="0"/>
        <w:adjustRightInd w:val="0"/>
        <w:rPr>
          <w:rFonts w:ascii="Arial" w:hAnsi="Arial" w:cs="Arial"/>
          <w:color w:val="000000"/>
          <w:lang w:eastAsia="en-AU"/>
        </w:rPr>
      </w:pPr>
    </w:p>
    <w:p w:rsidR="00911280" w:rsidRPr="00911280" w:rsidRDefault="00911280" w:rsidP="00A61E1F">
      <w:pPr>
        <w:keepNext/>
        <w:autoSpaceDE w:val="0"/>
        <w:autoSpaceDN w:val="0"/>
        <w:adjustRightInd w:val="0"/>
        <w:rPr>
          <w:rFonts w:ascii="Arial" w:hAnsi="Arial" w:cs="Arial"/>
          <w:i/>
          <w:color w:val="000000"/>
          <w:lang w:eastAsia="en-AU"/>
        </w:rPr>
      </w:pPr>
      <w:r w:rsidRPr="00911280">
        <w:rPr>
          <w:rFonts w:ascii="Arial" w:hAnsi="Arial" w:cs="Arial"/>
          <w:i/>
          <w:color w:val="000000"/>
          <w:lang w:eastAsia="en-AU"/>
        </w:rPr>
        <w:t>WHS Act</w:t>
      </w:r>
    </w:p>
    <w:p w:rsidR="00911280" w:rsidRPr="006A72DB" w:rsidRDefault="00911280" w:rsidP="00A61E1F">
      <w:pPr>
        <w:keepNext/>
        <w:autoSpaceDE w:val="0"/>
        <w:autoSpaceDN w:val="0"/>
        <w:adjustRightInd w:val="0"/>
        <w:rPr>
          <w:rFonts w:ascii="Arial" w:hAnsi="Arial" w:cs="Arial"/>
          <w:color w:val="000000"/>
          <w:lang w:eastAsia="en-AU"/>
        </w:rPr>
      </w:pPr>
    </w:p>
    <w:p w:rsidR="006A72DB" w:rsidRPr="006A72DB" w:rsidRDefault="006A72DB" w:rsidP="00A61E1F">
      <w:pPr>
        <w:keepNext/>
        <w:autoSpaceDE w:val="0"/>
        <w:autoSpaceDN w:val="0"/>
        <w:adjustRightInd w:val="0"/>
        <w:rPr>
          <w:rFonts w:ascii="Arial" w:hAnsi="Arial" w:cs="Arial"/>
          <w:color w:val="000000"/>
          <w:lang w:eastAsia="en-AU"/>
        </w:rPr>
      </w:pPr>
      <w:r w:rsidRPr="006A72DB">
        <w:rPr>
          <w:rFonts w:ascii="Arial" w:hAnsi="Arial" w:cs="Arial"/>
          <w:color w:val="000000"/>
          <w:lang w:eastAsia="en-AU"/>
        </w:rPr>
        <w:t>The due diligence obligation under sectio</w:t>
      </w:r>
      <w:r w:rsidR="00911280">
        <w:rPr>
          <w:rFonts w:ascii="Arial" w:hAnsi="Arial" w:cs="Arial"/>
          <w:color w:val="000000"/>
          <w:lang w:eastAsia="en-AU"/>
        </w:rPr>
        <w:t>n 27(1) of the WHS Act states:</w:t>
      </w:r>
    </w:p>
    <w:p w:rsidR="006A72DB" w:rsidRDefault="006A72DB" w:rsidP="00A61E1F">
      <w:pPr>
        <w:keepNext/>
        <w:autoSpaceDE w:val="0"/>
        <w:autoSpaceDN w:val="0"/>
        <w:adjustRightInd w:val="0"/>
        <w:rPr>
          <w:rFonts w:ascii="Arial" w:hAnsi="Arial" w:cs="Arial"/>
          <w:color w:val="000000"/>
          <w:lang w:eastAsia="en-AU"/>
        </w:rPr>
      </w:pPr>
    </w:p>
    <w:p w:rsidR="00A61E1F" w:rsidRPr="006A72DB" w:rsidRDefault="00A61E1F" w:rsidP="00A61E1F">
      <w:pPr>
        <w:keepNext/>
        <w:autoSpaceDE w:val="0"/>
        <w:autoSpaceDN w:val="0"/>
        <w:adjustRightInd w:val="0"/>
        <w:rPr>
          <w:rFonts w:ascii="Arial" w:hAnsi="Arial" w:cs="Arial"/>
          <w:color w:val="000000"/>
          <w:lang w:eastAsia="en-AU"/>
        </w:rPr>
      </w:pPr>
    </w:p>
    <w:p w:rsidR="006A72DB" w:rsidRPr="00911280" w:rsidRDefault="006A72DB" w:rsidP="00A61E1F">
      <w:pPr>
        <w:keepNext/>
        <w:autoSpaceDE w:val="0"/>
        <w:autoSpaceDN w:val="0"/>
        <w:adjustRightInd w:val="0"/>
        <w:ind w:left="1134" w:right="1134"/>
        <w:rPr>
          <w:rFonts w:ascii="Arial" w:hAnsi="Arial" w:cs="Arial"/>
          <w:color w:val="000000"/>
          <w:sz w:val="20"/>
          <w:szCs w:val="20"/>
          <w:lang w:eastAsia="en-AU"/>
        </w:rPr>
      </w:pPr>
      <w:r w:rsidRPr="006A72DB">
        <w:rPr>
          <w:rFonts w:ascii="Arial" w:hAnsi="Arial" w:cs="Arial"/>
          <w:iCs/>
          <w:color w:val="000000"/>
          <w:sz w:val="20"/>
          <w:szCs w:val="20"/>
          <w:lang w:eastAsia="en-AU"/>
        </w:rPr>
        <w:t>If a PCBU has a duty or obligation under this Act, an officer of the PCBU must exercise due diligence to ensure that the PCBU complies with that duty or obligation.</w:t>
      </w:r>
    </w:p>
    <w:p w:rsidR="006A72DB" w:rsidRDefault="006A72DB" w:rsidP="006A72DB">
      <w:pPr>
        <w:autoSpaceDE w:val="0"/>
        <w:autoSpaceDN w:val="0"/>
        <w:adjustRightInd w:val="0"/>
        <w:rPr>
          <w:rFonts w:ascii="Arial" w:hAnsi="Arial" w:cs="Arial"/>
          <w:color w:val="000000"/>
          <w:lang w:eastAsia="en-AU"/>
        </w:rPr>
      </w:pPr>
    </w:p>
    <w:p w:rsidR="00A61E1F" w:rsidRPr="006A72DB" w:rsidRDefault="00A61E1F" w:rsidP="006A72DB">
      <w:pPr>
        <w:autoSpaceDE w:val="0"/>
        <w:autoSpaceDN w:val="0"/>
        <w:adjustRightInd w:val="0"/>
        <w:rPr>
          <w:rFonts w:ascii="Arial" w:hAnsi="Arial" w:cs="Arial"/>
          <w:color w:val="000000"/>
          <w:lang w:eastAsia="en-AU"/>
        </w:rPr>
      </w:pPr>
    </w:p>
    <w:p w:rsidR="006A72DB" w:rsidRDefault="006A72DB" w:rsidP="006A72DB">
      <w:pPr>
        <w:autoSpaceDE w:val="0"/>
        <w:autoSpaceDN w:val="0"/>
        <w:adjustRightInd w:val="0"/>
        <w:rPr>
          <w:rFonts w:ascii="Arial" w:hAnsi="Arial" w:cs="Arial"/>
          <w:color w:val="000000"/>
          <w:lang w:eastAsia="en-AU"/>
        </w:rPr>
      </w:pPr>
      <w:r w:rsidRPr="006A72DB">
        <w:rPr>
          <w:rFonts w:ascii="Arial" w:hAnsi="Arial" w:cs="Arial"/>
          <w:color w:val="000000"/>
          <w:lang w:eastAsia="en-AU"/>
        </w:rPr>
        <w:t>“This Act” is defined in section 4 of the WHS A</w:t>
      </w:r>
      <w:r>
        <w:rPr>
          <w:rFonts w:ascii="Arial" w:hAnsi="Arial" w:cs="Arial"/>
          <w:color w:val="000000"/>
          <w:lang w:eastAsia="en-AU"/>
        </w:rPr>
        <w:t xml:space="preserve">ct (or, in some jurisdictions, </w:t>
      </w:r>
      <w:r w:rsidRPr="006A72DB">
        <w:rPr>
          <w:rFonts w:ascii="Arial" w:hAnsi="Arial" w:cs="Arial"/>
          <w:color w:val="000000"/>
          <w:lang w:eastAsia="en-AU"/>
        </w:rPr>
        <w:t xml:space="preserve">in Interpretation Acts) to include both the WHS Act and the WHS Regulations. Accordingly, the due diligence obligation extends to ensuring that the PCBU complies with its duties and obligations under both the WHS Act and WHS Regulations. </w:t>
      </w:r>
    </w:p>
    <w:p w:rsidR="006A72DB" w:rsidRPr="006A72DB" w:rsidRDefault="006A72DB" w:rsidP="006A72DB">
      <w:pPr>
        <w:autoSpaceDE w:val="0"/>
        <w:autoSpaceDN w:val="0"/>
        <w:adjustRightInd w:val="0"/>
        <w:rPr>
          <w:rFonts w:ascii="Arial" w:hAnsi="Arial" w:cs="Arial"/>
          <w:color w:val="000000"/>
          <w:lang w:eastAsia="en-AU"/>
        </w:rPr>
      </w:pPr>
    </w:p>
    <w:p w:rsidR="006A72DB" w:rsidRPr="006A72DB" w:rsidRDefault="006A72DB" w:rsidP="006A72DB">
      <w:pPr>
        <w:autoSpaceDE w:val="0"/>
        <w:autoSpaceDN w:val="0"/>
        <w:adjustRightInd w:val="0"/>
        <w:rPr>
          <w:rFonts w:ascii="Arial" w:hAnsi="Arial" w:cs="Arial"/>
          <w:color w:val="000000"/>
          <w:lang w:eastAsia="en-AU"/>
        </w:rPr>
      </w:pPr>
      <w:r w:rsidRPr="006A72DB">
        <w:rPr>
          <w:rFonts w:ascii="Arial" w:hAnsi="Arial" w:cs="Arial"/>
          <w:color w:val="000000"/>
          <w:lang w:eastAsia="en-AU"/>
        </w:rPr>
        <w:lastRenderedPageBreak/>
        <w:t>The due diligence obligation does not, ho</w:t>
      </w:r>
      <w:r>
        <w:rPr>
          <w:rFonts w:ascii="Arial" w:hAnsi="Arial" w:cs="Arial"/>
          <w:color w:val="000000"/>
          <w:lang w:eastAsia="en-AU"/>
        </w:rPr>
        <w:t xml:space="preserve">wever, extend to ensuring that </w:t>
      </w:r>
      <w:r w:rsidRPr="006A72DB">
        <w:rPr>
          <w:rFonts w:ascii="Arial" w:hAnsi="Arial" w:cs="Arial"/>
          <w:color w:val="000000"/>
          <w:lang w:eastAsia="en-AU"/>
        </w:rPr>
        <w:t xml:space="preserve">natural persons working for the PCBU comply with </w:t>
      </w:r>
      <w:r w:rsidRPr="006A72DB">
        <w:rPr>
          <w:rFonts w:ascii="Arial" w:hAnsi="Arial" w:cs="Arial"/>
          <w:i/>
          <w:iCs/>
          <w:color w:val="000000"/>
          <w:lang w:eastAsia="en-AU"/>
        </w:rPr>
        <w:t xml:space="preserve">their </w:t>
      </w:r>
      <w:r w:rsidRPr="006A72DB">
        <w:rPr>
          <w:rFonts w:ascii="Arial" w:hAnsi="Arial" w:cs="Arial"/>
          <w:color w:val="000000"/>
          <w:lang w:eastAsia="en-AU"/>
        </w:rPr>
        <w:t xml:space="preserve">obligations under the WHS Act and WHS Regulations. This distinction can be demonstrated using the following example: </w:t>
      </w:r>
    </w:p>
    <w:p w:rsidR="00911280" w:rsidRDefault="00911280" w:rsidP="0009785A">
      <w:pPr>
        <w:pStyle w:val="NoSpacing"/>
        <w:rPr>
          <w:rFonts w:ascii="Arial" w:hAnsi="Arial" w:cs="Arial"/>
          <w:color w:val="auto"/>
          <w:sz w:val="22"/>
          <w:szCs w:val="22"/>
        </w:rPr>
      </w:pPr>
    </w:p>
    <w:p w:rsidR="00A61E1F" w:rsidRDefault="00A61E1F" w:rsidP="0009785A">
      <w:pPr>
        <w:pStyle w:val="NoSpacing"/>
        <w:rPr>
          <w:rFonts w:ascii="Arial" w:hAnsi="Arial" w:cs="Arial"/>
          <w:color w:val="auto"/>
          <w:sz w:val="22"/>
          <w:szCs w:val="22"/>
        </w:rPr>
      </w:pPr>
    </w:p>
    <w:p w:rsidR="00911280" w:rsidRPr="00911280" w:rsidRDefault="00911280" w:rsidP="008C4022">
      <w:pPr>
        <w:autoSpaceDE w:val="0"/>
        <w:autoSpaceDN w:val="0"/>
        <w:adjustRightInd w:val="0"/>
        <w:ind w:left="1134" w:right="1134"/>
        <w:rPr>
          <w:rFonts w:ascii="Arial" w:hAnsi="Arial" w:cs="Arial"/>
          <w:color w:val="000000"/>
          <w:sz w:val="20"/>
          <w:szCs w:val="20"/>
          <w:lang w:eastAsia="en-AU"/>
        </w:rPr>
      </w:pPr>
      <w:r w:rsidRPr="00911280">
        <w:rPr>
          <w:rFonts w:ascii="Arial" w:hAnsi="Arial" w:cs="Arial"/>
          <w:iCs/>
          <w:color w:val="000000"/>
          <w:sz w:val="20"/>
          <w:szCs w:val="20"/>
          <w:lang w:eastAsia="en-AU"/>
        </w:rPr>
        <w:t>In the context of high risk work which requires a high risk work licence, an officer’s due diligence obligation</w:t>
      </w:r>
      <w:r w:rsidRPr="00911280">
        <w:rPr>
          <w:rFonts w:ascii="Arial" w:hAnsi="Arial" w:cs="Arial"/>
          <w:color w:val="000000"/>
          <w:sz w:val="20"/>
          <w:szCs w:val="20"/>
          <w:lang w:eastAsia="en-AU"/>
        </w:rPr>
        <w:t xml:space="preserve">: </w:t>
      </w:r>
    </w:p>
    <w:p w:rsidR="00911280" w:rsidRPr="00911280" w:rsidRDefault="00911280" w:rsidP="008C4022">
      <w:pPr>
        <w:autoSpaceDE w:val="0"/>
        <w:autoSpaceDN w:val="0"/>
        <w:adjustRightInd w:val="0"/>
        <w:ind w:left="1134" w:right="1134"/>
        <w:rPr>
          <w:rFonts w:ascii="Arial" w:hAnsi="Arial" w:cs="Arial"/>
          <w:color w:val="000000"/>
          <w:sz w:val="20"/>
          <w:szCs w:val="20"/>
          <w:lang w:eastAsia="en-AU"/>
        </w:rPr>
      </w:pPr>
    </w:p>
    <w:p w:rsidR="00911280" w:rsidRPr="00911280" w:rsidRDefault="00911280" w:rsidP="008C4022">
      <w:pPr>
        <w:autoSpaceDE w:val="0"/>
        <w:autoSpaceDN w:val="0"/>
        <w:adjustRightInd w:val="0"/>
        <w:ind w:left="1134" w:right="1134"/>
        <w:rPr>
          <w:rFonts w:ascii="Arial" w:hAnsi="Arial" w:cs="Arial"/>
          <w:color w:val="000000"/>
          <w:sz w:val="20"/>
          <w:szCs w:val="20"/>
          <w:lang w:eastAsia="en-AU"/>
        </w:rPr>
      </w:pPr>
      <w:r w:rsidRPr="00911280">
        <w:rPr>
          <w:rFonts w:ascii="Arial" w:hAnsi="Arial" w:cs="Arial"/>
          <w:iCs/>
          <w:color w:val="000000"/>
          <w:sz w:val="20"/>
          <w:szCs w:val="20"/>
          <w:lang w:eastAsia="en-AU"/>
        </w:rPr>
        <w:t xml:space="preserve">(a) </w:t>
      </w:r>
      <w:r w:rsidRPr="00911280">
        <w:rPr>
          <w:rFonts w:ascii="Arial" w:hAnsi="Arial" w:cs="Arial"/>
          <w:b/>
          <w:bCs/>
          <w:iCs/>
          <w:color w:val="000000"/>
          <w:sz w:val="20"/>
          <w:szCs w:val="20"/>
          <w:lang w:eastAsia="en-AU"/>
        </w:rPr>
        <w:t xml:space="preserve">includes </w:t>
      </w:r>
      <w:r w:rsidRPr="00911280">
        <w:rPr>
          <w:rFonts w:ascii="Arial" w:hAnsi="Arial" w:cs="Arial"/>
          <w:iCs/>
          <w:color w:val="000000"/>
          <w:sz w:val="20"/>
          <w:szCs w:val="20"/>
          <w:lang w:eastAsia="en-AU"/>
        </w:rPr>
        <w:t xml:space="preserve">exercising due diligence to ensure that the PCBU sees written evidence that a worker has the relevant licence before allowing the worker to carry out the high risk work. This is because the duty is imposed on the PCBU under reg 85 of the WHS Regulations; </w:t>
      </w:r>
    </w:p>
    <w:p w:rsidR="00911280" w:rsidRPr="00911280" w:rsidRDefault="00911280" w:rsidP="008C4022">
      <w:pPr>
        <w:autoSpaceDE w:val="0"/>
        <w:autoSpaceDN w:val="0"/>
        <w:adjustRightInd w:val="0"/>
        <w:ind w:left="1134" w:right="1134"/>
        <w:rPr>
          <w:rFonts w:ascii="Arial" w:hAnsi="Arial" w:cs="Arial"/>
          <w:iCs/>
          <w:color w:val="000000"/>
          <w:sz w:val="20"/>
          <w:szCs w:val="20"/>
          <w:lang w:eastAsia="en-AU"/>
        </w:rPr>
      </w:pPr>
    </w:p>
    <w:p w:rsidR="00911280" w:rsidRPr="00911280" w:rsidRDefault="00911280" w:rsidP="008C4022">
      <w:pPr>
        <w:autoSpaceDE w:val="0"/>
        <w:autoSpaceDN w:val="0"/>
        <w:adjustRightInd w:val="0"/>
        <w:ind w:left="1134" w:right="1134"/>
        <w:rPr>
          <w:rFonts w:ascii="Arial" w:hAnsi="Arial" w:cs="Arial"/>
          <w:color w:val="000000"/>
          <w:sz w:val="20"/>
          <w:szCs w:val="20"/>
          <w:lang w:eastAsia="en-AU"/>
        </w:rPr>
      </w:pPr>
      <w:r w:rsidRPr="00911280">
        <w:rPr>
          <w:rFonts w:ascii="Arial" w:hAnsi="Arial" w:cs="Arial"/>
          <w:iCs/>
          <w:color w:val="000000"/>
          <w:sz w:val="20"/>
          <w:szCs w:val="20"/>
          <w:lang w:eastAsia="en-AU"/>
        </w:rPr>
        <w:t xml:space="preserve">(b) </w:t>
      </w:r>
      <w:r w:rsidRPr="00911280">
        <w:rPr>
          <w:rFonts w:ascii="Arial" w:hAnsi="Arial" w:cs="Arial"/>
          <w:b/>
          <w:bCs/>
          <w:iCs/>
          <w:color w:val="000000"/>
          <w:sz w:val="20"/>
          <w:szCs w:val="20"/>
          <w:lang w:eastAsia="en-AU"/>
        </w:rPr>
        <w:t xml:space="preserve">does NOT include </w:t>
      </w:r>
      <w:r w:rsidRPr="00911280">
        <w:rPr>
          <w:rFonts w:ascii="Arial" w:hAnsi="Arial" w:cs="Arial"/>
          <w:iCs/>
          <w:color w:val="000000"/>
          <w:sz w:val="20"/>
          <w:szCs w:val="20"/>
          <w:lang w:eastAsia="en-AU"/>
        </w:rPr>
        <w:t xml:space="preserve">exercising due diligence to ensure that the individual licence holder keeps their licence document available for inspection under the WHS Act. This is because the duty is imposed on the individual licence holder under reg 94 of the WHS Regulations. </w:t>
      </w:r>
    </w:p>
    <w:p w:rsidR="00911280" w:rsidRDefault="00911280" w:rsidP="0009785A">
      <w:pPr>
        <w:pStyle w:val="NoSpacing"/>
        <w:rPr>
          <w:rFonts w:ascii="Arial" w:hAnsi="Arial" w:cs="Arial"/>
          <w:color w:val="auto"/>
          <w:sz w:val="22"/>
          <w:szCs w:val="22"/>
        </w:rPr>
      </w:pPr>
    </w:p>
    <w:p w:rsidR="00911280" w:rsidRDefault="00911280" w:rsidP="0009785A">
      <w:pPr>
        <w:pStyle w:val="NoSpacing"/>
        <w:rPr>
          <w:rFonts w:ascii="Arial" w:hAnsi="Arial" w:cs="Arial"/>
          <w:color w:val="auto"/>
          <w:sz w:val="22"/>
          <w:szCs w:val="22"/>
        </w:rPr>
      </w:pPr>
    </w:p>
    <w:p w:rsidR="006A72DB" w:rsidRPr="006A72DB" w:rsidRDefault="006A72DB" w:rsidP="00911280">
      <w:pPr>
        <w:keepNext/>
        <w:autoSpaceDE w:val="0"/>
        <w:autoSpaceDN w:val="0"/>
        <w:adjustRightInd w:val="0"/>
        <w:rPr>
          <w:rFonts w:ascii="Arial" w:hAnsi="Arial" w:cs="Arial"/>
          <w:bCs/>
          <w:i/>
          <w:iCs/>
          <w:color w:val="000000"/>
          <w:lang w:eastAsia="en-AU"/>
        </w:rPr>
      </w:pPr>
      <w:r w:rsidRPr="006A72DB">
        <w:rPr>
          <w:rFonts w:ascii="Arial" w:hAnsi="Arial" w:cs="Arial"/>
          <w:bCs/>
          <w:i/>
          <w:iCs/>
          <w:color w:val="000000"/>
          <w:lang w:eastAsia="en-AU"/>
        </w:rPr>
        <w:t xml:space="preserve">Rail Safety National Law </w:t>
      </w:r>
    </w:p>
    <w:p w:rsidR="006A72DB" w:rsidRPr="006A72DB" w:rsidRDefault="006A72DB" w:rsidP="00911280">
      <w:pPr>
        <w:keepNext/>
        <w:autoSpaceDE w:val="0"/>
        <w:autoSpaceDN w:val="0"/>
        <w:adjustRightInd w:val="0"/>
        <w:rPr>
          <w:rFonts w:ascii="Arial" w:hAnsi="Arial" w:cs="Arial"/>
          <w:color w:val="000000"/>
          <w:lang w:eastAsia="en-AU"/>
        </w:rPr>
      </w:pPr>
    </w:p>
    <w:p w:rsidR="006A72DB" w:rsidRPr="006A72DB" w:rsidRDefault="006A72DB" w:rsidP="00911280">
      <w:pPr>
        <w:keepNext/>
        <w:autoSpaceDE w:val="0"/>
        <w:autoSpaceDN w:val="0"/>
        <w:adjustRightInd w:val="0"/>
        <w:rPr>
          <w:rFonts w:ascii="Arial" w:hAnsi="Arial" w:cs="Arial"/>
          <w:color w:val="000000"/>
          <w:lang w:eastAsia="en-AU"/>
        </w:rPr>
      </w:pPr>
      <w:r w:rsidRPr="006A72DB">
        <w:rPr>
          <w:rFonts w:ascii="Arial" w:hAnsi="Arial" w:cs="Arial"/>
          <w:color w:val="000000"/>
          <w:lang w:eastAsia="en-AU"/>
        </w:rPr>
        <w:t>The due diligence obligation under s</w:t>
      </w:r>
      <w:r>
        <w:rPr>
          <w:rFonts w:ascii="Arial" w:hAnsi="Arial" w:cs="Arial"/>
          <w:color w:val="000000"/>
          <w:lang w:eastAsia="en-AU"/>
        </w:rPr>
        <w:t>ection 55 of the RSNL states:</w:t>
      </w:r>
    </w:p>
    <w:p w:rsidR="006A72DB" w:rsidRDefault="006A72DB" w:rsidP="00911280">
      <w:pPr>
        <w:keepNext/>
        <w:autoSpaceDE w:val="0"/>
        <w:autoSpaceDN w:val="0"/>
        <w:adjustRightInd w:val="0"/>
        <w:rPr>
          <w:rFonts w:ascii="Arial" w:hAnsi="Arial" w:cs="Arial"/>
          <w:color w:val="000000"/>
          <w:lang w:eastAsia="en-AU"/>
        </w:rPr>
      </w:pPr>
    </w:p>
    <w:p w:rsidR="00A61E1F" w:rsidRPr="006A72DB" w:rsidRDefault="00A61E1F" w:rsidP="00911280">
      <w:pPr>
        <w:keepNext/>
        <w:autoSpaceDE w:val="0"/>
        <w:autoSpaceDN w:val="0"/>
        <w:adjustRightInd w:val="0"/>
        <w:rPr>
          <w:rFonts w:ascii="Arial" w:hAnsi="Arial" w:cs="Arial"/>
          <w:color w:val="000000"/>
          <w:lang w:eastAsia="en-AU"/>
        </w:rPr>
      </w:pPr>
    </w:p>
    <w:p w:rsidR="006A72DB" w:rsidRPr="006A72DB" w:rsidRDefault="006A72DB" w:rsidP="00911280">
      <w:pPr>
        <w:keepNext/>
        <w:autoSpaceDE w:val="0"/>
        <w:autoSpaceDN w:val="0"/>
        <w:adjustRightInd w:val="0"/>
        <w:ind w:left="1134" w:right="1134"/>
        <w:rPr>
          <w:rFonts w:ascii="Arial" w:hAnsi="Arial" w:cs="Arial"/>
          <w:color w:val="000000"/>
          <w:sz w:val="20"/>
          <w:szCs w:val="20"/>
          <w:lang w:eastAsia="en-AU"/>
        </w:rPr>
      </w:pPr>
      <w:r w:rsidRPr="006A72DB">
        <w:rPr>
          <w:rFonts w:ascii="Arial" w:hAnsi="Arial" w:cs="Arial"/>
          <w:iCs/>
          <w:color w:val="000000"/>
          <w:sz w:val="20"/>
          <w:szCs w:val="20"/>
          <w:lang w:eastAsia="en-AU"/>
        </w:rPr>
        <w:t>If a person has a duty or obligation under this Law, an officer of the person must exercise due diligence to ensure that the person complies</w:t>
      </w:r>
      <w:r w:rsidR="00911280" w:rsidRPr="00911280">
        <w:rPr>
          <w:rFonts w:ascii="Arial" w:hAnsi="Arial" w:cs="Arial"/>
          <w:iCs/>
          <w:color w:val="000000"/>
          <w:sz w:val="20"/>
          <w:szCs w:val="20"/>
          <w:lang w:eastAsia="en-AU"/>
        </w:rPr>
        <w:t xml:space="preserve"> with that duty or obligation.</w:t>
      </w:r>
    </w:p>
    <w:p w:rsidR="006A72DB" w:rsidRDefault="006A72DB" w:rsidP="006A72DB">
      <w:pPr>
        <w:autoSpaceDE w:val="0"/>
        <w:autoSpaceDN w:val="0"/>
        <w:adjustRightInd w:val="0"/>
        <w:rPr>
          <w:rFonts w:ascii="Arial" w:hAnsi="Arial" w:cs="Arial"/>
          <w:color w:val="000000"/>
          <w:lang w:eastAsia="en-AU"/>
        </w:rPr>
      </w:pPr>
    </w:p>
    <w:p w:rsidR="00A61E1F" w:rsidRDefault="00A61E1F" w:rsidP="006A72DB">
      <w:pPr>
        <w:autoSpaceDE w:val="0"/>
        <w:autoSpaceDN w:val="0"/>
        <w:adjustRightInd w:val="0"/>
        <w:rPr>
          <w:rFonts w:ascii="Arial" w:hAnsi="Arial" w:cs="Arial"/>
          <w:color w:val="000000"/>
          <w:lang w:eastAsia="en-AU"/>
        </w:rPr>
      </w:pPr>
    </w:p>
    <w:p w:rsidR="006A72DB" w:rsidRDefault="006A72DB" w:rsidP="006A72DB">
      <w:pPr>
        <w:autoSpaceDE w:val="0"/>
        <w:autoSpaceDN w:val="0"/>
        <w:adjustRightInd w:val="0"/>
        <w:rPr>
          <w:rFonts w:ascii="Arial" w:hAnsi="Arial" w:cs="Arial"/>
          <w:color w:val="000000"/>
          <w:lang w:eastAsia="en-AU"/>
        </w:rPr>
      </w:pPr>
      <w:r w:rsidRPr="006A72DB">
        <w:rPr>
          <w:rFonts w:ascii="Arial" w:hAnsi="Arial" w:cs="Arial"/>
          <w:color w:val="000000"/>
          <w:lang w:eastAsia="en-AU"/>
        </w:rPr>
        <w:t>“This Law” is defined to include statuto</w:t>
      </w:r>
      <w:r>
        <w:rPr>
          <w:rFonts w:ascii="Arial" w:hAnsi="Arial" w:cs="Arial"/>
          <w:color w:val="000000"/>
          <w:lang w:eastAsia="en-AU"/>
        </w:rPr>
        <w:t xml:space="preserve">ry instruments made under the </w:t>
      </w:r>
      <w:r w:rsidRPr="006A72DB">
        <w:rPr>
          <w:rFonts w:ascii="Arial" w:hAnsi="Arial" w:cs="Arial"/>
          <w:color w:val="000000"/>
          <w:lang w:eastAsia="en-AU"/>
        </w:rPr>
        <w:t xml:space="preserve">RSNL. Accordingly, the due diligence obligation extends to all duties and obligations held by “the person” under the RSNL and associated regulations. </w:t>
      </w:r>
    </w:p>
    <w:p w:rsidR="006A72DB" w:rsidRPr="006A72DB" w:rsidRDefault="006A72DB" w:rsidP="006A72DB">
      <w:pPr>
        <w:autoSpaceDE w:val="0"/>
        <w:autoSpaceDN w:val="0"/>
        <w:adjustRightInd w:val="0"/>
        <w:rPr>
          <w:rFonts w:ascii="Arial" w:hAnsi="Arial" w:cs="Arial"/>
          <w:color w:val="000000"/>
          <w:lang w:eastAsia="en-AU"/>
        </w:rPr>
      </w:pPr>
    </w:p>
    <w:p w:rsidR="006A72DB" w:rsidRDefault="006A72DB" w:rsidP="006A72DB">
      <w:pPr>
        <w:autoSpaceDE w:val="0"/>
        <w:autoSpaceDN w:val="0"/>
        <w:adjustRightInd w:val="0"/>
        <w:rPr>
          <w:rFonts w:ascii="Arial" w:hAnsi="Arial" w:cs="Arial"/>
          <w:color w:val="000000"/>
          <w:lang w:eastAsia="en-AU"/>
        </w:rPr>
      </w:pPr>
      <w:r w:rsidRPr="006A72DB">
        <w:rPr>
          <w:rFonts w:ascii="Arial" w:hAnsi="Arial" w:cs="Arial"/>
          <w:color w:val="000000"/>
          <w:lang w:eastAsia="en-AU"/>
        </w:rPr>
        <w:t xml:space="preserve">The difference between the due diligence </w:t>
      </w:r>
      <w:r>
        <w:rPr>
          <w:rFonts w:ascii="Arial" w:hAnsi="Arial" w:cs="Arial"/>
          <w:color w:val="000000"/>
          <w:lang w:eastAsia="en-AU"/>
        </w:rPr>
        <w:t xml:space="preserve">obligation under the RSNL and </w:t>
      </w:r>
      <w:r w:rsidRPr="006A72DB">
        <w:rPr>
          <w:rFonts w:ascii="Arial" w:hAnsi="Arial" w:cs="Arial"/>
          <w:color w:val="000000"/>
          <w:lang w:eastAsia="en-AU"/>
        </w:rPr>
        <w:t xml:space="preserve">the WHS Act is that the WHS Act imposes the obligation on officers of </w:t>
      </w:r>
      <w:r w:rsidR="00D5370A">
        <w:rPr>
          <w:rFonts w:ascii="Arial" w:hAnsi="Arial" w:cs="Arial"/>
          <w:color w:val="000000"/>
          <w:lang w:eastAsia="en-AU"/>
        </w:rPr>
        <w:t xml:space="preserve">a </w:t>
      </w:r>
      <w:r w:rsidRPr="006A72DB">
        <w:rPr>
          <w:rFonts w:ascii="Arial" w:hAnsi="Arial" w:cs="Arial"/>
          <w:color w:val="000000"/>
          <w:lang w:eastAsia="en-AU"/>
        </w:rPr>
        <w:t xml:space="preserve">PCBU (and therefore, the duty extends to duties held by the PCBU), whereas the RSNL imposes the obligation on officers of a person (and therefore, the duty extends to duties held by the person). </w:t>
      </w:r>
    </w:p>
    <w:p w:rsidR="00911280" w:rsidRPr="006A72DB" w:rsidRDefault="00911280" w:rsidP="006A72DB">
      <w:pPr>
        <w:autoSpaceDE w:val="0"/>
        <w:autoSpaceDN w:val="0"/>
        <w:adjustRightInd w:val="0"/>
        <w:rPr>
          <w:rFonts w:ascii="Arial" w:hAnsi="Arial" w:cs="Arial"/>
          <w:color w:val="000000"/>
          <w:lang w:eastAsia="en-AU"/>
        </w:rPr>
      </w:pPr>
    </w:p>
    <w:p w:rsidR="00911280" w:rsidRDefault="006A72DB" w:rsidP="006A72DB">
      <w:pPr>
        <w:autoSpaceDE w:val="0"/>
        <w:autoSpaceDN w:val="0"/>
        <w:adjustRightInd w:val="0"/>
        <w:rPr>
          <w:rFonts w:ascii="Arial" w:hAnsi="Arial" w:cs="Arial"/>
          <w:color w:val="000000"/>
          <w:lang w:eastAsia="en-AU"/>
        </w:rPr>
      </w:pPr>
      <w:r w:rsidRPr="006A72DB">
        <w:rPr>
          <w:rFonts w:ascii="Arial" w:hAnsi="Arial" w:cs="Arial"/>
          <w:color w:val="000000"/>
          <w:lang w:eastAsia="en-AU"/>
        </w:rPr>
        <w:t>Ordinarily, a reference to a “person” in legislation includes both a bod</w:t>
      </w:r>
      <w:r>
        <w:rPr>
          <w:rFonts w:ascii="Arial" w:hAnsi="Arial" w:cs="Arial"/>
          <w:color w:val="000000"/>
          <w:lang w:eastAsia="en-AU"/>
        </w:rPr>
        <w:t xml:space="preserve">y </w:t>
      </w:r>
      <w:r w:rsidRPr="006A72DB">
        <w:rPr>
          <w:rFonts w:ascii="Arial" w:hAnsi="Arial" w:cs="Arial"/>
          <w:color w:val="000000"/>
          <w:lang w:eastAsia="en-AU"/>
        </w:rPr>
        <w:t>corporate and a natural person. However, having regard to the definition of “officer” under the RSNL</w:t>
      </w:r>
      <w:r w:rsidR="00D5370A">
        <w:rPr>
          <w:rFonts w:ascii="Arial" w:hAnsi="Arial" w:cs="Arial"/>
          <w:color w:val="000000"/>
          <w:lang w:eastAsia="en-AU"/>
        </w:rPr>
        <w:t>,</w:t>
      </w:r>
      <w:r w:rsidRPr="006A72DB">
        <w:rPr>
          <w:rStyle w:val="FootnoteReference"/>
          <w:rFonts w:ascii="Arial" w:hAnsi="Arial"/>
          <w:color w:val="000000"/>
          <w:lang w:eastAsia="en-AU"/>
        </w:rPr>
        <w:footnoteReference w:id="28"/>
      </w:r>
      <w:r w:rsidRPr="006A72DB">
        <w:rPr>
          <w:rFonts w:ascii="Arial" w:hAnsi="Arial" w:cs="Arial"/>
          <w:color w:val="000000"/>
          <w:lang w:eastAsia="en-AU"/>
        </w:rPr>
        <w:t xml:space="preserve"> it is not possible for someone to be an officer of a natural person. </w:t>
      </w:r>
    </w:p>
    <w:p w:rsidR="00911280" w:rsidRDefault="00911280" w:rsidP="006A72DB">
      <w:pPr>
        <w:autoSpaceDE w:val="0"/>
        <w:autoSpaceDN w:val="0"/>
        <w:adjustRightInd w:val="0"/>
        <w:rPr>
          <w:rFonts w:ascii="Arial" w:hAnsi="Arial" w:cs="Arial"/>
          <w:color w:val="000000"/>
          <w:lang w:eastAsia="en-AU"/>
        </w:rPr>
      </w:pPr>
    </w:p>
    <w:p w:rsidR="006A72DB" w:rsidRPr="006A72DB" w:rsidRDefault="006A72DB" w:rsidP="006A72DB">
      <w:pPr>
        <w:autoSpaceDE w:val="0"/>
        <w:autoSpaceDN w:val="0"/>
        <w:adjustRightInd w:val="0"/>
        <w:rPr>
          <w:rFonts w:ascii="Arial" w:hAnsi="Arial" w:cs="Arial"/>
          <w:color w:val="000000"/>
          <w:lang w:eastAsia="en-AU"/>
        </w:rPr>
      </w:pPr>
      <w:r w:rsidRPr="006A72DB">
        <w:rPr>
          <w:rFonts w:ascii="Arial" w:hAnsi="Arial" w:cs="Arial"/>
          <w:color w:val="000000"/>
          <w:lang w:eastAsia="en-AU"/>
        </w:rPr>
        <w:t>Accordingly, where the due diligence obligation under the RSNL refers an “an off</w:t>
      </w:r>
      <w:r w:rsidR="00911280">
        <w:rPr>
          <w:rFonts w:ascii="Arial" w:hAnsi="Arial" w:cs="Arial"/>
          <w:color w:val="000000"/>
          <w:lang w:eastAsia="en-AU"/>
        </w:rPr>
        <w:t xml:space="preserve">icer of the person,” </w:t>
      </w:r>
      <w:r>
        <w:rPr>
          <w:rFonts w:ascii="Arial" w:hAnsi="Arial" w:cs="Arial"/>
          <w:color w:val="000000"/>
          <w:lang w:eastAsia="en-AU"/>
        </w:rPr>
        <w:t xml:space="preserve">the ATA considers it </w:t>
      </w:r>
      <w:r w:rsidRPr="006A72DB">
        <w:rPr>
          <w:rFonts w:ascii="Arial" w:hAnsi="Arial" w:cs="Arial"/>
          <w:color w:val="000000"/>
          <w:lang w:eastAsia="en-AU"/>
        </w:rPr>
        <w:t>has to be read as “</w:t>
      </w:r>
      <w:r w:rsidR="00911280">
        <w:rPr>
          <w:rFonts w:ascii="Arial" w:hAnsi="Arial" w:cs="Arial"/>
          <w:color w:val="000000"/>
          <w:lang w:eastAsia="en-AU"/>
        </w:rPr>
        <w:t>an officer of the organisation.”</w:t>
      </w:r>
      <w:r w:rsidRPr="006A72DB">
        <w:rPr>
          <w:rFonts w:ascii="Arial" w:hAnsi="Arial" w:cs="Arial"/>
          <w:color w:val="000000"/>
          <w:lang w:eastAsia="en-AU"/>
        </w:rPr>
        <w:t xml:space="preserve"> </w:t>
      </w:r>
    </w:p>
    <w:p w:rsidR="006A72DB" w:rsidRDefault="006A72DB" w:rsidP="006A72DB">
      <w:pPr>
        <w:pStyle w:val="Default"/>
        <w:rPr>
          <w:rFonts w:ascii="Arial" w:hAnsi="Arial" w:cs="Arial"/>
          <w:sz w:val="22"/>
          <w:szCs w:val="22"/>
        </w:rPr>
      </w:pPr>
    </w:p>
    <w:p w:rsidR="006A72DB" w:rsidRPr="006A72DB" w:rsidRDefault="006A72DB" w:rsidP="006A72DB">
      <w:pPr>
        <w:pStyle w:val="Default"/>
        <w:rPr>
          <w:rFonts w:ascii="Arial" w:hAnsi="Arial" w:cs="Arial"/>
          <w:sz w:val="22"/>
          <w:szCs w:val="22"/>
        </w:rPr>
      </w:pPr>
      <w:r w:rsidRPr="006A72DB">
        <w:rPr>
          <w:rFonts w:ascii="Arial" w:hAnsi="Arial" w:cs="Arial"/>
          <w:sz w:val="22"/>
          <w:szCs w:val="22"/>
        </w:rPr>
        <w:t>In light of the above, the breadth of the due d</w:t>
      </w:r>
      <w:r w:rsidR="00270701">
        <w:rPr>
          <w:rFonts w:ascii="Arial" w:hAnsi="Arial" w:cs="Arial"/>
          <w:sz w:val="22"/>
          <w:szCs w:val="22"/>
        </w:rPr>
        <w:t xml:space="preserve">iligence obligation under the </w:t>
      </w:r>
      <w:r w:rsidRPr="006A72DB">
        <w:rPr>
          <w:rFonts w:ascii="Arial" w:hAnsi="Arial" w:cs="Arial"/>
          <w:sz w:val="22"/>
          <w:szCs w:val="22"/>
        </w:rPr>
        <w:t xml:space="preserve">RSNL is the same as under the WHS Act. </w:t>
      </w:r>
      <w:r w:rsidR="00911280">
        <w:rPr>
          <w:rFonts w:ascii="Arial" w:hAnsi="Arial" w:cs="Arial"/>
          <w:sz w:val="22"/>
          <w:szCs w:val="22"/>
        </w:rPr>
        <w:t>Both national safety laws require</w:t>
      </w:r>
      <w:r w:rsidRPr="006A72DB">
        <w:rPr>
          <w:rFonts w:ascii="Arial" w:hAnsi="Arial" w:cs="Arial"/>
          <w:sz w:val="22"/>
          <w:szCs w:val="22"/>
        </w:rPr>
        <w:t xml:space="preserve"> an officer of an organisation to exercise due diligence to ensure that the organisation complies with its duties and obligations</w:t>
      </w:r>
      <w:r w:rsidR="00911280">
        <w:rPr>
          <w:rFonts w:ascii="Arial" w:hAnsi="Arial" w:cs="Arial"/>
          <w:sz w:val="22"/>
          <w:szCs w:val="22"/>
        </w:rPr>
        <w:t>. Neither law</w:t>
      </w:r>
      <w:r w:rsidRPr="006A72DB">
        <w:rPr>
          <w:rFonts w:ascii="Arial" w:hAnsi="Arial" w:cs="Arial"/>
          <w:sz w:val="22"/>
          <w:szCs w:val="22"/>
        </w:rPr>
        <w:t xml:space="preserve"> </w:t>
      </w:r>
      <w:r w:rsidR="00D5370A">
        <w:rPr>
          <w:rFonts w:ascii="Arial" w:hAnsi="Arial" w:cs="Arial"/>
          <w:sz w:val="22"/>
          <w:szCs w:val="22"/>
        </w:rPr>
        <w:t xml:space="preserve">goes as far as option 4 and </w:t>
      </w:r>
      <w:r w:rsidRPr="006A72DB">
        <w:rPr>
          <w:rFonts w:ascii="Arial" w:hAnsi="Arial" w:cs="Arial"/>
          <w:sz w:val="22"/>
          <w:szCs w:val="22"/>
        </w:rPr>
        <w:t>require</w:t>
      </w:r>
      <w:r w:rsidR="00911280">
        <w:rPr>
          <w:rFonts w:ascii="Arial" w:hAnsi="Arial" w:cs="Arial"/>
          <w:sz w:val="22"/>
          <w:szCs w:val="22"/>
        </w:rPr>
        <w:t>s</w:t>
      </w:r>
      <w:r w:rsidRPr="006A72DB">
        <w:rPr>
          <w:rFonts w:ascii="Arial" w:hAnsi="Arial" w:cs="Arial"/>
          <w:sz w:val="22"/>
          <w:szCs w:val="22"/>
        </w:rPr>
        <w:t xml:space="preserve"> officer</w:t>
      </w:r>
      <w:r w:rsidR="00911280">
        <w:rPr>
          <w:rFonts w:ascii="Arial" w:hAnsi="Arial" w:cs="Arial"/>
          <w:sz w:val="22"/>
          <w:szCs w:val="22"/>
        </w:rPr>
        <w:t>s</w:t>
      </w:r>
      <w:r w:rsidRPr="006A72DB">
        <w:rPr>
          <w:rFonts w:ascii="Arial" w:hAnsi="Arial" w:cs="Arial"/>
          <w:sz w:val="22"/>
          <w:szCs w:val="22"/>
        </w:rPr>
        <w:t xml:space="preserve"> to exercise due diligence to ensure that natural persons comply with their obligations. </w:t>
      </w:r>
    </w:p>
    <w:p w:rsidR="006A72DB" w:rsidRPr="006A72DB" w:rsidRDefault="006A72DB" w:rsidP="006A72DB">
      <w:pPr>
        <w:autoSpaceDE w:val="0"/>
        <w:autoSpaceDN w:val="0"/>
        <w:adjustRightInd w:val="0"/>
        <w:rPr>
          <w:rFonts w:ascii="Arial" w:hAnsi="Arial" w:cs="Arial"/>
          <w:color w:val="000000"/>
          <w:lang w:eastAsia="en-AU"/>
        </w:rPr>
      </w:pPr>
    </w:p>
    <w:p w:rsidR="00911280" w:rsidRDefault="00911280" w:rsidP="0009785A">
      <w:pPr>
        <w:pStyle w:val="NoSpacing"/>
        <w:rPr>
          <w:rFonts w:ascii="Arial" w:hAnsi="Arial" w:cs="Arial"/>
          <w:color w:val="auto"/>
          <w:sz w:val="22"/>
          <w:szCs w:val="22"/>
        </w:rPr>
      </w:pPr>
    </w:p>
    <w:p w:rsidR="00EE1B16" w:rsidRPr="00E3741A" w:rsidRDefault="00EE1B16" w:rsidP="00DD2299">
      <w:pPr>
        <w:pStyle w:val="NoSpacing"/>
        <w:keepNext/>
        <w:rPr>
          <w:rFonts w:ascii="Arial" w:hAnsi="Arial" w:cs="Arial"/>
          <w:b/>
          <w:i/>
          <w:color w:val="auto"/>
          <w:sz w:val="22"/>
          <w:szCs w:val="22"/>
        </w:rPr>
      </w:pPr>
      <w:r w:rsidRPr="00E3741A">
        <w:rPr>
          <w:rFonts w:ascii="Arial" w:hAnsi="Arial" w:cs="Arial"/>
          <w:b/>
          <w:i/>
          <w:color w:val="auto"/>
          <w:sz w:val="22"/>
          <w:szCs w:val="22"/>
        </w:rPr>
        <w:lastRenderedPageBreak/>
        <w:t>Summary of expected impacts from option 4</w:t>
      </w:r>
    </w:p>
    <w:p w:rsidR="00EE1B16" w:rsidRDefault="00EE1B16" w:rsidP="00DD2299">
      <w:pPr>
        <w:pStyle w:val="NoSpacing"/>
        <w:keepNext/>
        <w:rPr>
          <w:rFonts w:ascii="Arial" w:hAnsi="Arial" w:cs="Arial"/>
          <w:color w:val="auto"/>
          <w:sz w:val="22"/>
          <w:szCs w:val="22"/>
        </w:rPr>
      </w:pPr>
    </w:p>
    <w:p w:rsidR="00EE1B16" w:rsidRDefault="00EE1B16" w:rsidP="00DD2299">
      <w:pPr>
        <w:pStyle w:val="NoSpacing"/>
        <w:keepNext/>
        <w:rPr>
          <w:rFonts w:ascii="Arial" w:hAnsi="Arial" w:cs="Arial"/>
          <w:color w:val="auto"/>
          <w:sz w:val="22"/>
          <w:szCs w:val="22"/>
        </w:rPr>
      </w:pPr>
      <w:r>
        <w:rPr>
          <w:rFonts w:ascii="Arial" w:hAnsi="Arial" w:cs="Arial"/>
          <w:color w:val="auto"/>
          <w:sz w:val="22"/>
          <w:szCs w:val="22"/>
        </w:rPr>
        <w:t>Given the above assessment, the ATA considers that table 5 in the RIS should be recast as follows:</w:t>
      </w:r>
    </w:p>
    <w:p w:rsidR="00EE1B16" w:rsidRDefault="00EE1B16" w:rsidP="00DD2299">
      <w:pPr>
        <w:pStyle w:val="NoSpacing"/>
        <w:keepNext/>
        <w:rPr>
          <w:rFonts w:ascii="Arial" w:hAnsi="Arial" w:cs="Arial"/>
          <w:color w:val="auto"/>
          <w:sz w:val="22"/>
          <w:szCs w:val="22"/>
        </w:rPr>
      </w:pPr>
    </w:p>
    <w:p w:rsidR="00EE1B16" w:rsidRDefault="00EE1B16" w:rsidP="00DD2299">
      <w:pPr>
        <w:pStyle w:val="NoSpacing"/>
        <w:keepNext/>
        <w:rPr>
          <w:rFonts w:ascii="Arial" w:hAnsi="Arial" w:cs="Arial"/>
          <w:color w:val="auto"/>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DD2299" w:rsidTr="00DD2299">
        <w:tc>
          <w:tcPr>
            <w:tcW w:w="2254" w:type="dxa"/>
            <w:shd w:val="clear" w:color="auto" w:fill="17365D" w:themeFill="text2" w:themeFillShade="BF"/>
            <w:tcMar>
              <w:top w:w="108" w:type="dxa"/>
              <w:bottom w:w="108" w:type="dxa"/>
            </w:tcMar>
          </w:tcPr>
          <w:p w:rsidR="00DD2299" w:rsidRPr="00DD2299" w:rsidRDefault="00DD2299" w:rsidP="00DD2299">
            <w:pPr>
              <w:pStyle w:val="NoSpacing"/>
              <w:keepNext/>
              <w:jc w:val="center"/>
              <w:rPr>
                <w:rFonts w:ascii="Arial" w:hAnsi="Arial" w:cs="Arial"/>
                <w:b/>
                <w:color w:val="auto"/>
                <w:sz w:val="20"/>
                <w:szCs w:val="20"/>
              </w:rPr>
            </w:pPr>
            <w:r w:rsidRPr="00DD2299">
              <w:rPr>
                <w:rFonts w:ascii="Arial" w:hAnsi="Arial" w:cs="Arial"/>
                <w:b/>
                <w:color w:val="auto"/>
                <w:sz w:val="20"/>
                <w:szCs w:val="20"/>
              </w:rPr>
              <w:t>Type of impact</w:t>
            </w:r>
          </w:p>
        </w:tc>
        <w:tc>
          <w:tcPr>
            <w:tcW w:w="2254" w:type="dxa"/>
            <w:shd w:val="clear" w:color="auto" w:fill="17365D" w:themeFill="text2" w:themeFillShade="BF"/>
            <w:tcMar>
              <w:top w:w="108" w:type="dxa"/>
              <w:bottom w:w="108" w:type="dxa"/>
            </w:tcMar>
          </w:tcPr>
          <w:p w:rsidR="00DD2299" w:rsidRPr="00DD2299" w:rsidRDefault="00DD2299" w:rsidP="00DD2299">
            <w:pPr>
              <w:pStyle w:val="NoSpacing"/>
              <w:keepNext/>
              <w:jc w:val="center"/>
              <w:rPr>
                <w:rFonts w:ascii="Arial" w:hAnsi="Arial" w:cs="Arial"/>
                <w:b/>
                <w:color w:val="auto"/>
                <w:sz w:val="20"/>
                <w:szCs w:val="20"/>
              </w:rPr>
            </w:pPr>
            <w:r w:rsidRPr="00DD2299">
              <w:rPr>
                <w:rFonts w:ascii="Arial" w:hAnsi="Arial" w:cs="Arial"/>
                <w:b/>
                <w:color w:val="auto"/>
                <w:sz w:val="20"/>
                <w:szCs w:val="20"/>
              </w:rPr>
              <w:t>Compliance costs</w:t>
            </w:r>
          </w:p>
        </w:tc>
        <w:tc>
          <w:tcPr>
            <w:tcW w:w="2254" w:type="dxa"/>
            <w:shd w:val="clear" w:color="auto" w:fill="17365D" w:themeFill="text2" w:themeFillShade="BF"/>
            <w:tcMar>
              <w:top w:w="108" w:type="dxa"/>
              <w:bottom w:w="108" w:type="dxa"/>
            </w:tcMar>
          </w:tcPr>
          <w:p w:rsidR="00DD2299" w:rsidRPr="00DD2299" w:rsidRDefault="00DD2299" w:rsidP="00DD2299">
            <w:pPr>
              <w:pStyle w:val="NoSpacing"/>
              <w:keepNext/>
              <w:jc w:val="center"/>
              <w:rPr>
                <w:rFonts w:ascii="Arial" w:hAnsi="Arial" w:cs="Arial"/>
                <w:b/>
                <w:color w:val="auto"/>
                <w:sz w:val="20"/>
                <w:szCs w:val="20"/>
              </w:rPr>
            </w:pPr>
            <w:r w:rsidRPr="00DD2299">
              <w:rPr>
                <w:rFonts w:ascii="Arial" w:hAnsi="Arial" w:cs="Arial"/>
                <w:b/>
                <w:color w:val="auto"/>
                <w:sz w:val="20"/>
                <w:szCs w:val="20"/>
              </w:rPr>
              <w:t>Safety impacts</w:t>
            </w:r>
          </w:p>
        </w:tc>
        <w:tc>
          <w:tcPr>
            <w:tcW w:w="2254" w:type="dxa"/>
            <w:shd w:val="clear" w:color="auto" w:fill="17365D" w:themeFill="text2" w:themeFillShade="BF"/>
            <w:tcMar>
              <w:top w:w="108" w:type="dxa"/>
              <w:bottom w:w="108" w:type="dxa"/>
            </w:tcMar>
          </w:tcPr>
          <w:p w:rsidR="00DD2299" w:rsidRPr="00DD2299" w:rsidRDefault="00DD2299" w:rsidP="00DD2299">
            <w:pPr>
              <w:pStyle w:val="NoSpacing"/>
              <w:keepNext/>
              <w:jc w:val="center"/>
              <w:rPr>
                <w:rFonts w:ascii="Arial" w:hAnsi="Arial" w:cs="Arial"/>
                <w:b/>
                <w:color w:val="auto"/>
                <w:sz w:val="20"/>
                <w:szCs w:val="20"/>
              </w:rPr>
            </w:pPr>
            <w:r w:rsidRPr="00DD2299">
              <w:rPr>
                <w:rFonts w:ascii="Arial" w:hAnsi="Arial" w:cs="Arial"/>
                <w:b/>
                <w:color w:val="auto"/>
                <w:sz w:val="20"/>
                <w:szCs w:val="20"/>
              </w:rPr>
              <w:t>Administrative costs</w:t>
            </w:r>
          </w:p>
        </w:tc>
      </w:tr>
      <w:tr w:rsidR="00DD2299" w:rsidTr="00DD2299">
        <w:tc>
          <w:tcPr>
            <w:tcW w:w="2254" w:type="dxa"/>
            <w:vAlign w:val="center"/>
          </w:tcPr>
          <w:p w:rsidR="00DD2299" w:rsidRPr="00DD2299" w:rsidRDefault="00DD2299" w:rsidP="00DD2299">
            <w:pPr>
              <w:pStyle w:val="NoSpacing"/>
              <w:keepNext/>
              <w:rPr>
                <w:rFonts w:ascii="Arial" w:hAnsi="Arial" w:cs="Arial"/>
                <w:color w:val="auto"/>
                <w:sz w:val="20"/>
                <w:szCs w:val="20"/>
              </w:rPr>
            </w:pPr>
            <w:r w:rsidRPr="00DD2299">
              <w:rPr>
                <w:rFonts w:ascii="Arial" w:hAnsi="Arial" w:cs="Arial"/>
                <w:color w:val="auto"/>
                <w:sz w:val="20"/>
                <w:szCs w:val="20"/>
              </w:rPr>
              <w:t>Qualitative assessment</w:t>
            </w:r>
          </w:p>
        </w:tc>
        <w:tc>
          <w:tcPr>
            <w:tcW w:w="2254" w:type="dxa"/>
          </w:tcPr>
          <w:p w:rsidR="00DD2299" w:rsidRPr="00DD2299" w:rsidRDefault="00DD2299" w:rsidP="00D5370A">
            <w:pPr>
              <w:pStyle w:val="ListParagraph"/>
              <w:keepNext/>
              <w:numPr>
                <w:ilvl w:val="0"/>
                <w:numId w:val="8"/>
              </w:numPr>
              <w:spacing w:after="0" w:line="240" w:lineRule="auto"/>
              <w:ind w:left="357" w:hanging="357"/>
              <w:rPr>
                <w:rFonts w:ascii="Arial" w:eastAsia="Times New Roman" w:hAnsi="Arial" w:cs="Arial"/>
                <w:sz w:val="20"/>
                <w:szCs w:val="20"/>
                <w:lang w:eastAsia="en-AU"/>
              </w:rPr>
            </w:pPr>
            <w:r w:rsidRPr="00DD2299">
              <w:rPr>
                <w:rFonts w:ascii="Arial" w:eastAsia="Times New Roman" w:hAnsi="Arial" w:cs="Arial"/>
                <w:sz w:val="20"/>
                <w:szCs w:val="20"/>
                <w:lang w:eastAsia="en-AU"/>
              </w:rPr>
              <w:t xml:space="preserve">Increase in the scope of executive officer liability </w:t>
            </w:r>
          </w:p>
          <w:p w:rsidR="00DD2299" w:rsidRPr="00DD2299" w:rsidRDefault="00DD2299" w:rsidP="00D5370A">
            <w:pPr>
              <w:pStyle w:val="ListParagraph"/>
              <w:keepNext/>
              <w:numPr>
                <w:ilvl w:val="0"/>
                <w:numId w:val="8"/>
              </w:numPr>
              <w:spacing w:after="0" w:line="240" w:lineRule="auto"/>
              <w:ind w:left="357" w:hanging="357"/>
              <w:rPr>
                <w:rFonts w:ascii="Arial" w:eastAsia="Times New Roman" w:hAnsi="Arial" w:cs="Arial"/>
                <w:sz w:val="20"/>
                <w:szCs w:val="20"/>
                <w:lang w:eastAsia="en-AU"/>
              </w:rPr>
            </w:pPr>
            <w:r w:rsidRPr="00DD2299">
              <w:rPr>
                <w:rFonts w:ascii="Arial" w:eastAsia="Times New Roman" w:hAnsi="Arial" w:cs="Arial"/>
                <w:sz w:val="20"/>
                <w:szCs w:val="20"/>
                <w:lang w:eastAsia="en-AU"/>
              </w:rPr>
              <w:t xml:space="preserve">Potential for an increase in compliance costs </w:t>
            </w:r>
          </w:p>
          <w:p w:rsidR="00DD2299" w:rsidRPr="00FD1934" w:rsidRDefault="00DD2299" w:rsidP="00D5370A">
            <w:pPr>
              <w:pStyle w:val="ListParagraph"/>
              <w:keepNext/>
              <w:numPr>
                <w:ilvl w:val="0"/>
                <w:numId w:val="8"/>
              </w:numPr>
              <w:spacing w:after="0" w:line="240" w:lineRule="auto"/>
              <w:ind w:left="357" w:hanging="357"/>
              <w:rPr>
                <w:rFonts w:ascii="Arial" w:eastAsia="Times New Roman" w:hAnsi="Arial" w:cs="Arial"/>
                <w:strike/>
                <w:color w:val="FF0000"/>
                <w:sz w:val="20"/>
                <w:szCs w:val="20"/>
                <w:lang w:eastAsia="en-AU"/>
              </w:rPr>
            </w:pPr>
            <w:r w:rsidRPr="00FD1934">
              <w:rPr>
                <w:rFonts w:ascii="Arial" w:eastAsia="Times New Roman" w:hAnsi="Arial" w:cs="Arial"/>
                <w:strike/>
                <w:color w:val="FF0000"/>
                <w:sz w:val="20"/>
                <w:szCs w:val="20"/>
                <w:lang w:eastAsia="en-AU"/>
              </w:rPr>
              <w:t xml:space="preserve">Any increase will be limited due to the existing requirements of executive officers under the HVNL and the Model WHS Act </w:t>
            </w:r>
          </w:p>
          <w:p w:rsidR="00DD2299" w:rsidRPr="00FD1934" w:rsidRDefault="00DD2299" w:rsidP="00D5370A">
            <w:pPr>
              <w:pStyle w:val="ListParagraph"/>
              <w:keepNext/>
              <w:numPr>
                <w:ilvl w:val="0"/>
                <w:numId w:val="8"/>
              </w:numPr>
              <w:spacing w:after="0" w:line="240" w:lineRule="auto"/>
              <w:ind w:left="357" w:hanging="357"/>
              <w:rPr>
                <w:rFonts w:ascii="Arial" w:eastAsia="Times New Roman" w:hAnsi="Arial" w:cs="Arial"/>
                <w:color w:val="002060"/>
                <w:sz w:val="20"/>
                <w:szCs w:val="20"/>
                <w:lang w:eastAsia="en-AU"/>
              </w:rPr>
            </w:pPr>
            <w:r w:rsidRPr="00FD1934">
              <w:rPr>
                <w:rFonts w:ascii="Arial" w:eastAsia="Times New Roman" w:hAnsi="Arial" w:cs="Arial"/>
                <w:color w:val="002060"/>
                <w:sz w:val="20"/>
                <w:szCs w:val="20"/>
                <w:lang w:eastAsia="en-AU"/>
              </w:rPr>
              <w:t>Any increase will be worsened by the inconsistency of this option with the model WHS Act.</w:t>
            </w:r>
          </w:p>
          <w:p w:rsidR="00DD2299" w:rsidRDefault="00DD2299" w:rsidP="00D5370A">
            <w:pPr>
              <w:pStyle w:val="ListParagraph"/>
              <w:keepNext/>
              <w:numPr>
                <w:ilvl w:val="0"/>
                <w:numId w:val="8"/>
              </w:numPr>
              <w:spacing w:after="0" w:line="240" w:lineRule="auto"/>
              <w:ind w:left="357" w:hanging="357"/>
              <w:rPr>
                <w:rFonts w:ascii="Arial" w:eastAsia="Times New Roman" w:hAnsi="Arial" w:cs="Arial"/>
                <w:sz w:val="20"/>
                <w:szCs w:val="20"/>
                <w:lang w:eastAsia="en-AU"/>
              </w:rPr>
            </w:pPr>
            <w:r w:rsidRPr="00DD2299">
              <w:rPr>
                <w:rFonts w:ascii="Arial" w:eastAsia="Times New Roman" w:hAnsi="Arial" w:cs="Arial"/>
                <w:sz w:val="20"/>
                <w:szCs w:val="20"/>
                <w:lang w:eastAsia="en-AU"/>
              </w:rPr>
              <w:t xml:space="preserve">Guidance materials will be required to minimise implementation costs </w:t>
            </w:r>
          </w:p>
          <w:p w:rsidR="00D5370A" w:rsidRPr="00D5370A" w:rsidRDefault="00D5370A" w:rsidP="00D5370A">
            <w:pPr>
              <w:pStyle w:val="ListParagraph"/>
              <w:keepNext/>
              <w:numPr>
                <w:ilvl w:val="0"/>
                <w:numId w:val="8"/>
              </w:numPr>
              <w:spacing w:after="0" w:line="240" w:lineRule="auto"/>
              <w:ind w:left="357" w:hanging="357"/>
              <w:rPr>
                <w:rFonts w:ascii="Arial" w:eastAsia="Times New Roman" w:hAnsi="Arial" w:cs="Arial"/>
                <w:sz w:val="20"/>
                <w:szCs w:val="20"/>
                <w:lang w:eastAsia="en-AU"/>
              </w:rPr>
            </w:pPr>
            <w:r w:rsidRPr="00FD1934">
              <w:rPr>
                <w:rFonts w:ascii="Arial" w:eastAsia="Times New Roman" w:hAnsi="Arial" w:cs="Arial"/>
                <w:color w:val="002060"/>
                <w:sz w:val="20"/>
                <w:szCs w:val="20"/>
                <w:lang w:eastAsia="en-AU"/>
              </w:rPr>
              <w:t>Option inconsistent with relevant COAG principles and guidelines</w:t>
            </w:r>
            <w:r>
              <w:rPr>
                <w:rFonts w:ascii="Arial" w:eastAsia="Times New Roman" w:hAnsi="Arial" w:cs="Arial"/>
                <w:color w:val="002060"/>
                <w:sz w:val="20"/>
                <w:szCs w:val="20"/>
                <w:lang w:eastAsia="en-AU"/>
              </w:rPr>
              <w:t>.</w:t>
            </w:r>
          </w:p>
          <w:p w:rsidR="00DD2299" w:rsidRPr="00DD2299" w:rsidRDefault="00DD2299" w:rsidP="00DD2299">
            <w:pPr>
              <w:pStyle w:val="NoSpacing"/>
              <w:keepNext/>
              <w:rPr>
                <w:rFonts w:ascii="Arial" w:hAnsi="Arial" w:cs="Arial"/>
                <w:color w:val="auto"/>
                <w:sz w:val="20"/>
                <w:szCs w:val="20"/>
              </w:rPr>
            </w:pPr>
          </w:p>
        </w:tc>
        <w:tc>
          <w:tcPr>
            <w:tcW w:w="2254" w:type="dxa"/>
          </w:tcPr>
          <w:p w:rsidR="00DD2299" w:rsidRPr="00FD1934" w:rsidRDefault="00DD2299" w:rsidP="00DD2299">
            <w:pPr>
              <w:pStyle w:val="ListParagraph"/>
              <w:keepNext/>
              <w:numPr>
                <w:ilvl w:val="0"/>
                <w:numId w:val="10"/>
              </w:numPr>
              <w:spacing w:after="0" w:line="240" w:lineRule="auto"/>
              <w:ind w:left="357" w:hanging="357"/>
              <w:rPr>
                <w:rFonts w:ascii="Arial" w:eastAsia="Times New Roman" w:hAnsi="Arial" w:cs="Arial"/>
                <w:strike/>
                <w:color w:val="FF0000"/>
                <w:sz w:val="20"/>
                <w:szCs w:val="20"/>
                <w:lang w:eastAsia="en-AU"/>
              </w:rPr>
            </w:pPr>
            <w:r w:rsidRPr="00FD1934">
              <w:rPr>
                <w:rFonts w:ascii="Arial" w:eastAsia="Times New Roman" w:hAnsi="Arial" w:cs="Arial"/>
                <w:strike/>
                <w:color w:val="FF0000"/>
                <w:sz w:val="20"/>
                <w:szCs w:val="20"/>
                <w:lang w:eastAsia="en-AU"/>
              </w:rPr>
              <w:t xml:space="preserve">Potential for improvements in safety due to removal of doubt about executive officer responsibility for compliance and reduced complexity </w:t>
            </w:r>
          </w:p>
          <w:p w:rsidR="00DD2299" w:rsidRPr="00DD2299" w:rsidRDefault="00DD2299" w:rsidP="00DD2299">
            <w:pPr>
              <w:pStyle w:val="ListParagraph"/>
              <w:keepNext/>
              <w:numPr>
                <w:ilvl w:val="0"/>
                <w:numId w:val="10"/>
              </w:numPr>
              <w:spacing w:after="0" w:line="240" w:lineRule="auto"/>
              <w:ind w:left="357" w:hanging="357"/>
              <w:rPr>
                <w:rFonts w:ascii="Arial" w:eastAsia="Times New Roman" w:hAnsi="Arial" w:cs="Arial"/>
                <w:sz w:val="20"/>
                <w:szCs w:val="20"/>
                <w:lang w:eastAsia="en-AU"/>
              </w:rPr>
            </w:pPr>
            <w:r w:rsidRPr="00FD1934">
              <w:rPr>
                <w:rFonts w:ascii="Arial" w:eastAsia="Times New Roman" w:hAnsi="Arial" w:cs="Arial"/>
                <w:color w:val="002060"/>
                <w:sz w:val="20"/>
                <w:szCs w:val="20"/>
                <w:lang w:eastAsia="en-AU"/>
              </w:rPr>
              <w:t xml:space="preserve">No evidence provided in the RIS that the option captures serious safety-related offences that are not already captured </w:t>
            </w:r>
          </w:p>
          <w:p w:rsidR="00DD2299" w:rsidRPr="00FD1934" w:rsidRDefault="00DD2299" w:rsidP="00DD2299">
            <w:pPr>
              <w:pStyle w:val="ListParagraph"/>
              <w:keepNext/>
              <w:numPr>
                <w:ilvl w:val="0"/>
                <w:numId w:val="10"/>
              </w:numPr>
              <w:spacing w:after="0" w:line="240" w:lineRule="auto"/>
              <w:ind w:left="357" w:hanging="357"/>
              <w:rPr>
                <w:rFonts w:ascii="Arial" w:eastAsia="Times New Roman" w:hAnsi="Arial" w:cs="Arial"/>
                <w:color w:val="002060"/>
                <w:sz w:val="20"/>
                <w:szCs w:val="20"/>
                <w:lang w:eastAsia="en-AU"/>
              </w:rPr>
            </w:pPr>
            <w:r w:rsidRPr="00DD2299">
              <w:rPr>
                <w:rFonts w:ascii="Arial" w:eastAsia="Times New Roman" w:hAnsi="Arial" w:cs="Arial"/>
                <w:sz w:val="20"/>
                <w:szCs w:val="20"/>
                <w:lang w:eastAsia="en-AU"/>
              </w:rPr>
              <w:t xml:space="preserve">Widening the scope of liability may increase regulatory </w:t>
            </w:r>
            <w:r>
              <w:rPr>
                <w:rFonts w:ascii="Arial" w:eastAsia="Times New Roman" w:hAnsi="Arial" w:cs="Arial"/>
                <w:sz w:val="20"/>
                <w:szCs w:val="20"/>
                <w:lang w:eastAsia="en-AU"/>
              </w:rPr>
              <w:t xml:space="preserve">complexity </w:t>
            </w:r>
            <w:r w:rsidRPr="00FD1934">
              <w:rPr>
                <w:rFonts w:ascii="Arial" w:eastAsia="Times New Roman" w:hAnsi="Arial" w:cs="Arial"/>
                <w:color w:val="002060"/>
                <w:sz w:val="20"/>
                <w:szCs w:val="20"/>
                <w:lang w:eastAsia="en-AU"/>
              </w:rPr>
              <w:t>and reduce safety</w:t>
            </w:r>
          </w:p>
          <w:p w:rsidR="00DD2299" w:rsidRPr="00DD2299" w:rsidRDefault="00DD2299" w:rsidP="00D5370A">
            <w:pPr>
              <w:pStyle w:val="ListParagraph"/>
              <w:keepNext/>
              <w:spacing w:after="0" w:line="240" w:lineRule="auto"/>
              <w:ind w:left="357"/>
              <w:rPr>
                <w:rFonts w:ascii="Arial" w:hAnsi="Arial" w:cs="Arial"/>
                <w:sz w:val="20"/>
                <w:szCs w:val="20"/>
              </w:rPr>
            </w:pPr>
          </w:p>
        </w:tc>
        <w:tc>
          <w:tcPr>
            <w:tcW w:w="2254" w:type="dxa"/>
          </w:tcPr>
          <w:p w:rsidR="00DD2299" w:rsidRPr="00DD2299" w:rsidRDefault="00DD2299" w:rsidP="00DD2299">
            <w:pPr>
              <w:pStyle w:val="ListParagraph"/>
              <w:keepNext/>
              <w:numPr>
                <w:ilvl w:val="0"/>
                <w:numId w:val="11"/>
              </w:numPr>
              <w:spacing w:after="0" w:line="240" w:lineRule="auto"/>
              <w:ind w:left="360"/>
              <w:rPr>
                <w:rFonts w:ascii="Arial" w:eastAsia="Times New Roman" w:hAnsi="Arial" w:cs="Arial"/>
                <w:sz w:val="20"/>
                <w:szCs w:val="20"/>
                <w:lang w:eastAsia="en-AU"/>
              </w:rPr>
            </w:pPr>
            <w:r w:rsidRPr="00DD2299">
              <w:rPr>
                <w:rFonts w:ascii="Arial" w:eastAsia="Times New Roman" w:hAnsi="Arial" w:cs="Arial"/>
                <w:sz w:val="20"/>
                <w:szCs w:val="20"/>
                <w:lang w:eastAsia="en-AU"/>
              </w:rPr>
              <w:t xml:space="preserve">Modest reductions in the cost of investigating and prosecuting executive officers </w:t>
            </w:r>
          </w:p>
          <w:p w:rsidR="00DD2299" w:rsidRPr="00DD2299" w:rsidRDefault="00DD2299" w:rsidP="00DD2299">
            <w:pPr>
              <w:pStyle w:val="ListParagraph"/>
              <w:keepNext/>
              <w:numPr>
                <w:ilvl w:val="0"/>
                <w:numId w:val="11"/>
              </w:numPr>
              <w:spacing w:after="0" w:line="240" w:lineRule="auto"/>
              <w:ind w:left="360"/>
              <w:rPr>
                <w:rFonts w:ascii="Arial" w:eastAsia="Times New Roman" w:hAnsi="Arial" w:cs="Arial"/>
                <w:sz w:val="20"/>
                <w:szCs w:val="20"/>
                <w:lang w:eastAsia="en-AU"/>
              </w:rPr>
            </w:pPr>
            <w:r w:rsidRPr="00DD2299">
              <w:rPr>
                <w:rFonts w:ascii="Arial" w:eastAsia="Times New Roman" w:hAnsi="Arial" w:cs="Arial"/>
                <w:sz w:val="20"/>
                <w:szCs w:val="20"/>
                <w:lang w:eastAsia="en-AU"/>
              </w:rPr>
              <w:t xml:space="preserve">Potential for some implementation costs </w:t>
            </w:r>
          </w:p>
          <w:p w:rsidR="00DD2299" w:rsidRPr="00DD2299" w:rsidRDefault="00DD2299" w:rsidP="00DD2299">
            <w:pPr>
              <w:pStyle w:val="NoSpacing"/>
              <w:keepNext/>
              <w:rPr>
                <w:rFonts w:ascii="Arial" w:hAnsi="Arial" w:cs="Arial"/>
                <w:color w:val="auto"/>
                <w:sz w:val="20"/>
                <w:szCs w:val="20"/>
              </w:rPr>
            </w:pPr>
          </w:p>
        </w:tc>
      </w:tr>
    </w:tbl>
    <w:p w:rsidR="00EE1B16" w:rsidRDefault="00EE1B16" w:rsidP="00DD2299">
      <w:pPr>
        <w:pStyle w:val="NoSpacing"/>
        <w:keepNext/>
        <w:rPr>
          <w:rFonts w:ascii="Arial" w:hAnsi="Arial" w:cs="Arial"/>
          <w:color w:val="auto"/>
          <w:sz w:val="22"/>
          <w:szCs w:val="22"/>
        </w:rPr>
      </w:pPr>
    </w:p>
    <w:p w:rsidR="00EE1B16" w:rsidRPr="00D675C5" w:rsidRDefault="00EE1B16" w:rsidP="0009785A">
      <w:pPr>
        <w:pStyle w:val="NoSpacing"/>
        <w:rPr>
          <w:rFonts w:ascii="Arial" w:hAnsi="Arial" w:cs="Arial"/>
          <w:color w:val="auto"/>
          <w:sz w:val="22"/>
          <w:szCs w:val="22"/>
        </w:rPr>
      </w:pPr>
    </w:p>
    <w:p w:rsidR="00545BFF" w:rsidRPr="00ED6E9A" w:rsidRDefault="00545BFF" w:rsidP="0009785A">
      <w:pPr>
        <w:pStyle w:val="NoSpacing"/>
        <w:rPr>
          <w:rFonts w:ascii="Arial" w:hAnsi="Arial" w:cs="Arial"/>
          <w:b/>
          <w:color w:val="auto"/>
          <w:sz w:val="24"/>
          <w:szCs w:val="24"/>
        </w:rPr>
      </w:pPr>
      <w:r w:rsidRPr="00ED6E9A">
        <w:rPr>
          <w:rFonts w:ascii="Arial" w:hAnsi="Arial" w:cs="Arial"/>
          <w:b/>
          <w:color w:val="auto"/>
          <w:sz w:val="24"/>
          <w:szCs w:val="24"/>
        </w:rPr>
        <w:t>ATA recommendation</w:t>
      </w:r>
    </w:p>
    <w:p w:rsidR="009A2202" w:rsidRPr="009A2202" w:rsidRDefault="009A2202" w:rsidP="0009785A">
      <w:pPr>
        <w:pStyle w:val="NoSpacing"/>
        <w:rPr>
          <w:rFonts w:ascii="Arial" w:hAnsi="Arial" w:cs="Arial"/>
          <w:color w:val="auto"/>
          <w:sz w:val="22"/>
          <w:szCs w:val="22"/>
        </w:rPr>
      </w:pPr>
    </w:p>
    <w:p w:rsidR="009A2202" w:rsidRPr="00D4478B" w:rsidRDefault="00D4478B" w:rsidP="0009785A">
      <w:pPr>
        <w:pStyle w:val="NoSpacing"/>
        <w:rPr>
          <w:rFonts w:ascii="Arial" w:hAnsi="Arial" w:cs="Arial"/>
          <w:b/>
          <w:color w:val="auto"/>
          <w:sz w:val="22"/>
          <w:szCs w:val="22"/>
        </w:rPr>
      </w:pPr>
      <w:r w:rsidRPr="00D4478B">
        <w:rPr>
          <w:rFonts w:ascii="Arial" w:hAnsi="Arial" w:cs="Arial"/>
          <w:b/>
          <w:color w:val="auto"/>
          <w:sz w:val="22"/>
          <w:szCs w:val="22"/>
        </w:rPr>
        <w:t>Governments should adopt option 3 in the consultation RIS.</w:t>
      </w:r>
    </w:p>
    <w:sectPr w:rsidR="009A2202" w:rsidRPr="00D4478B" w:rsidSect="005B5BBD">
      <w:headerReference w:type="default" r:id="rId9"/>
      <w:pgSz w:w="11906" w:h="16838" w:code="9"/>
      <w:pgMar w:top="1440" w:right="1440" w:bottom="1440" w:left="1440" w:header="703"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B0" w:rsidRDefault="005F01B0" w:rsidP="000F3D9F">
      <w:r>
        <w:separator/>
      </w:r>
    </w:p>
  </w:endnote>
  <w:endnote w:type="continuationSeparator" w:id="0">
    <w:p w:rsidR="005F01B0" w:rsidRDefault="005F01B0"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B0" w:rsidRDefault="005F01B0" w:rsidP="000F3D9F">
      <w:r>
        <w:separator/>
      </w:r>
    </w:p>
  </w:footnote>
  <w:footnote w:type="continuationSeparator" w:id="0">
    <w:p w:rsidR="005F01B0" w:rsidRDefault="005F01B0" w:rsidP="000F3D9F">
      <w:r>
        <w:continuationSeparator/>
      </w:r>
    </w:p>
  </w:footnote>
  <w:footnote w:id="1">
    <w:p w:rsidR="00ED6E9A" w:rsidRPr="00ED6E9A" w:rsidRDefault="00ED6E9A">
      <w:pPr>
        <w:pStyle w:val="FootnoteText"/>
        <w:rPr>
          <w:rFonts w:ascii="Arial" w:hAnsi="Arial" w:cs="Arial"/>
          <w:sz w:val="18"/>
          <w:szCs w:val="18"/>
        </w:rPr>
      </w:pPr>
      <w:r w:rsidRPr="00ED6E9A">
        <w:rPr>
          <w:rStyle w:val="FootnoteReference"/>
          <w:rFonts w:ascii="Arial" w:hAnsi="Arial" w:cs="Arial"/>
          <w:sz w:val="18"/>
          <w:szCs w:val="18"/>
        </w:rPr>
        <w:footnoteRef/>
      </w:r>
      <w:r w:rsidRPr="00ED6E9A">
        <w:rPr>
          <w:rFonts w:ascii="Arial" w:hAnsi="Arial" w:cs="Arial"/>
          <w:sz w:val="18"/>
          <w:szCs w:val="18"/>
        </w:rPr>
        <w:t xml:space="preserve"> NTC, </w:t>
      </w:r>
      <w:r w:rsidRPr="00ED6E9A">
        <w:rPr>
          <w:rFonts w:ascii="Arial" w:hAnsi="Arial" w:cs="Arial"/>
          <w:i/>
          <w:sz w:val="18"/>
          <w:szCs w:val="18"/>
        </w:rPr>
        <w:t>Heavy Vehicle National Law – Extension of Executive Officer Due Diligence Obligation Regulatory Impact Statement</w:t>
      </w:r>
      <w:r w:rsidRPr="00ED6E9A">
        <w:rPr>
          <w:rFonts w:ascii="Arial" w:hAnsi="Arial" w:cs="Arial"/>
          <w:sz w:val="18"/>
          <w:szCs w:val="18"/>
        </w:rPr>
        <w:t>. Draft for pu</w:t>
      </w:r>
      <w:r w:rsidR="00D5370A">
        <w:rPr>
          <w:rFonts w:ascii="Arial" w:hAnsi="Arial" w:cs="Arial"/>
          <w:sz w:val="18"/>
          <w:szCs w:val="18"/>
        </w:rPr>
        <w:t xml:space="preserve">blic consultation, March 2016, </w:t>
      </w:r>
      <w:r w:rsidRPr="00ED6E9A">
        <w:rPr>
          <w:rFonts w:ascii="Arial" w:hAnsi="Arial" w:cs="Arial"/>
          <w:sz w:val="18"/>
          <w:szCs w:val="18"/>
        </w:rPr>
        <w:t xml:space="preserve">13. </w:t>
      </w:r>
      <w:hyperlink r:id="rId1" w:history="1">
        <w:r w:rsidRPr="00B42629">
          <w:rPr>
            <w:rStyle w:val="Hyperlink"/>
            <w:rFonts w:ascii="Arial" w:hAnsi="Arial" w:cs="Arial"/>
            <w:sz w:val="18"/>
            <w:szCs w:val="18"/>
          </w:rPr>
          <w:t>Link</w:t>
        </w:r>
      </w:hyperlink>
      <w:r w:rsidRPr="00ED6E9A">
        <w:rPr>
          <w:rFonts w:ascii="Arial" w:hAnsi="Arial" w:cs="Arial"/>
          <w:sz w:val="18"/>
          <w:szCs w:val="18"/>
        </w:rPr>
        <w:t>.</w:t>
      </w:r>
    </w:p>
  </w:footnote>
  <w:footnote w:id="2">
    <w:p w:rsidR="00ED6E9A" w:rsidRDefault="00ED6E9A">
      <w:pPr>
        <w:pStyle w:val="FootnoteText"/>
      </w:pPr>
      <w:r w:rsidRPr="00ED6E9A">
        <w:rPr>
          <w:rStyle w:val="FootnoteReference"/>
          <w:rFonts w:ascii="Arial" w:hAnsi="Arial" w:cs="Arial"/>
          <w:sz w:val="18"/>
          <w:szCs w:val="18"/>
        </w:rPr>
        <w:footnoteRef/>
      </w:r>
      <w:r w:rsidR="00D5370A">
        <w:rPr>
          <w:rFonts w:ascii="Arial" w:hAnsi="Arial" w:cs="Arial"/>
          <w:sz w:val="18"/>
          <w:szCs w:val="18"/>
        </w:rPr>
        <w:t xml:space="preserve"> NTC, </w:t>
      </w:r>
      <w:r w:rsidRPr="00ED6E9A">
        <w:rPr>
          <w:rFonts w:ascii="Arial" w:hAnsi="Arial" w:cs="Arial"/>
          <w:sz w:val="18"/>
          <w:szCs w:val="18"/>
        </w:rPr>
        <w:t>20.</w:t>
      </w:r>
    </w:p>
  </w:footnote>
  <w:footnote w:id="3">
    <w:p w:rsidR="0023754E" w:rsidRPr="005B54E8" w:rsidRDefault="0023754E" w:rsidP="0023754E">
      <w:pPr>
        <w:pStyle w:val="FootnoteText"/>
        <w:rPr>
          <w:rFonts w:ascii="Arial" w:hAnsi="Arial" w:cs="Arial"/>
          <w:sz w:val="18"/>
          <w:szCs w:val="18"/>
        </w:rPr>
      </w:pPr>
      <w:r w:rsidRPr="005B54E8">
        <w:rPr>
          <w:rStyle w:val="FootnoteReference"/>
          <w:rFonts w:ascii="Arial" w:hAnsi="Arial" w:cs="Arial"/>
          <w:sz w:val="18"/>
          <w:szCs w:val="18"/>
        </w:rPr>
        <w:footnoteRef/>
      </w:r>
      <w:r w:rsidR="00D5370A">
        <w:rPr>
          <w:rFonts w:ascii="Arial" w:hAnsi="Arial" w:cs="Arial"/>
          <w:sz w:val="18"/>
          <w:szCs w:val="18"/>
        </w:rPr>
        <w:t xml:space="preserve"> NTC, </w:t>
      </w:r>
      <w:r w:rsidRPr="005B54E8">
        <w:rPr>
          <w:rFonts w:ascii="Arial" w:hAnsi="Arial" w:cs="Arial"/>
          <w:sz w:val="18"/>
          <w:szCs w:val="18"/>
        </w:rPr>
        <w:t>21.</w:t>
      </w:r>
    </w:p>
  </w:footnote>
  <w:footnote w:id="4">
    <w:p w:rsidR="009A2202" w:rsidRPr="005B54E8" w:rsidRDefault="009A2202" w:rsidP="009A2202">
      <w:pPr>
        <w:pStyle w:val="FootnoteText"/>
        <w:rPr>
          <w:rFonts w:ascii="Arial" w:hAnsi="Arial" w:cs="Arial"/>
          <w:sz w:val="18"/>
          <w:szCs w:val="18"/>
        </w:rPr>
      </w:pPr>
      <w:r w:rsidRPr="005B54E8">
        <w:rPr>
          <w:rStyle w:val="FootnoteReference"/>
          <w:rFonts w:ascii="Arial" w:hAnsi="Arial" w:cs="Arial"/>
          <w:sz w:val="18"/>
          <w:szCs w:val="18"/>
        </w:rPr>
        <w:footnoteRef/>
      </w:r>
      <w:r w:rsidRPr="005B54E8">
        <w:rPr>
          <w:rFonts w:ascii="Arial" w:hAnsi="Arial" w:cs="Arial"/>
          <w:sz w:val="18"/>
          <w:szCs w:val="18"/>
        </w:rPr>
        <w:t xml:space="preserve"> </w:t>
      </w:r>
      <w:r w:rsidR="00D5370A">
        <w:rPr>
          <w:rFonts w:ascii="Arial" w:hAnsi="Arial" w:cs="Arial"/>
          <w:sz w:val="18"/>
          <w:szCs w:val="18"/>
        </w:rPr>
        <w:t xml:space="preserve">s </w:t>
      </w:r>
      <w:r w:rsidRPr="005B54E8">
        <w:rPr>
          <w:rFonts w:ascii="Arial" w:hAnsi="Arial" w:cs="Arial"/>
          <w:sz w:val="18"/>
          <w:szCs w:val="18"/>
        </w:rPr>
        <w:t>30(1).</w:t>
      </w:r>
    </w:p>
  </w:footnote>
  <w:footnote w:id="5">
    <w:p w:rsidR="00B7485A" w:rsidRPr="005B54E8" w:rsidRDefault="00B7485A">
      <w:pPr>
        <w:pStyle w:val="FootnoteText"/>
        <w:rPr>
          <w:rFonts w:ascii="Arial" w:hAnsi="Arial" w:cs="Arial"/>
          <w:sz w:val="18"/>
          <w:szCs w:val="18"/>
        </w:rPr>
      </w:pPr>
      <w:r w:rsidRPr="005B54E8">
        <w:rPr>
          <w:rStyle w:val="FootnoteReference"/>
          <w:rFonts w:ascii="Arial" w:hAnsi="Arial" w:cs="Arial"/>
          <w:sz w:val="18"/>
          <w:szCs w:val="18"/>
        </w:rPr>
        <w:footnoteRef/>
      </w:r>
      <w:r w:rsidRPr="005B54E8">
        <w:rPr>
          <w:rFonts w:ascii="Arial" w:hAnsi="Arial" w:cs="Arial"/>
          <w:sz w:val="18"/>
          <w:szCs w:val="18"/>
        </w:rPr>
        <w:t xml:space="preserve"> </w:t>
      </w:r>
      <w:r w:rsidR="00D5370A">
        <w:rPr>
          <w:rFonts w:ascii="Arial" w:hAnsi="Arial" w:cs="Arial"/>
          <w:sz w:val="18"/>
          <w:szCs w:val="18"/>
        </w:rPr>
        <w:t xml:space="preserve">s </w:t>
      </w:r>
      <w:r w:rsidRPr="005B54E8">
        <w:rPr>
          <w:rFonts w:ascii="Arial" w:hAnsi="Arial" w:cs="Arial"/>
          <w:sz w:val="18"/>
          <w:szCs w:val="18"/>
        </w:rPr>
        <w:t>89(1).</w:t>
      </w:r>
    </w:p>
  </w:footnote>
  <w:footnote w:id="6">
    <w:p w:rsidR="00B7485A" w:rsidRPr="005B54E8" w:rsidRDefault="00B7485A">
      <w:pPr>
        <w:pStyle w:val="FootnoteText"/>
        <w:rPr>
          <w:rFonts w:ascii="Arial" w:hAnsi="Arial" w:cs="Arial"/>
          <w:sz w:val="18"/>
          <w:szCs w:val="18"/>
        </w:rPr>
      </w:pPr>
      <w:r w:rsidRPr="005B54E8">
        <w:rPr>
          <w:rStyle w:val="FootnoteReference"/>
          <w:rFonts w:ascii="Arial" w:hAnsi="Arial" w:cs="Arial"/>
          <w:sz w:val="18"/>
          <w:szCs w:val="18"/>
        </w:rPr>
        <w:footnoteRef/>
      </w:r>
      <w:r w:rsidRPr="005B54E8">
        <w:rPr>
          <w:rFonts w:ascii="Arial" w:hAnsi="Arial" w:cs="Arial"/>
          <w:sz w:val="18"/>
          <w:szCs w:val="18"/>
        </w:rPr>
        <w:t xml:space="preserve"> </w:t>
      </w:r>
      <w:r w:rsidR="00D5370A">
        <w:rPr>
          <w:rFonts w:ascii="Arial" w:hAnsi="Arial" w:cs="Arial"/>
          <w:sz w:val="18"/>
          <w:szCs w:val="18"/>
        </w:rPr>
        <w:t>s</w:t>
      </w:r>
      <w:r w:rsidRPr="005B54E8">
        <w:rPr>
          <w:rFonts w:ascii="Arial" w:hAnsi="Arial" w:cs="Arial"/>
          <w:sz w:val="18"/>
          <w:szCs w:val="18"/>
        </w:rPr>
        <w:t>s</w:t>
      </w:r>
      <w:r w:rsidR="00D5370A">
        <w:rPr>
          <w:rFonts w:ascii="Arial" w:hAnsi="Arial" w:cs="Arial"/>
          <w:sz w:val="18"/>
          <w:szCs w:val="18"/>
        </w:rPr>
        <w:t xml:space="preserve"> </w:t>
      </w:r>
      <w:r w:rsidRPr="005B54E8">
        <w:rPr>
          <w:rFonts w:ascii="Arial" w:hAnsi="Arial" w:cs="Arial"/>
          <w:sz w:val="18"/>
          <w:szCs w:val="18"/>
        </w:rPr>
        <w:t>129(1)-(3).</w:t>
      </w:r>
    </w:p>
  </w:footnote>
  <w:footnote w:id="7">
    <w:p w:rsidR="00B7485A" w:rsidRPr="005B54E8" w:rsidRDefault="00B7485A">
      <w:pPr>
        <w:pStyle w:val="FootnoteText"/>
        <w:rPr>
          <w:rFonts w:ascii="Arial" w:hAnsi="Arial" w:cs="Arial"/>
          <w:sz w:val="18"/>
          <w:szCs w:val="18"/>
        </w:rPr>
      </w:pPr>
      <w:r w:rsidRPr="005B54E8">
        <w:rPr>
          <w:rStyle w:val="FootnoteReference"/>
          <w:rFonts w:ascii="Arial" w:hAnsi="Arial" w:cs="Arial"/>
          <w:sz w:val="18"/>
          <w:szCs w:val="18"/>
        </w:rPr>
        <w:footnoteRef/>
      </w:r>
      <w:r w:rsidRPr="005B54E8">
        <w:rPr>
          <w:rFonts w:ascii="Arial" w:hAnsi="Arial" w:cs="Arial"/>
          <w:sz w:val="18"/>
          <w:szCs w:val="18"/>
        </w:rPr>
        <w:t xml:space="preserve"> </w:t>
      </w:r>
      <w:r w:rsidR="00D5370A">
        <w:rPr>
          <w:rFonts w:ascii="Arial" w:hAnsi="Arial" w:cs="Arial"/>
          <w:sz w:val="18"/>
          <w:szCs w:val="18"/>
        </w:rPr>
        <w:t>s</w:t>
      </w:r>
      <w:r w:rsidRPr="005B54E8">
        <w:rPr>
          <w:rFonts w:ascii="Arial" w:hAnsi="Arial" w:cs="Arial"/>
          <w:sz w:val="18"/>
          <w:szCs w:val="18"/>
        </w:rPr>
        <w:t>s</w:t>
      </w:r>
      <w:r w:rsidR="00D5370A">
        <w:rPr>
          <w:rFonts w:ascii="Arial" w:hAnsi="Arial" w:cs="Arial"/>
          <w:sz w:val="18"/>
          <w:szCs w:val="18"/>
        </w:rPr>
        <w:t xml:space="preserve"> </w:t>
      </w:r>
      <w:r w:rsidRPr="005B54E8">
        <w:rPr>
          <w:rFonts w:ascii="Arial" w:hAnsi="Arial" w:cs="Arial"/>
          <w:sz w:val="18"/>
          <w:szCs w:val="18"/>
        </w:rPr>
        <w:t>93(1)-(3).</w:t>
      </w:r>
    </w:p>
  </w:footnote>
  <w:footnote w:id="8">
    <w:p w:rsidR="00B7485A" w:rsidRPr="005B54E8" w:rsidRDefault="00B7485A">
      <w:pPr>
        <w:pStyle w:val="FootnoteText"/>
        <w:rPr>
          <w:rFonts w:ascii="Arial" w:hAnsi="Arial" w:cs="Arial"/>
          <w:sz w:val="18"/>
          <w:szCs w:val="18"/>
        </w:rPr>
      </w:pPr>
      <w:r w:rsidRPr="005B54E8">
        <w:rPr>
          <w:rStyle w:val="FootnoteReference"/>
          <w:rFonts w:ascii="Arial" w:hAnsi="Arial" w:cs="Arial"/>
          <w:sz w:val="18"/>
          <w:szCs w:val="18"/>
        </w:rPr>
        <w:footnoteRef/>
      </w:r>
      <w:r w:rsidRPr="005B54E8">
        <w:rPr>
          <w:rFonts w:ascii="Arial" w:hAnsi="Arial" w:cs="Arial"/>
          <w:sz w:val="18"/>
          <w:szCs w:val="18"/>
        </w:rPr>
        <w:t xml:space="preserve"> </w:t>
      </w:r>
      <w:r w:rsidR="00D5370A">
        <w:rPr>
          <w:rFonts w:ascii="Arial" w:hAnsi="Arial" w:cs="Arial"/>
          <w:sz w:val="18"/>
          <w:szCs w:val="18"/>
        </w:rPr>
        <w:t xml:space="preserve">s 335(1); </w:t>
      </w:r>
      <w:r w:rsidRPr="005B54E8">
        <w:rPr>
          <w:rFonts w:ascii="Arial" w:hAnsi="Arial" w:cs="Arial"/>
          <w:sz w:val="18"/>
          <w:szCs w:val="18"/>
        </w:rPr>
        <w:t>s336(1).</w:t>
      </w:r>
    </w:p>
  </w:footnote>
  <w:footnote w:id="9">
    <w:p w:rsidR="002F07F2" w:rsidRPr="005B54E8" w:rsidRDefault="002F07F2" w:rsidP="002F07F2">
      <w:pPr>
        <w:pStyle w:val="FootnoteText"/>
        <w:rPr>
          <w:rFonts w:ascii="Arial" w:hAnsi="Arial" w:cs="Arial"/>
          <w:sz w:val="18"/>
          <w:szCs w:val="18"/>
        </w:rPr>
      </w:pPr>
      <w:r w:rsidRPr="005B54E8">
        <w:rPr>
          <w:rStyle w:val="FootnoteReference"/>
          <w:rFonts w:ascii="Arial" w:hAnsi="Arial" w:cs="Arial"/>
          <w:sz w:val="18"/>
          <w:szCs w:val="18"/>
        </w:rPr>
        <w:footnoteRef/>
      </w:r>
      <w:r w:rsidRPr="005B54E8">
        <w:rPr>
          <w:rFonts w:ascii="Arial" w:hAnsi="Arial" w:cs="Arial"/>
          <w:sz w:val="18"/>
          <w:szCs w:val="18"/>
        </w:rPr>
        <w:t xml:space="preserve"> Kloeden CN, McLean AJ, “Rural speed and crash risk,” Proceedings of the 2001 Road Safety Research, Policing and Education Conference, 163-168 (vol 2).</w:t>
      </w:r>
    </w:p>
  </w:footnote>
  <w:footnote w:id="10">
    <w:p w:rsidR="00C918F8" w:rsidRPr="00C918F8" w:rsidRDefault="00C918F8">
      <w:pPr>
        <w:pStyle w:val="FootnoteText"/>
        <w:rPr>
          <w:rFonts w:ascii="Arial" w:hAnsi="Arial" w:cs="Arial"/>
          <w:sz w:val="18"/>
          <w:szCs w:val="18"/>
        </w:rPr>
      </w:pPr>
      <w:r w:rsidRPr="005B54E8">
        <w:rPr>
          <w:rStyle w:val="FootnoteReference"/>
          <w:rFonts w:ascii="Arial" w:hAnsi="Arial" w:cs="Arial"/>
          <w:sz w:val="18"/>
          <w:szCs w:val="18"/>
        </w:rPr>
        <w:footnoteRef/>
      </w:r>
      <w:r w:rsidRPr="005B54E8">
        <w:rPr>
          <w:rFonts w:ascii="Arial" w:hAnsi="Arial" w:cs="Arial"/>
          <w:sz w:val="18"/>
          <w:szCs w:val="18"/>
        </w:rPr>
        <w:t xml:space="preserve"> Saulwick, J. </w:t>
      </w:r>
      <w:hyperlink r:id="rId2" w:history="1">
        <w:r w:rsidRPr="005B54E8">
          <w:rPr>
            <w:rStyle w:val="Hyperlink"/>
            <w:rFonts w:ascii="Arial" w:hAnsi="Arial" w:cs="Arial"/>
            <w:sz w:val="18"/>
            <w:szCs w:val="18"/>
          </w:rPr>
          <w:t>Victorian failure to monitor dangerous trucks putting NSW drivers at risk</w:t>
        </w:r>
      </w:hyperlink>
      <w:r w:rsidRPr="005B54E8">
        <w:rPr>
          <w:rFonts w:ascii="Arial" w:hAnsi="Arial" w:cs="Arial"/>
          <w:sz w:val="18"/>
          <w:szCs w:val="18"/>
        </w:rPr>
        <w:t xml:space="preserve">, </w:t>
      </w:r>
      <w:r w:rsidRPr="005B54E8">
        <w:rPr>
          <w:rFonts w:ascii="Arial" w:hAnsi="Arial" w:cs="Arial"/>
          <w:i/>
          <w:sz w:val="18"/>
          <w:szCs w:val="18"/>
        </w:rPr>
        <w:t>Sydney Morning Herald</w:t>
      </w:r>
      <w:r w:rsidRPr="005B54E8">
        <w:rPr>
          <w:rFonts w:ascii="Arial" w:hAnsi="Arial" w:cs="Arial"/>
          <w:sz w:val="18"/>
          <w:szCs w:val="18"/>
        </w:rPr>
        <w:t>, 28 September 2015.</w:t>
      </w:r>
    </w:p>
  </w:footnote>
  <w:footnote w:id="11">
    <w:p w:rsidR="009A2202" w:rsidRPr="00CA03BB" w:rsidRDefault="009A2202">
      <w:pPr>
        <w:pStyle w:val="FootnoteText"/>
        <w:rPr>
          <w:rFonts w:ascii="Arial" w:hAnsi="Arial" w:cs="Arial"/>
          <w:sz w:val="18"/>
          <w:szCs w:val="18"/>
        </w:rPr>
      </w:pPr>
      <w:r w:rsidRPr="00CA03BB">
        <w:rPr>
          <w:rStyle w:val="FootnoteReference"/>
          <w:rFonts w:ascii="Arial" w:hAnsi="Arial" w:cs="Arial"/>
          <w:sz w:val="18"/>
          <w:szCs w:val="18"/>
        </w:rPr>
        <w:footnoteRef/>
      </w:r>
      <w:r w:rsidR="00D5370A">
        <w:rPr>
          <w:rFonts w:ascii="Arial" w:hAnsi="Arial" w:cs="Arial"/>
          <w:sz w:val="18"/>
          <w:szCs w:val="18"/>
        </w:rPr>
        <w:t xml:space="preserve"> NTC, </w:t>
      </w:r>
      <w:r w:rsidRPr="00CA03BB">
        <w:rPr>
          <w:rFonts w:ascii="Arial" w:hAnsi="Arial" w:cs="Arial"/>
          <w:sz w:val="18"/>
          <w:szCs w:val="18"/>
        </w:rPr>
        <w:t>32.</w:t>
      </w:r>
    </w:p>
  </w:footnote>
  <w:footnote w:id="12">
    <w:p w:rsidR="00D53E6B" w:rsidRPr="00CD4D02" w:rsidRDefault="00D53E6B" w:rsidP="00D53E6B">
      <w:pPr>
        <w:pStyle w:val="FootnoteText"/>
        <w:rPr>
          <w:rFonts w:ascii="Arial" w:hAnsi="Arial" w:cs="Arial"/>
          <w:sz w:val="18"/>
          <w:szCs w:val="18"/>
        </w:rPr>
      </w:pPr>
      <w:r w:rsidRPr="00CD4D02">
        <w:rPr>
          <w:rStyle w:val="FootnoteReference"/>
          <w:rFonts w:ascii="Arial" w:hAnsi="Arial" w:cs="Arial"/>
          <w:sz w:val="18"/>
          <w:szCs w:val="18"/>
        </w:rPr>
        <w:footnoteRef/>
      </w:r>
      <w:r w:rsidR="00D5370A">
        <w:rPr>
          <w:rFonts w:ascii="Arial" w:hAnsi="Arial" w:cs="Arial"/>
          <w:sz w:val="18"/>
          <w:szCs w:val="18"/>
        </w:rPr>
        <w:t xml:space="preserve"> NTC, </w:t>
      </w:r>
      <w:r w:rsidRPr="00CD4D02">
        <w:rPr>
          <w:rFonts w:ascii="Arial" w:hAnsi="Arial" w:cs="Arial"/>
          <w:sz w:val="18"/>
          <w:szCs w:val="18"/>
        </w:rPr>
        <w:t>34.</w:t>
      </w:r>
    </w:p>
  </w:footnote>
  <w:footnote w:id="13">
    <w:p w:rsidR="00A658ED" w:rsidRPr="00CD4D02" w:rsidRDefault="00A658ED">
      <w:pPr>
        <w:pStyle w:val="FootnoteText"/>
        <w:rPr>
          <w:rFonts w:ascii="Arial" w:hAnsi="Arial" w:cs="Arial"/>
          <w:sz w:val="18"/>
          <w:szCs w:val="18"/>
        </w:rPr>
      </w:pPr>
      <w:r w:rsidRPr="00CD4D02">
        <w:rPr>
          <w:rStyle w:val="FootnoteReference"/>
          <w:rFonts w:ascii="Arial" w:hAnsi="Arial" w:cs="Arial"/>
          <w:sz w:val="18"/>
          <w:szCs w:val="18"/>
        </w:rPr>
        <w:footnoteRef/>
      </w:r>
      <w:r w:rsidRPr="00CD4D02">
        <w:rPr>
          <w:rFonts w:ascii="Arial" w:hAnsi="Arial" w:cs="Arial"/>
          <w:sz w:val="18"/>
          <w:szCs w:val="18"/>
        </w:rPr>
        <w:t xml:space="preserve"> Council of Australian Governments (COAG), </w:t>
      </w:r>
      <w:r w:rsidRPr="00CD4D02">
        <w:rPr>
          <w:rFonts w:ascii="Arial" w:hAnsi="Arial" w:cs="Arial"/>
          <w:i/>
          <w:sz w:val="18"/>
          <w:szCs w:val="18"/>
        </w:rPr>
        <w:t>Personal liability for corporate fault—guidelines for applying the COAG principles</w:t>
      </w:r>
      <w:r w:rsidRPr="00CD4D02">
        <w:rPr>
          <w:rFonts w:ascii="Arial" w:hAnsi="Arial" w:cs="Arial"/>
          <w:sz w:val="18"/>
          <w:szCs w:val="18"/>
        </w:rPr>
        <w:t>, COAG, Canberra, 2012. Available at &lt;</w:t>
      </w:r>
      <w:hyperlink r:id="rId3" w:history="1">
        <w:r w:rsidRPr="00CD4D02">
          <w:rPr>
            <w:rStyle w:val="Hyperlink"/>
            <w:rFonts w:ascii="Arial" w:hAnsi="Arial" w:cs="Arial"/>
            <w:sz w:val="18"/>
            <w:szCs w:val="18"/>
          </w:rPr>
          <w:t>www.coag.gov.au/node/434</w:t>
        </w:r>
      </w:hyperlink>
      <w:r w:rsidRPr="00CD4D02">
        <w:rPr>
          <w:rFonts w:ascii="Arial" w:hAnsi="Arial" w:cs="Arial"/>
          <w:sz w:val="18"/>
          <w:szCs w:val="18"/>
        </w:rPr>
        <w:t>&gt;.</w:t>
      </w:r>
    </w:p>
  </w:footnote>
  <w:footnote w:id="14">
    <w:p w:rsidR="00A658ED" w:rsidRPr="00CD4D02" w:rsidRDefault="00A658ED">
      <w:pPr>
        <w:pStyle w:val="FootnoteText"/>
        <w:rPr>
          <w:rFonts w:ascii="Arial" w:hAnsi="Arial" w:cs="Arial"/>
          <w:sz w:val="18"/>
          <w:szCs w:val="18"/>
        </w:rPr>
      </w:pPr>
      <w:r w:rsidRPr="00CD4D02">
        <w:rPr>
          <w:rStyle w:val="FootnoteReference"/>
          <w:rFonts w:ascii="Arial" w:hAnsi="Arial" w:cs="Arial"/>
          <w:sz w:val="18"/>
          <w:szCs w:val="18"/>
        </w:rPr>
        <w:footnoteRef/>
      </w:r>
      <w:r w:rsidRPr="00CD4D02">
        <w:rPr>
          <w:rFonts w:ascii="Arial" w:hAnsi="Arial" w:cs="Arial"/>
          <w:sz w:val="18"/>
          <w:szCs w:val="18"/>
        </w:rPr>
        <w:t xml:space="preserve"> </w:t>
      </w:r>
      <w:r w:rsidR="00D5370A">
        <w:rPr>
          <w:rFonts w:ascii="Arial" w:hAnsi="Arial" w:cs="Arial"/>
          <w:sz w:val="18"/>
          <w:szCs w:val="18"/>
        </w:rPr>
        <w:t xml:space="preserve">NTC, </w:t>
      </w:r>
      <w:r w:rsidRPr="00CD4D02">
        <w:rPr>
          <w:rFonts w:ascii="Arial" w:hAnsi="Arial" w:cs="Arial"/>
          <w:sz w:val="18"/>
          <w:szCs w:val="18"/>
        </w:rPr>
        <w:t>35.</w:t>
      </w:r>
    </w:p>
  </w:footnote>
  <w:footnote w:id="15">
    <w:p w:rsidR="00621E7B" w:rsidRPr="00CD4D02" w:rsidRDefault="00621E7B">
      <w:pPr>
        <w:pStyle w:val="FootnoteText"/>
        <w:rPr>
          <w:rFonts w:ascii="Arial" w:hAnsi="Arial" w:cs="Arial"/>
          <w:sz w:val="18"/>
          <w:szCs w:val="18"/>
        </w:rPr>
      </w:pPr>
      <w:r w:rsidRPr="00CD4D02">
        <w:rPr>
          <w:rStyle w:val="FootnoteReference"/>
          <w:rFonts w:ascii="Arial" w:hAnsi="Arial" w:cs="Arial"/>
          <w:sz w:val="18"/>
          <w:szCs w:val="18"/>
        </w:rPr>
        <w:footnoteRef/>
      </w:r>
      <w:r w:rsidRPr="00CD4D02">
        <w:rPr>
          <w:rFonts w:ascii="Arial" w:hAnsi="Arial" w:cs="Arial"/>
          <w:sz w:val="18"/>
          <w:szCs w:val="18"/>
        </w:rPr>
        <w:t xml:space="preserve"> </w:t>
      </w:r>
      <w:r w:rsidR="00D5370A">
        <w:rPr>
          <w:rFonts w:ascii="Arial" w:hAnsi="Arial" w:cs="Arial"/>
          <w:sz w:val="18"/>
          <w:szCs w:val="18"/>
        </w:rPr>
        <w:t xml:space="preserve">NTC, </w:t>
      </w:r>
      <w:r w:rsidRPr="00CD4D02">
        <w:rPr>
          <w:rFonts w:ascii="Arial" w:hAnsi="Arial" w:cs="Arial"/>
          <w:sz w:val="18"/>
          <w:szCs w:val="18"/>
        </w:rPr>
        <w:t>33</w:t>
      </w:r>
    </w:p>
  </w:footnote>
  <w:footnote w:id="16">
    <w:p w:rsidR="00D53E6B" w:rsidRPr="00CD4D02" w:rsidRDefault="00D53E6B">
      <w:pPr>
        <w:pStyle w:val="FootnoteText"/>
        <w:rPr>
          <w:rFonts w:ascii="Arial" w:hAnsi="Arial" w:cs="Arial"/>
          <w:sz w:val="18"/>
          <w:szCs w:val="18"/>
        </w:rPr>
      </w:pPr>
      <w:r w:rsidRPr="00CD4D02">
        <w:rPr>
          <w:rStyle w:val="FootnoteReference"/>
          <w:rFonts w:ascii="Arial" w:hAnsi="Arial" w:cs="Arial"/>
          <w:sz w:val="18"/>
          <w:szCs w:val="18"/>
        </w:rPr>
        <w:footnoteRef/>
      </w:r>
      <w:r w:rsidR="00D5370A">
        <w:rPr>
          <w:rFonts w:ascii="Arial" w:hAnsi="Arial" w:cs="Arial"/>
          <w:sz w:val="18"/>
          <w:szCs w:val="18"/>
        </w:rPr>
        <w:t xml:space="preserve"> NTC, </w:t>
      </w:r>
      <w:r w:rsidRPr="00CD4D02">
        <w:rPr>
          <w:rFonts w:ascii="Arial" w:hAnsi="Arial" w:cs="Arial"/>
          <w:sz w:val="18"/>
          <w:szCs w:val="18"/>
        </w:rPr>
        <w:t>35.</w:t>
      </w:r>
    </w:p>
  </w:footnote>
  <w:footnote w:id="17">
    <w:p w:rsidR="00CD4D02" w:rsidRPr="00CD4D02" w:rsidRDefault="00CD4D02">
      <w:pPr>
        <w:pStyle w:val="FootnoteText"/>
        <w:rPr>
          <w:rFonts w:ascii="Arial" w:hAnsi="Arial" w:cs="Arial"/>
        </w:rPr>
      </w:pPr>
      <w:r w:rsidRPr="00CD4D02">
        <w:rPr>
          <w:rStyle w:val="FootnoteReference"/>
          <w:rFonts w:ascii="Arial" w:hAnsi="Arial" w:cs="Arial"/>
          <w:sz w:val="18"/>
          <w:szCs w:val="18"/>
        </w:rPr>
        <w:footnoteRef/>
      </w:r>
      <w:r w:rsidRPr="00CD4D02">
        <w:rPr>
          <w:rFonts w:ascii="Arial" w:hAnsi="Arial" w:cs="Arial"/>
          <w:sz w:val="18"/>
          <w:szCs w:val="18"/>
        </w:rPr>
        <w:t xml:space="preserve"> COAG guidelines, s</w:t>
      </w:r>
      <w:r w:rsidR="00D5370A">
        <w:rPr>
          <w:rFonts w:ascii="Arial" w:hAnsi="Arial" w:cs="Arial"/>
          <w:sz w:val="18"/>
          <w:szCs w:val="18"/>
        </w:rPr>
        <w:t xml:space="preserve"> </w:t>
      </w:r>
      <w:r w:rsidRPr="00CD4D02">
        <w:rPr>
          <w:rFonts w:ascii="Arial" w:hAnsi="Arial" w:cs="Arial"/>
          <w:sz w:val="18"/>
          <w:szCs w:val="18"/>
        </w:rPr>
        <w:t>4.1(4)(a)</w:t>
      </w:r>
    </w:p>
  </w:footnote>
  <w:footnote w:id="18">
    <w:p w:rsidR="00CA03BB" w:rsidRPr="00CD4D02" w:rsidRDefault="00CA03BB">
      <w:pPr>
        <w:pStyle w:val="FootnoteText"/>
        <w:rPr>
          <w:rFonts w:ascii="Arial" w:hAnsi="Arial" w:cs="Arial"/>
          <w:sz w:val="18"/>
          <w:szCs w:val="18"/>
        </w:rPr>
      </w:pPr>
      <w:r w:rsidRPr="00CD4D02">
        <w:rPr>
          <w:rStyle w:val="FootnoteReference"/>
          <w:rFonts w:ascii="Arial" w:hAnsi="Arial" w:cs="Arial"/>
          <w:sz w:val="18"/>
          <w:szCs w:val="18"/>
        </w:rPr>
        <w:footnoteRef/>
      </w:r>
      <w:r w:rsidR="00D5370A">
        <w:rPr>
          <w:rFonts w:ascii="Arial" w:hAnsi="Arial" w:cs="Arial"/>
          <w:sz w:val="18"/>
          <w:szCs w:val="18"/>
        </w:rPr>
        <w:t xml:space="preserve"> NTC, </w:t>
      </w:r>
      <w:r w:rsidRPr="00CD4D02">
        <w:rPr>
          <w:rFonts w:ascii="Arial" w:hAnsi="Arial" w:cs="Arial"/>
          <w:sz w:val="18"/>
          <w:szCs w:val="18"/>
        </w:rPr>
        <w:t>34.</w:t>
      </w:r>
    </w:p>
  </w:footnote>
  <w:footnote w:id="19">
    <w:p w:rsidR="00CD4D02" w:rsidRPr="00CD4D02" w:rsidRDefault="00CD4D02">
      <w:pPr>
        <w:pStyle w:val="FootnoteText"/>
        <w:rPr>
          <w:rFonts w:ascii="Arial" w:hAnsi="Arial" w:cs="Arial"/>
          <w:sz w:val="18"/>
          <w:szCs w:val="18"/>
        </w:rPr>
      </w:pPr>
      <w:r w:rsidRPr="00CD4D02">
        <w:rPr>
          <w:rStyle w:val="FootnoteReference"/>
          <w:rFonts w:ascii="Arial" w:hAnsi="Arial" w:cs="Arial"/>
          <w:sz w:val="18"/>
          <w:szCs w:val="18"/>
        </w:rPr>
        <w:footnoteRef/>
      </w:r>
      <w:r w:rsidRPr="00CD4D02">
        <w:rPr>
          <w:rFonts w:ascii="Arial" w:hAnsi="Arial" w:cs="Arial"/>
          <w:sz w:val="18"/>
          <w:szCs w:val="18"/>
        </w:rPr>
        <w:t xml:space="preserve"> </w:t>
      </w:r>
      <w:r w:rsidR="00D5370A">
        <w:rPr>
          <w:rFonts w:ascii="Arial" w:hAnsi="Arial" w:cs="Arial"/>
          <w:sz w:val="18"/>
          <w:szCs w:val="18"/>
        </w:rPr>
        <w:t>COAG, A</w:t>
      </w:r>
      <w:r w:rsidRPr="00CD4D02">
        <w:rPr>
          <w:rFonts w:ascii="Arial" w:hAnsi="Arial" w:cs="Arial"/>
          <w:sz w:val="18"/>
          <w:szCs w:val="18"/>
        </w:rPr>
        <w:t>nnexure A: interpreting the COAG principles, 4a.</w:t>
      </w:r>
    </w:p>
  </w:footnote>
  <w:footnote w:id="20">
    <w:p w:rsidR="00A61E1F" w:rsidRPr="00A61E1F" w:rsidRDefault="00A61E1F">
      <w:pPr>
        <w:pStyle w:val="FootnoteText"/>
        <w:rPr>
          <w:rFonts w:ascii="Arial" w:hAnsi="Arial" w:cs="Arial"/>
          <w:sz w:val="18"/>
          <w:szCs w:val="18"/>
        </w:rPr>
      </w:pPr>
      <w:r>
        <w:rPr>
          <w:rStyle w:val="FootnoteReference"/>
        </w:rPr>
        <w:footnoteRef/>
      </w:r>
      <w:r>
        <w:t xml:space="preserve"> </w:t>
      </w:r>
      <w:r w:rsidR="00D5370A">
        <w:rPr>
          <w:rFonts w:ascii="Arial" w:hAnsi="Arial" w:cs="Arial"/>
          <w:sz w:val="18"/>
          <w:szCs w:val="18"/>
        </w:rPr>
        <w:t xml:space="preserve">NTC, </w:t>
      </w:r>
      <w:r>
        <w:rPr>
          <w:rFonts w:ascii="Arial" w:hAnsi="Arial" w:cs="Arial"/>
          <w:sz w:val="18"/>
          <w:szCs w:val="18"/>
        </w:rPr>
        <w:t>34.</w:t>
      </w:r>
    </w:p>
  </w:footnote>
  <w:footnote w:id="21">
    <w:p w:rsidR="009F2C3D" w:rsidRPr="009F2C3D" w:rsidRDefault="009F2C3D">
      <w:pPr>
        <w:pStyle w:val="FootnoteText"/>
        <w:rPr>
          <w:rFonts w:ascii="Arial" w:hAnsi="Arial" w:cs="Arial"/>
          <w:sz w:val="18"/>
          <w:szCs w:val="18"/>
        </w:rPr>
      </w:pPr>
      <w:r w:rsidRPr="009F2C3D">
        <w:rPr>
          <w:rStyle w:val="FootnoteReference"/>
          <w:rFonts w:ascii="Arial" w:hAnsi="Arial" w:cs="Arial"/>
          <w:sz w:val="18"/>
          <w:szCs w:val="18"/>
        </w:rPr>
        <w:footnoteRef/>
      </w:r>
      <w:r w:rsidRPr="009F2C3D">
        <w:rPr>
          <w:rFonts w:ascii="Arial" w:hAnsi="Arial" w:cs="Arial"/>
          <w:sz w:val="18"/>
          <w:szCs w:val="18"/>
        </w:rPr>
        <w:t xml:space="preserve"> s</w:t>
      </w:r>
      <w:r w:rsidR="00D5370A">
        <w:rPr>
          <w:rFonts w:ascii="Arial" w:hAnsi="Arial" w:cs="Arial"/>
          <w:sz w:val="18"/>
          <w:szCs w:val="18"/>
        </w:rPr>
        <w:t xml:space="preserve"> </w:t>
      </w:r>
      <w:r w:rsidRPr="009F2C3D">
        <w:rPr>
          <w:rFonts w:ascii="Arial" w:hAnsi="Arial" w:cs="Arial"/>
          <w:sz w:val="18"/>
          <w:szCs w:val="18"/>
        </w:rPr>
        <w:t>80(1)</w:t>
      </w:r>
      <w:r>
        <w:rPr>
          <w:rFonts w:ascii="Arial" w:hAnsi="Arial" w:cs="Arial"/>
          <w:sz w:val="18"/>
          <w:szCs w:val="18"/>
        </w:rPr>
        <w:t>.</w:t>
      </w:r>
    </w:p>
  </w:footnote>
  <w:footnote w:id="22">
    <w:p w:rsidR="009F2C3D" w:rsidRPr="009F2C3D" w:rsidRDefault="009F2C3D">
      <w:pPr>
        <w:pStyle w:val="FootnoteText"/>
        <w:rPr>
          <w:rFonts w:ascii="Arial" w:hAnsi="Arial" w:cs="Arial"/>
          <w:sz w:val="18"/>
          <w:szCs w:val="18"/>
        </w:rPr>
      </w:pPr>
      <w:r w:rsidRPr="009F2C3D">
        <w:rPr>
          <w:rStyle w:val="FootnoteReference"/>
          <w:rFonts w:ascii="Arial" w:hAnsi="Arial" w:cs="Arial"/>
          <w:sz w:val="18"/>
          <w:szCs w:val="18"/>
        </w:rPr>
        <w:footnoteRef/>
      </w:r>
      <w:r w:rsidRPr="009F2C3D">
        <w:rPr>
          <w:rFonts w:ascii="Arial" w:hAnsi="Arial" w:cs="Arial"/>
          <w:sz w:val="18"/>
          <w:szCs w:val="18"/>
        </w:rPr>
        <w:t xml:space="preserve"> s</w:t>
      </w:r>
      <w:r w:rsidR="00D5370A">
        <w:rPr>
          <w:rFonts w:ascii="Arial" w:hAnsi="Arial" w:cs="Arial"/>
          <w:sz w:val="18"/>
          <w:szCs w:val="18"/>
        </w:rPr>
        <w:t xml:space="preserve"> </w:t>
      </w:r>
      <w:r w:rsidRPr="009F2C3D">
        <w:rPr>
          <w:rFonts w:ascii="Arial" w:hAnsi="Arial" w:cs="Arial"/>
          <w:sz w:val="18"/>
          <w:szCs w:val="18"/>
        </w:rPr>
        <w:t>303</w:t>
      </w:r>
      <w:r>
        <w:rPr>
          <w:rFonts w:ascii="Arial" w:hAnsi="Arial" w:cs="Arial"/>
          <w:sz w:val="18"/>
          <w:szCs w:val="18"/>
        </w:rPr>
        <w:t>.</w:t>
      </w:r>
    </w:p>
  </w:footnote>
  <w:footnote w:id="23">
    <w:p w:rsidR="009F2C3D" w:rsidRPr="009F2C3D" w:rsidRDefault="009F2C3D">
      <w:pPr>
        <w:pStyle w:val="FootnoteText"/>
        <w:rPr>
          <w:rFonts w:ascii="Arial" w:hAnsi="Arial" w:cs="Arial"/>
          <w:sz w:val="18"/>
          <w:szCs w:val="18"/>
        </w:rPr>
      </w:pPr>
      <w:r w:rsidRPr="009F2C3D">
        <w:rPr>
          <w:rStyle w:val="FootnoteReference"/>
          <w:rFonts w:ascii="Arial" w:hAnsi="Arial" w:cs="Arial"/>
          <w:sz w:val="18"/>
          <w:szCs w:val="18"/>
        </w:rPr>
        <w:footnoteRef/>
      </w:r>
      <w:r w:rsidRPr="009F2C3D">
        <w:rPr>
          <w:rFonts w:ascii="Arial" w:hAnsi="Arial" w:cs="Arial"/>
          <w:sz w:val="18"/>
          <w:szCs w:val="18"/>
        </w:rPr>
        <w:t xml:space="preserve"> s</w:t>
      </w:r>
      <w:r w:rsidR="00D5370A">
        <w:rPr>
          <w:rFonts w:ascii="Arial" w:hAnsi="Arial" w:cs="Arial"/>
          <w:sz w:val="18"/>
          <w:szCs w:val="18"/>
        </w:rPr>
        <w:t xml:space="preserve"> </w:t>
      </w:r>
      <w:r w:rsidRPr="009F2C3D">
        <w:rPr>
          <w:rFonts w:ascii="Arial" w:hAnsi="Arial" w:cs="Arial"/>
          <w:sz w:val="18"/>
          <w:szCs w:val="18"/>
        </w:rPr>
        <w:t>322(2)</w:t>
      </w:r>
    </w:p>
  </w:footnote>
  <w:footnote w:id="24">
    <w:p w:rsidR="005411E8" w:rsidRPr="005411E8" w:rsidRDefault="005411E8">
      <w:pPr>
        <w:pStyle w:val="FootnoteText"/>
        <w:rPr>
          <w:rFonts w:ascii="Arial" w:hAnsi="Arial" w:cs="Arial"/>
          <w:sz w:val="18"/>
          <w:szCs w:val="18"/>
        </w:rPr>
      </w:pPr>
      <w:r w:rsidRPr="005411E8">
        <w:rPr>
          <w:rStyle w:val="FootnoteReference"/>
          <w:rFonts w:ascii="Arial" w:hAnsi="Arial" w:cs="Arial"/>
          <w:sz w:val="18"/>
          <w:szCs w:val="18"/>
        </w:rPr>
        <w:footnoteRef/>
      </w:r>
      <w:r w:rsidRPr="005411E8">
        <w:rPr>
          <w:rFonts w:ascii="Arial" w:hAnsi="Arial" w:cs="Arial"/>
          <w:sz w:val="18"/>
          <w:szCs w:val="18"/>
        </w:rPr>
        <w:t xml:space="preserve"> ss</w:t>
      </w:r>
      <w:r w:rsidR="00D5370A">
        <w:rPr>
          <w:rFonts w:ascii="Arial" w:hAnsi="Arial" w:cs="Arial"/>
          <w:sz w:val="18"/>
          <w:szCs w:val="18"/>
        </w:rPr>
        <w:t xml:space="preserve"> </w:t>
      </w:r>
      <w:r w:rsidRPr="005411E8">
        <w:rPr>
          <w:rFonts w:ascii="Arial" w:hAnsi="Arial" w:cs="Arial"/>
          <w:sz w:val="18"/>
          <w:szCs w:val="18"/>
        </w:rPr>
        <w:t>517(4), 524(5)</w:t>
      </w:r>
    </w:p>
  </w:footnote>
  <w:footnote w:id="25">
    <w:p w:rsidR="005411E8" w:rsidRPr="005411E8" w:rsidRDefault="005411E8">
      <w:pPr>
        <w:pStyle w:val="FootnoteText"/>
        <w:rPr>
          <w:rFonts w:ascii="Arial" w:hAnsi="Arial" w:cs="Arial"/>
          <w:sz w:val="18"/>
          <w:szCs w:val="18"/>
        </w:rPr>
      </w:pPr>
      <w:r w:rsidRPr="005411E8">
        <w:rPr>
          <w:rStyle w:val="FootnoteReference"/>
          <w:rFonts w:ascii="Arial" w:hAnsi="Arial" w:cs="Arial"/>
          <w:sz w:val="18"/>
          <w:szCs w:val="18"/>
        </w:rPr>
        <w:footnoteRef/>
      </w:r>
      <w:r w:rsidRPr="005411E8">
        <w:rPr>
          <w:rFonts w:ascii="Arial" w:hAnsi="Arial" w:cs="Arial"/>
          <w:sz w:val="18"/>
          <w:szCs w:val="18"/>
        </w:rPr>
        <w:t xml:space="preserve"> s</w:t>
      </w:r>
      <w:r w:rsidR="00D5370A">
        <w:rPr>
          <w:rFonts w:ascii="Arial" w:hAnsi="Arial" w:cs="Arial"/>
          <w:sz w:val="18"/>
          <w:szCs w:val="18"/>
        </w:rPr>
        <w:t xml:space="preserve"> </w:t>
      </w:r>
      <w:r w:rsidRPr="005411E8">
        <w:rPr>
          <w:rFonts w:ascii="Arial" w:hAnsi="Arial" w:cs="Arial"/>
          <w:sz w:val="18"/>
          <w:szCs w:val="18"/>
        </w:rPr>
        <w:t>567(4)</w:t>
      </w:r>
    </w:p>
  </w:footnote>
  <w:footnote w:id="26">
    <w:p w:rsidR="005411E8" w:rsidRPr="005411E8" w:rsidRDefault="005411E8">
      <w:pPr>
        <w:pStyle w:val="FootnoteText"/>
        <w:rPr>
          <w:rFonts w:ascii="Arial" w:hAnsi="Arial" w:cs="Arial"/>
          <w:sz w:val="18"/>
          <w:szCs w:val="18"/>
        </w:rPr>
      </w:pPr>
      <w:r w:rsidRPr="005411E8">
        <w:rPr>
          <w:rStyle w:val="FootnoteReference"/>
          <w:rFonts w:ascii="Arial" w:hAnsi="Arial" w:cs="Arial"/>
          <w:sz w:val="18"/>
          <w:szCs w:val="18"/>
        </w:rPr>
        <w:footnoteRef/>
      </w:r>
      <w:r w:rsidRPr="005411E8">
        <w:rPr>
          <w:rFonts w:ascii="Arial" w:hAnsi="Arial" w:cs="Arial"/>
          <w:sz w:val="18"/>
          <w:szCs w:val="18"/>
        </w:rPr>
        <w:t xml:space="preserve"> </w:t>
      </w:r>
      <w:r w:rsidR="00D5370A">
        <w:rPr>
          <w:rFonts w:ascii="Arial" w:hAnsi="Arial" w:cs="Arial"/>
          <w:sz w:val="18"/>
          <w:szCs w:val="18"/>
        </w:rPr>
        <w:t xml:space="preserve">s </w:t>
      </w:r>
      <w:r w:rsidRPr="005411E8">
        <w:rPr>
          <w:rFonts w:ascii="Arial" w:hAnsi="Arial" w:cs="Arial"/>
          <w:sz w:val="18"/>
          <w:szCs w:val="18"/>
        </w:rPr>
        <w:t>584(1).</w:t>
      </w:r>
    </w:p>
  </w:footnote>
  <w:footnote w:id="27">
    <w:p w:rsidR="00911280" w:rsidRDefault="00911280">
      <w:pPr>
        <w:pStyle w:val="FootnoteText"/>
      </w:pPr>
      <w:r w:rsidRPr="005411E8">
        <w:rPr>
          <w:rStyle w:val="FootnoteReference"/>
          <w:rFonts w:ascii="Arial" w:hAnsi="Arial" w:cs="Arial"/>
          <w:sz w:val="18"/>
          <w:szCs w:val="18"/>
        </w:rPr>
        <w:footnoteRef/>
      </w:r>
      <w:r w:rsidR="00D5370A">
        <w:rPr>
          <w:rFonts w:ascii="Arial" w:hAnsi="Arial" w:cs="Arial"/>
          <w:sz w:val="18"/>
          <w:szCs w:val="18"/>
        </w:rPr>
        <w:t xml:space="preserve"> NTC, </w:t>
      </w:r>
      <w:r w:rsidRPr="005411E8">
        <w:rPr>
          <w:rFonts w:ascii="Arial" w:hAnsi="Arial" w:cs="Arial"/>
          <w:sz w:val="18"/>
          <w:szCs w:val="18"/>
        </w:rPr>
        <w:t>34.</w:t>
      </w:r>
    </w:p>
  </w:footnote>
  <w:footnote w:id="28">
    <w:p w:rsidR="006A72DB" w:rsidRPr="005B54E8" w:rsidRDefault="006A72DB">
      <w:pPr>
        <w:pStyle w:val="FootnoteText"/>
        <w:rPr>
          <w:rFonts w:ascii="Arial" w:hAnsi="Arial" w:cs="Arial"/>
          <w:sz w:val="18"/>
          <w:szCs w:val="18"/>
        </w:rPr>
      </w:pPr>
      <w:r w:rsidRPr="005B54E8">
        <w:rPr>
          <w:rStyle w:val="FootnoteReference"/>
          <w:rFonts w:ascii="Arial" w:hAnsi="Arial" w:cs="Arial"/>
          <w:sz w:val="18"/>
          <w:szCs w:val="18"/>
        </w:rPr>
        <w:footnoteRef/>
      </w:r>
      <w:r w:rsidRPr="005B54E8">
        <w:rPr>
          <w:rFonts w:ascii="Arial" w:hAnsi="Arial" w:cs="Arial"/>
          <w:sz w:val="18"/>
          <w:szCs w:val="18"/>
        </w:rPr>
        <w:t xml:space="preserve"> </w:t>
      </w:r>
      <w:r w:rsidR="005B54E8">
        <w:rPr>
          <w:rFonts w:ascii="Arial" w:hAnsi="Arial" w:cs="Arial"/>
          <w:iCs/>
          <w:sz w:val="18"/>
          <w:szCs w:val="18"/>
        </w:rPr>
        <w:t>Officer</w:t>
      </w:r>
      <w:r w:rsidRPr="005B54E8">
        <w:rPr>
          <w:rFonts w:ascii="Arial" w:hAnsi="Arial" w:cs="Arial"/>
          <w:iCs/>
          <w:sz w:val="18"/>
          <w:szCs w:val="18"/>
        </w:rPr>
        <w:t xml:space="preserve"> – (a) in relation to a body corporate, has the same meaning as officer has in relation to a corporation under section 9 of the </w:t>
      </w:r>
      <w:r w:rsidRPr="005B54E8">
        <w:rPr>
          <w:rFonts w:ascii="Arial" w:hAnsi="Arial" w:cs="Arial"/>
          <w:i/>
          <w:iCs/>
          <w:sz w:val="18"/>
          <w:szCs w:val="18"/>
        </w:rPr>
        <w:t>Corporations Act 2001</w:t>
      </w:r>
      <w:r w:rsidRPr="005B54E8">
        <w:rPr>
          <w:rFonts w:ascii="Arial" w:hAnsi="Arial" w:cs="Arial"/>
          <w:iCs/>
          <w:sz w:val="18"/>
          <w:szCs w:val="18"/>
        </w:rPr>
        <w:t xml:space="preserve"> of the Commonwealth; (b) in relation to any other person, means an individual who makes, or participates in making, decisions that affect the whole, or a substantial part, of the business or undertaking of the person. </w:t>
      </w:r>
      <w:r w:rsidRPr="005B54E8">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02" w:rsidRPr="00431A02" w:rsidRDefault="003B7F05" w:rsidP="00431A02">
    <w:pPr>
      <w:pStyle w:val="Header"/>
      <w:jc w:val="right"/>
      <w:rPr>
        <w:rFonts w:ascii="Arial" w:hAnsi="Arial" w:cs="Arial"/>
      </w:rPr>
    </w:pPr>
    <w:r>
      <w:rPr>
        <w:rFonts w:ascii="Arial" w:hAnsi="Arial" w:cs="Arial"/>
      </w:rPr>
      <w:t>ATA/</w:t>
    </w:r>
    <w:r w:rsidR="00D675C5">
      <w:rPr>
        <w:rFonts w:ascii="Arial" w:hAnsi="Arial" w:cs="Arial"/>
      </w:rPr>
      <w:t>due diligence</w:t>
    </w:r>
    <w:r w:rsidR="00431A02">
      <w:rPr>
        <w:rFonts w:ascii="Arial" w:hAnsi="Arial" w:cs="Arial"/>
      </w:rPr>
      <w:t>/</w:t>
    </w:r>
    <w:r w:rsidR="00431A02" w:rsidRPr="00431A02">
      <w:rPr>
        <w:rFonts w:ascii="Arial" w:hAnsi="Arial" w:cs="Arial"/>
      </w:rPr>
      <w:fldChar w:fldCharType="begin"/>
    </w:r>
    <w:r w:rsidR="00431A02" w:rsidRPr="00431A02">
      <w:rPr>
        <w:rFonts w:ascii="Arial" w:hAnsi="Arial" w:cs="Arial"/>
      </w:rPr>
      <w:instrText xml:space="preserve"> PAGE   \* MERGEFORMAT </w:instrText>
    </w:r>
    <w:r w:rsidR="00431A02" w:rsidRPr="00431A02">
      <w:rPr>
        <w:rFonts w:ascii="Arial" w:hAnsi="Arial" w:cs="Arial"/>
      </w:rPr>
      <w:fldChar w:fldCharType="separate"/>
    </w:r>
    <w:r w:rsidR="005F0BF4">
      <w:rPr>
        <w:rFonts w:ascii="Arial" w:hAnsi="Arial" w:cs="Arial"/>
        <w:noProof/>
      </w:rPr>
      <w:t>7</w:t>
    </w:r>
    <w:r w:rsidR="00431A02" w:rsidRPr="00431A02">
      <w:rPr>
        <w:rFonts w:ascii="Arial" w:hAnsi="Arial"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573E"/>
    <w:multiLevelType w:val="hybridMultilevel"/>
    <w:tmpl w:val="504C04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DB797B"/>
    <w:multiLevelType w:val="hybridMultilevel"/>
    <w:tmpl w:val="49E8A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4C234E"/>
    <w:multiLevelType w:val="hybridMultilevel"/>
    <w:tmpl w:val="45A4F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F50BF2"/>
    <w:multiLevelType w:val="hybridMultilevel"/>
    <w:tmpl w:val="F4946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F611DB"/>
    <w:multiLevelType w:val="hybridMultilevel"/>
    <w:tmpl w:val="474E0F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ED7012"/>
    <w:multiLevelType w:val="hybridMultilevel"/>
    <w:tmpl w:val="6DA4BD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6C03085E"/>
    <w:multiLevelType w:val="hybridMultilevel"/>
    <w:tmpl w:val="320ED2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2C1198"/>
    <w:multiLevelType w:val="hybridMultilevel"/>
    <w:tmpl w:val="75165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E861A8"/>
    <w:multiLevelType w:val="hybridMultilevel"/>
    <w:tmpl w:val="8C202A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4"/>
  </w:num>
  <w:num w:numId="6">
    <w:abstractNumId w:val="9"/>
  </w:num>
  <w:num w:numId="7">
    <w:abstractNumId w:val="1"/>
  </w:num>
  <w:num w:numId="8">
    <w:abstractNumId w:val="8"/>
  </w:num>
  <w:num w:numId="9">
    <w:abstractNumId w:val="10"/>
  </w:num>
  <w:num w:numId="10">
    <w:abstractNumId w:val="5"/>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E9"/>
    <w:rsid w:val="0000052A"/>
    <w:rsid w:val="00000CE3"/>
    <w:rsid w:val="00001E4D"/>
    <w:rsid w:val="0000435D"/>
    <w:rsid w:val="00005A35"/>
    <w:rsid w:val="00005E0D"/>
    <w:rsid w:val="00006297"/>
    <w:rsid w:val="000063A3"/>
    <w:rsid w:val="00006C53"/>
    <w:rsid w:val="00006E65"/>
    <w:rsid w:val="00007723"/>
    <w:rsid w:val="00007CA7"/>
    <w:rsid w:val="00011661"/>
    <w:rsid w:val="00012205"/>
    <w:rsid w:val="000156D1"/>
    <w:rsid w:val="000169A5"/>
    <w:rsid w:val="000207C1"/>
    <w:rsid w:val="00020B9C"/>
    <w:rsid w:val="0002124B"/>
    <w:rsid w:val="00021886"/>
    <w:rsid w:val="00021D7D"/>
    <w:rsid w:val="0002564A"/>
    <w:rsid w:val="00027E86"/>
    <w:rsid w:val="0003251D"/>
    <w:rsid w:val="000326E1"/>
    <w:rsid w:val="00035304"/>
    <w:rsid w:val="00035CFC"/>
    <w:rsid w:val="0004081E"/>
    <w:rsid w:val="00040876"/>
    <w:rsid w:val="00040B35"/>
    <w:rsid w:val="000447B1"/>
    <w:rsid w:val="00046251"/>
    <w:rsid w:val="00047723"/>
    <w:rsid w:val="00047B01"/>
    <w:rsid w:val="00050538"/>
    <w:rsid w:val="00050AC8"/>
    <w:rsid w:val="00050CE6"/>
    <w:rsid w:val="000522D3"/>
    <w:rsid w:val="00052E54"/>
    <w:rsid w:val="00052E9C"/>
    <w:rsid w:val="00053DCB"/>
    <w:rsid w:val="00054F0E"/>
    <w:rsid w:val="00056113"/>
    <w:rsid w:val="00056A74"/>
    <w:rsid w:val="00060365"/>
    <w:rsid w:val="00060651"/>
    <w:rsid w:val="00061924"/>
    <w:rsid w:val="0006283B"/>
    <w:rsid w:val="00063D15"/>
    <w:rsid w:val="00067698"/>
    <w:rsid w:val="00070737"/>
    <w:rsid w:val="00071A71"/>
    <w:rsid w:val="00072CCE"/>
    <w:rsid w:val="00074AB7"/>
    <w:rsid w:val="0007542B"/>
    <w:rsid w:val="00075811"/>
    <w:rsid w:val="00075E7B"/>
    <w:rsid w:val="00077364"/>
    <w:rsid w:val="00083C15"/>
    <w:rsid w:val="000848A1"/>
    <w:rsid w:val="00086A56"/>
    <w:rsid w:val="00087208"/>
    <w:rsid w:val="00091EB9"/>
    <w:rsid w:val="0009295E"/>
    <w:rsid w:val="00093679"/>
    <w:rsid w:val="00094FE3"/>
    <w:rsid w:val="0009511E"/>
    <w:rsid w:val="00095C3B"/>
    <w:rsid w:val="00096B02"/>
    <w:rsid w:val="0009718D"/>
    <w:rsid w:val="00097329"/>
    <w:rsid w:val="000976B9"/>
    <w:rsid w:val="0009785A"/>
    <w:rsid w:val="000A01D0"/>
    <w:rsid w:val="000A2163"/>
    <w:rsid w:val="000A2996"/>
    <w:rsid w:val="000A2BCF"/>
    <w:rsid w:val="000A2C1A"/>
    <w:rsid w:val="000A4EB0"/>
    <w:rsid w:val="000A6499"/>
    <w:rsid w:val="000A7426"/>
    <w:rsid w:val="000B0410"/>
    <w:rsid w:val="000B069A"/>
    <w:rsid w:val="000B1819"/>
    <w:rsid w:val="000B496C"/>
    <w:rsid w:val="000C049C"/>
    <w:rsid w:val="000C0C35"/>
    <w:rsid w:val="000C0F58"/>
    <w:rsid w:val="000C4A62"/>
    <w:rsid w:val="000C7BBC"/>
    <w:rsid w:val="000D033C"/>
    <w:rsid w:val="000D5E4E"/>
    <w:rsid w:val="000D6EF5"/>
    <w:rsid w:val="000D7CD4"/>
    <w:rsid w:val="000E00E4"/>
    <w:rsid w:val="000E130C"/>
    <w:rsid w:val="000E240A"/>
    <w:rsid w:val="000E7586"/>
    <w:rsid w:val="000E7B14"/>
    <w:rsid w:val="000F0964"/>
    <w:rsid w:val="000F0F7B"/>
    <w:rsid w:val="000F314E"/>
    <w:rsid w:val="000F34E0"/>
    <w:rsid w:val="000F3ACC"/>
    <w:rsid w:val="000F3ADB"/>
    <w:rsid w:val="000F3D9F"/>
    <w:rsid w:val="000F53C2"/>
    <w:rsid w:val="000F566E"/>
    <w:rsid w:val="000F5BB5"/>
    <w:rsid w:val="000F7F6F"/>
    <w:rsid w:val="00100A35"/>
    <w:rsid w:val="00103E24"/>
    <w:rsid w:val="001051CB"/>
    <w:rsid w:val="001063CD"/>
    <w:rsid w:val="00106FC6"/>
    <w:rsid w:val="00110610"/>
    <w:rsid w:val="00110711"/>
    <w:rsid w:val="00110A53"/>
    <w:rsid w:val="0011181B"/>
    <w:rsid w:val="001121A8"/>
    <w:rsid w:val="0011347C"/>
    <w:rsid w:val="00114FC5"/>
    <w:rsid w:val="001176CB"/>
    <w:rsid w:val="00121A4F"/>
    <w:rsid w:val="00121A53"/>
    <w:rsid w:val="00122285"/>
    <w:rsid w:val="001246EB"/>
    <w:rsid w:val="00125009"/>
    <w:rsid w:val="00125023"/>
    <w:rsid w:val="0013041A"/>
    <w:rsid w:val="001320D2"/>
    <w:rsid w:val="00132E36"/>
    <w:rsid w:val="00133207"/>
    <w:rsid w:val="00134E0D"/>
    <w:rsid w:val="001368EB"/>
    <w:rsid w:val="00141274"/>
    <w:rsid w:val="00141395"/>
    <w:rsid w:val="0014179F"/>
    <w:rsid w:val="0014300C"/>
    <w:rsid w:val="001431E4"/>
    <w:rsid w:val="00145B71"/>
    <w:rsid w:val="0014683D"/>
    <w:rsid w:val="00150065"/>
    <w:rsid w:val="0015008C"/>
    <w:rsid w:val="00150435"/>
    <w:rsid w:val="0015062F"/>
    <w:rsid w:val="0015211C"/>
    <w:rsid w:val="00152A71"/>
    <w:rsid w:val="001533F1"/>
    <w:rsid w:val="0015359E"/>
    <w:rsid w:val="0015386B"/>
    <w:rsid w:val="001552BC"/>
    <w:rsid w:val="00156558"/>
    <w:rsid w:val="00160FE3"/>
    <w:rsid w:val="001611AB"/>
    <w:rsid w:val="00163879"/>
    <w:rsid w:val="00166CBD"/>
    <w:rsid w:val="00167142"/>
    <w:rsid w:val="00167289"/>
    <w:rsid w:val="00172FC4"/>
    <w:rsid w:val="00174273"/>
    <w:rsid w:val="00176C09"/>
    <w:rsid w:val="00177BE9"/>
    <w:rsid w:val="001807A8"/>
    <w:rsid w:val="001811B8"/>
    <w:rsid w:val="001822CF"/>
    <w:rsid w:val="001855CD"/>
    <w:rsid w:val="00185B28"/>
    <w:rsid w:val="00192148"/>
    <w:rsid w:val="00193150"/>
    <w:rsid w:val="0019542E"/>
    <w:rsid w:val="00195C1B"/>
    <w:rsid w:val="00197B9E"/>
    <w:rsid w:val="001A0DC3"/>
    <w:rsid w:val="001A0DEF"/>
    <w:rsid w:val="001A3A47"/>
    <w:rsid w:val="001A483D"/>
    <w:rsid w:val="001A6510"/>
    <w:rsid w:val="001A6D98"/>
    <w:rsid w:val="001A7687"/>
    <w:rsid w:val="001B0529"/>
    <w:rsid w:val="001B0E57"/>
    <w:rsid w:val="001B2CD7"/>
    <w:rsid w:val="001B3675"/>
    <w:rsid w:val="001B36AC"/>
    <w:rsid w:val="001B3E52"/>
    <w:rsid w:val="001B5390"/>
    <w:rsid w:val="001C05C2"/>
    <w:rsid w:val="001C0C68"/>
    <w:rsid w:val="001C125D"/>
    <w:rsid w:val="001C3659"/>
    <w:rsid w:val="001C5B41"/>
    <w:rsid w:val="001C62A6"/>
    <w:rsid w:val="001D2D61"/>
    <w:rsid w:val="001D50C7"/>
    <w:rsid w:val="001D64FE"/>
    <w:rsid w:val="001D77A8"/>
    <w:rsid w:val="001D7817"/>
    <w:rsid w:val="001E0A75"/>
    <w:rsid w:val="001E1BA9"/>
    <w:rsid w:val="001E3AC7"/>
    <w:rsid w:val="001E474C"/>
    <w:rsid w:val="001E5BE0"/>
    <w:rsid w:val="001E5C29"/>
    <w:rsid w:val="001E70A3"/>
    <w:rsid w:val="001F0C6E"/>
    <w:rsid w:val="001F1455"/>
    <w:rsid w:val="001F187C"/>
    <w:rsid w:val="001F1D8C"/>
    <w:rsid w:val="001F1EFF"/>
    <w:rsid w:val="001F7268"/>
    <w:rsid w:val="00200A50"/>
    <w:rsid w:val="0020303C"/>
    <w:rsid w:val="002041FF"/>
    <w:rsid w:val="002067C0"/>
    <w:rsid w:val="00207DE8"/>
    <w:rsid w:val="00210088"/>
    <w:rsid w:val="0021270C"/>
    <w:rsid w:val="0021283E"/>
    <w:rsid w:val="002137D3"/>
    <w:rsid w:val="00214282"/>
    <w:rsid w:val="00215F0D"/>
    <w:rsid w:val="00216CE6"/>
    <w:rsid w:val="0022088D"/>
    <w:rsid w:val="00222A5F"/>
    <w:rsid w:val="00225B24"/>
    <w:rsid w:val="002278E9"/>
    <w:rsid w:val="0023094F"/>
    <w:rsid w:val="00230C4F"/>
    <w:rsid w:val="00230DFC"/>
    <w:rsid w:val="002333DB"/>
    <w:rsid w:val="00237081"/>
    <w:rsid w:val="0023754E"/>
    <w:rsid w:val="00241C15"/>
    <w:rsid w:val="0024248F"/>
    <w:rsid w:val="00242D21"/>
    <w:rsid w:val="0024360C"/>
    <w:rsid w:val="00243731"/>
    <w:rsid w:val="00250025"/>
    <w:rsid w:val="0025225E"/>
    <w:rsid w:val="002527BE"/>
    <w:rsid w:val="00252AA9"/>
    <w:rsid w:val="0025360A"/>
    <w:rsid w:val="002542D1"/>
    <w:rsid w:val="00254301"/>
    <w:rsid w:val="002543DF"/>
    <w:rsid w:val="0025474F"/>
    <w:rsid w:val="00255617"/>
    <w:rsid w:val="00257D05"/>
    <w:rsid w:val="00260827"/>
    <w:rsid w:val="00262C0A"/>
    <w:rsid w:val="00263A7C"/>
    <w:rsid w:val="002647C3"/>
    <w:rsid w:val="00265EB9"/>
    <w:rsid w:val="00266881"/>
    <w:rsid w:val="00266915"/>
    <w:rsid w:val="00267CAF"/>
    <w:rsid w:val="00267EA4"/>
    <w:rsid w:val="00270701"/>
    <w:rsid w:val="00270995"/>
    <w:rsid w:val="00271561"/>
    <w:rsid w:val="00277912"/>
    <w:rsid w:val="00277981"/>
    <w:rsid w:val="00277D24"/>
    <w:rsid w:val="00282E12"/>
    <w:rsid w:val="00282EF9"/>
    <w:rsid w:val="0028399D"/>
    <w:rsid w:val="00291632"/>
    <w:rsid w:val="00291C6F"/>
    <w:rsid w:val="0029355B"/>
    <w:rsid w:val="002938B5"/>
    <w:rsid w:val="00295501"/>
    <w:rsid w:val="00296633"/>
    <w:rsid w:val="00296A47"/>
    <w:rsid w:val="002A061F"/>
    <w:rsid w:val="002A243F"/>
    <w:rsid w:val="002A3F63"/>
    <w:rsid w:val="002A4859"/>
    <w:rsid w:val="002A4F45"/>
    <w:rsid w:val="002A5C2E"/>
    <w:rsid w:val="002A7CB7"/>
    <w:rsid w:val="002A7D7F"/>
    <w:rsid w:val="002B0559"/>
    <w:rsid w:val="002B0F48"/>
    <w:rsid w:val="002B172B"/>
    <w:rsid w:val="002B1784"/>
    <w:rsid w:val="002B31AF"/>
    <w:rsid w:val="002B3668"/>
    <w:rsid w:val="002B381D"/>
    <w:rsid w:val="002B3C02"/>
    <w:rsid w:val="002B44CF"/>
    <w:rsid w:val="002B54EF"/>
    <w:rsid w:val="002B6267"/>
    <w:rsid w:val="002B7A60"/>
    <w:rsid w:val="002B7C87"/>
    <w:rsid w:val="002C015C"/>
    <w:rsid w:val="002C0499"/>
    <w:rsid w:val="002C1799"/>
    <w:rsid w:val="002C2485"/>
    <w:rsid w:val="002C5598"/>
    <w:rsid w:val="002D1187"/>
    <w:rsid w:val="002D592D"/>
    <w:rsid w:val="002D6A5A"/>
    <w:rsid w:val="002E06F2"/>
    <w:rsid w:val="002E226D"/>
    <w:rsid w:val="002E453E"/>
    <w:rsid w:val="002E4551"/>
    <w:rsid w:val="002E5D82"/>
    <w:rsid w:val="002E5F39"/>
    <w:rsid w:val="002E6075"/>
    <w:rsid w:val="002E7838"/>
    <w:rsid w:val="002E7897"/>
    <w:rsid w:val="002E7F28"/>
    <w:rsid w:val="002F07F2"/>
    <w:rsid w:val="002F2426"/>
    <w:rsid w:val="002F2F65"/>
    <w:rsid w:val="002F3241"/>
    <w:rsid w:val="002F438C"/>
    <w:rsid w:val="002F50FD"/>
    <w:rsid w:val="002F5A71"/>
    <w:rsid w:val="002F632C"/>
    <w:rsid w:val="00302E87"/>
    <w:rsid w:val="00304B46"/>
    <w:rsid w:val="00304E75"/>
    <w:rsid w:val="00304FB2"/>
    <w:rsid w:val="003054ED"/>
    <w:rsid w:val="00306FBF"/>
    <w:rsid w:val="00307FF7"/>
    <w:rsid w:val="003125DC"/>
    <w:rsid w:val="00315333"/>
    <w:rsid w:val="0032008B"/>
    <w:rsid w:val="00320150"/>
    <w:rsid w:val="00320AFE"/>
    <w:rsid w:val="00321A43"/>
    <w:rsid w:val="0032308F"/>
    <w:rsid w:val="00325A6C"/>
    <w:rsid w:val="003265BF"/>
    <w:rsid w:val="00330F29"/>
    <w:rsid w:val="00336512"/>
    <w:rsid w:val="00336760"/>
    <w:rsid w:val="00336EBD"/>
    <w:rsid w:val="00340D10"/>
    <w:rsid w:val="00342826"/>
    <w:rsid w:val="003501BE"/>
    <w:rsid w:val="00350300"/>
    <w:rsid w:val="00351556"/>
    <w:rsid w:val="00351657"/>
    <w:rsid w:val="00351D4B"/>
    <w:rsid w:val="003533CA"/>
    <w:rsid w:val="00354394"/>
    <w:rsid w:val="0035493A"/>
    <w:rsid w:val="00354DA6"/>
    <w:rsid w:val="00356D3A"/>
    <w:rsid w:val="00360759"/>
    <w:rsid w:val="00360AD1"/>
    <w:rsid w:val="00363105"/>
    <w:rsid w:val="00364BA5"/>
    <w:rsid w:val="0036535E"/>
    <w:rsid w:val="00370E3C"/>
    <w:rsid w:val="00372137"/>
    <w:rsid w:val="00374990"/>
    <w:rsid w:val="00376E2F"/>
    <w:rsid w:val="00380998"/>
    <w:rsid w:val="003828AD"/>
    <w:rsid w:val="00382DE5"/>
    <w:rsid w:val="00384772"/>
    <w:rsid w:val="00385F00"/>
    <w:rsid w:val="00385F9E"/>
    <w:rsid w:val="0039063B"/>
    <w:rsid w:val="00390696"/>
    <w:rsid w:val="003911E4"/>
    <w:rsid w:val="00391946"/>
    <w:rsid w:val="0039442F"/>
    <w:rsid w:val="003A0AAF"/>
    <w:rsid w:val="003A17DE"/>
    <w:rsid w:val="003A1E34"/>
    <w:rsid w:val="003A223A"/>
    <w:rsid w:val="003A4520"/>
    <w:rsid w:val="003B1937"/>
    <w:rsid w:val="003B2024"/>
    <w:rsid w:val="003B23CF"/>
    <w:rsid w:val="003B56E7"/>
    <w:rsid w:val="003B58C2"/>
    <w:rsid w:val="003B6265"/>
    <w:rsid w:val="003B74E4"/>
    <w:rsid w:val="003B76E9"/>
    <w:rsid w:val="003B7C68"/>
    <w:rsid w:val="003B7F05"/>
    <w:rsid w:val="003C2311"/>
    <w:rsid w:val="003C2DEE"/>
    <w:rsid w:val="003C42D2"/>
    <w:rsid w:val="003C4664"/>
    <w:rsid w:val="003C6E58"/>
    <w:rsid w:val="003C7BBD"/>
    <w:rsid w:val="003D0990"/>
    <w:rsid w:val="003D0AC3"/>
    <w:rsid w:val="003D1163"/>
    <w:rsid w:val="003D27E1"/>
    <w:rsid w:val="003D3DC0"/>
    <w:rsid w:val="003D4281"/>
    <w:rsid w:val="003D5C05"/>
    <w:rsid w:val="003D6F49"/>
    <w:rsid w:val="003D75FC"/>
    <w:rsid w:val="003D7690"/>
    <w:rsid w:val="003E06E7"/>
    <w:rsid w:val="003E2B20"/>
    <w:rsid w:val="003E3B58"/>
    <w:rsid w:val="003E3D6A"/>
    <w:rsid w:val="003E4EFE"/>
    <w:rsid w:val="003E7053"/>
    <w:rsid w:val="003F0B5C"/>
    <w:rsid w:val="003F0F16"/>
    <w:rsid w:val="003F14C7"/>
    <w:rsid w:val="003F3C86"/>
    <w:rsid w:val="003F6CA9"/>
    <w:rsid w:val="00400142"/>
    <w:rsid w:val="004008C7"/>
    <w:rsid w:val="004008D8"/>
    <w:rsid w:val="00402138"/>
    <w:rsid w:val="00403823"/>
    <w:rsid w:val="00404392"/>
    <w:rsid w:val="00404731"/>
    <w:rsid w:val="00404820"/>
    <w:rsid w:val="004053D4"/>
    <w:rsid w:val="00406222"/>
    <w:rsid w:val="00407881"/>
    <w:rsid w:val="00407EF2"/>
    <w:rsid w:val="00410341"/>
    <w:rsid w:val="0041041B"/>
    <w:rsid w:val="004115B6"/>
    <w:rsid w:val="00411625"/>
    <w:rsid w:val="004116EA"/>
    <w:rsid w:val="00411877"/>
    <w:rsid w:val="0041272C"/>
    <w:rsid w:val="004130C2"/>
    <w:rsid w:val="00413868"/>
    <w:rsid w:val="00414BFC"/>
    <w:rsid w:val="00415126"/>
    <w:rsid w:val="00420431"/>
    <w:rsid w:val="0042052C"/>
    <w:rsid w:val="004209B1"/>
    <w:rsid w:val="00420F75"/>
    <w:rsid w:val="00421306"/>
    <w:rsid w:val="00422BB7"/>
    <w:rsid w:val="00423CC7"/>
    <w:rsid w:val="00423CCC"/>
    <w:rsid w:val="00424D3E"/>
    <w:rsid w:val="0042557B"/>
    <w:rsid w:val="004263BE"/>
    <w:rsid w:val="00430557"/>
    <w:rsid w:val="00431A02"/>
    <w:rsid w:val="00432128"/>
    <w:rsid w:val="00432273"/>
    <w:rsid w:val="004353C2"/>
    <w:rsid w:val="00440231"/>
    <w:rsid w:val="004402EA"/>
    <w:rsid w:val="004408EB"/>
    <w:rsid w:val="00443123"/>
    <w:rsid w:val="004436EB"/>
    <w:rsid w:val="00445CDC"/>
    <w:rsid w:val="00450FF8"/>
    <w:rsid w:val="0045153A"/>
    <w:rsid w:val="00451BB7"/>
    <w:rsid w:val="00451BD9"/>
    <w:rsid w:val="0045249B"/>
    <w:rsid w:val="00454D08"/>
    <w:rsid w:val="00455514"/>
    <w:rsid w:val="00460EC9"/>
    <w:rsid w:val="00462423"/>
    <w:rsid w:val="00463025"/>
    <w:rsid w:val="004640D1"/>
    <w:rsid w:val="00466E7F"/>
    <w:rsid w:val="00473A75"/>
    <w:rsid w:val="00474AAC"/>
    <w:rsid w:val="00475C39"/>
    <w:rsid w:val="004762BA"/>
    <w:rsid w:val="00483BAA"/>
    <w:rsid w:val="00483F2E"/>
    <w:rsid w:val="00484068"/>
    <w:rsid w:val="004847D2"/>
    <w:rsid w:val="00484C78"/>
    <w:rsid w:val="004854A3"/>
    <w:rsid w:val="00487AF1"/>
    <w:rsid w:val="00487F0F"/>
    <w:rsid w:val="004952A7"/>
    <w:rsid w:val="0049636E"/>
    <w:rsid w:val="00496A24"/>
    <w:rsid w:val="004977DE"/>
    <w:rsid w:val="00497CD2"/>
    <w:rsid w:val="004A2F6F"/>
    <w:rsid w:val="004A325F"/>
    <w:rsid w:val="004A7B44"/>
    <w:rsid w:val="004B08E7"/>
    <w:rsid w:val="004B0BF5"/>
    <w:rsid w:val="004B26EB"/>
    <w:rsid w:val="004B2B19"/>
    <w:rsid w:val="004B3EF6"/>
    <w:rsid w:val="004B4B20"/>
    <w:rsid w:val="004B509F"/>
    <w:rsid w:val="004B5A7D"/>
    <w:rsid w:val="004B5FA9"/>
    <w:rsid w:val="004B6187"/>
    <w:rsid w:val="004B64C9"/>
    <w:rsid w:val="004B6C90"/>
    <w:rsid w:val="004C0CCC"/>
    <w:rsid w:val="004C1C6A"/>
    <w:rsid w:val="004C21BB"/>
    <w:rsid w:val="004C2ACD"/>
    <w:rsid w:val="004C3CC3"/>
    <w:rsid w:val="004C78A5"/>
    <w:rsid w:val="004C7AD5"/>
    <w:rsid w:val="004C7EE3"/>
    <w:rsid w:val="004D0C5A"/>
    <w:rsid w:val="004D3774"/>
    <w:rsid w:val="004D42D0"/>
    <w:rsid w:val="004D6BAD"/>
    <w:rsid w:val="004E1EBB"/>
    <w:rsid w:val="004E5885"/>
    <w:rsid w:val="004E5EA3"/>
    <w:rsid w:val="004F0A9B"/>
    <w:rsid w:val="004F112A"/>
    <w:rsid w:val="004F38D2"/>
    <w:rsid w:val="004F3B07"/>
    <w:rsid w:val="004F4244"/>
    <w:rsid w:val="004F500B"/>
    <w:rsid w:val="004F6D2F"/>
    <w:rsid w:val="004F79DA"/>
    <w:rsid w:val="00500BCF"/>
    <w:rsid w:val="00501270"/>
    <w:rsid w:val="00502292"/>
    <w:rsid w:val="005022E4"/>
    <w:rsid w:val="0050368F"/>
    <w:rsid w:val="00503808"/>
    <w:rsid w:val="00504707"/>
    <w:rsid w:val="00504A7C"/>
    <w:rsid w:val="00507DA0"/>
    <w:rsid w:val="00510952"/>
    <w:rsid w:val="00510A99"/>
    <w:rsid w:val="00512B6D"/>
    <w:rsid w:val="0052056E"/>
    <w:rsid w:val="005208A7"/>
    <w:rsid w:val="005223FD"/>
    <w:rsid w:val="00525303"/>
    <w:rsid w:val="0053137B"/>
    <w:rsid w:val="0053194E"/>
    <w:rsid w:val="0053204B"/>
    <w:rsid w:val="0053236A"/>
    <w:rsid w:val="005326EB"/>
    <w:rsid w:val="00532BFB"/>
    <w:rsid w:val="00532EDD"/>
    <w:rsid w:val="00532F0A"/>
    <w:rsid w:val="00533381"/>
    <w:rsid w:val="00533467"/>
    <w:rsid w:val="00533DD1"/>
    <w:rsid w:val="0053492E"/>
    <w:rsid w:val="005350B5"/>
    <w:rsid w:val="00535155"/>
    <w:rsid w:val="00535863"/>
    <w:rsid w:val="005359BF"/>
    <w:rsid w:val="005365E0"/>
    <w:rsid w:val="00537C3F"/>
    <w:rsid w:val="00537F7C"/>
    <w:rsid w:val="00540454"/>
    <w:rsid w:val="00540ABF"/>
    <w:rsid w:val="005411E8"/>
    <w:rsid w:val="00542877"/>
    <w:rsid w:val="00543163"/>
    <w:rsid w:val="005434F6"/>
    <w:rsid w:val="0054477E"/>
    <w:rsid w:val="00545151"/>
    <w:rsid w:val="00545BFF"/>
    <w:rsid w:val="00545C2B"/>
    <w:rsid w:val="00545CB8"/>
    <w:rsid w:val="00545E6C"/>
    <w:rsid w:val="00546664"/>
    <w:rsid w:val="00547643"/>
    <w:rsid w:val="00550256"/>
    <w:rsid w:val="005507D4"/>
    <w:rsid w:val="005520B3"/>
    <w:rsid w:val="00552289"/>
    <w:rsid w:val="0055299B"/>
    <w:rsid w:val="005539F5"/>
    <w:rsid w:val="005551EA"/>
    <w:rsid w:val="005571CA"/>
    <w:rsid w:val="0056179B"/>
    <w:rsid w:val="0056479F"/>
    <w:rsid w:val="005648B3"/>
    <w:rsid w:val="00564DAA"/>
    <w:rsid w:val="00565F92"/>
    <w:rsid w:val="00566D20"/>
    <w:rsid w:val="00570127"/>
    <w:rsid w:val="0057019E"/>
    <w:rsid w:val="00571F8F"/>
    <w:rsid w:val="005756AF"/>
    <w:rsid w:val="0057591D"/>
    <w:rsid w:val="00576710"/>
    <w:rsid w:val="00576ED0"/>
    <w:rsid w:val="00576F0D"/>
    <w:rsid w:val="005773CF"/>
    <w:rsid w:val="0057783F"/>
    <w:rsid w:val="00580BDF"/>
    <w:rsid w:val="0058247C"/>
    <w:rsid w:val="00583369"/>
    <w:rsid w:val="00586A8B"/>
    <w:rsid w:val="00587C8F"/>
    <w:rsid w:val="00591681"/>
    <w:rsid w:val="00593217"/>
    <w:rsid w:val="0059482D"/>
    <w:rsid w:val="00596872"/>
    <w:rsid w:val="00596DBF"/>
    <w:rsid w:val="005A2A86"/>
    <w:rsid w:val="005A38CD"/>
    <w:rsid w:val="005A49DD"/>
    <w:rsid w:val="005B0230"/>
    <w:rsid w:val="005B0CD7"/>
    <w:rsid w:val="005B1179"/>
    <w:rsid w:val="005B168F"/>
    <w:rsid w:val="005B34B7"/>
    <w:rsid w:val="005B3729"/>
    <w:rsid w:val="005B4CA8"/>
    <w:rsid w:val="005B4F21"/>
    <w:rsid w:val="005B54E8"/>
    <w:rsid w:val="005B5BBD"/>
    <w:rsid w:val="005B68E9"/>
    <w:rsid w:val="005C1B52"/>
    <w:rsid w:val="005C1E3C"/>
    <w:rsid w:val="005C2122"/>
    <w:rsid w:val="005C31A0"/>
    <w:rsid w:val="005C36D1"/>
    <w:rsid w:val="005C4492"/>
    <w:rsid w:val="005C473F"/>
    <w:rsid w:val="005C4952"/>
    <w:rsid w:val="005C520B"/>
    <w:rsid w:val="005C61CC"/>
    <w:rsid w:val="005C63F7"/>
    <w:rsid w:val="005C7729"/>
    <w:rsid w:val="005C77F4"/>
    <w:rsid w:val="005D00E8"/>
    <w:rsid w:val="005D2355"/>
    <w:rsid w:val="005D2445"/>
    <w:rsid w:val="005D6CD2"/>
    <w:rsid w:val="005E117A"/>
    <w:rsid w:val="005E11FC"/>
    <w:rsid w:val="005E20ED"/>
    <w:rsid w:val="005E23F5"/>
    <w:rsid w:val="005E28FB"/>
    <w:rsid w:val="005E4356"/>
    <w:rsid w:val="005E57AC"/>
    <w:rsid w:val="005E6294"/>
    <w:rsid w:val="005E661C"/>
    <w:rsid w:val="005E6D8B"/>
    <w:rsid w:val="005F01B0"/>
    <w:rsid w:val="005F0BF4"/>
    <w:rsid w:val="005F1009"/>
    <w:rsid w:val="005F21D1"/>
    <w:rsid w:val="005F31DF"/>
    <w:rsid w:val="005F4FBC"/>
    <w:rsid w:val="005F528E"/>
    <w:rsid w:val="005F5ACC"/>
    <w:rsid w:val="005F69CC"/>
    <w:rsid w:val="00600132"/>
    <w:rsid w:val="006007D6"/>
    <w:rsid w:val="00600AC6"/>
    <w:rsid w:val="006014C4"/>
    <w:rsid w:val="00601B01"/>
    <w:rsid w:val="00602F81"/>
    <w:rsid w:val="00603655"/>
    <w:rsid w:val="00604795"/>
    <w:rsid w:val="00605F3F"/>
    <w:rsid w:val="00605FB9"/>
    <w:rsid w:val="0060648F"/>
    <w:rsid w:val="00606FFD"/>
    <w:rsid w:val="006109E9"/>
    <w:rsid w:val="00610CFE"/>
    <w:rsid w:val="006110D1"/>
    <w:rsid w:val="006123DD"/>
    <w:rsid w:val="00614369"/>
    <w:rsid w:val="00617C9D"/>
    <w:rsid w:val="00621E7B"/>
    <w:rsid w:val="006233B3"/>
    <w:rsid w:val="006244DA"/>
    <w:rsid w:val="00625BAD"/>
    <w:rsid w:val="00625E9E"/>
    <w:rsid w:val="00626728"/>
    <w:rsid w:val="00627054"/>
    <w:rsid w:val="006278F6"/>
    <w:rsid w:val="00627F56"/>
    <w:rsid w:val="006308E9"/>
    <w:rsid w:val="0063291A"/>
    <w:rsid w:val="00632AA0"/>
    <w:rsid w:val="00632D04"/>
    <w:rsid w:val="00632EB0"/>
    <w:rsid w:val="006331D5"/>
    <w:rsid w:val="00634824"/>
    <w:rsid w:val="0063609C"/>
    <w:rsid w:val="0063713C"/>
    <w:rsid w:val="00640DAD"/>
    <w:rsid w:val="006410BD"/>
    <w:rsid w:val="00641C1F"/>
    <w:rsid w:val="006458F3"/>
    <w:rsid w:val="00646B21"/>
    <w:rsid w:val="00647FBE"/>
    <w:rsid w:val="00650566"/>
    <w:rsid w:val="006509D3"/>
    <w:rsid w:val="00651339"/>
    <w:rsid w:val="006518D9"/>
    <w:rsid w:val="0065569F"/>
    <w:rsid w:val="0066153A"/>
    <w:rsid w:val="0066270D"/>
    <w:rsid w:val="00662A4B"/>
    <w:rsid w:val="00663AE8"/>
    <w:rsid w:val="00664D33"/>
    <w:rsid w:val="00665680"/>
    <w:rsid w:val="00666A1A"/>
    <w:rsid w:val="00667036"/>
    <w:rsid w:val="0066769B"/>
    <w:rsid w:val="006677C7"/>
    <w:rsid w:val="00670EE8"/>
    <w:rsid w:val="00682B89"/>
    <w:rsid w:val="00683804"/>
    <w:rsid w:val="00683D7C"/>
    <w:rsid w:val="00685443"/>
    <w:rsid w:val="00685459"/>
    <w:rsid w:val="006858FF"/>
    <w:rsid w:val="006859F7"/>
    <w:rsid w:val="00685C40"/>
    <w:rsid w:val="00686470"/>
    <w:rsid w:val="0069019B"/>
    <w:rsid w:val="006913E9"/>
    <w:rsid w:val="00692625"/>
    <w:rsid w:val="006932F3"/>
    <w:rsid w:val="00693363"/>
    <w:rsid w:val="006939CC"/>
    <w:rsid w:val="0069483A"/>
    <w:rsid w:val="00694C83"/>
    <w:rsid w:val="00694CB3"/>
    <w:rsid w:val="00694F97"/>
    <w:rsid w:val="0069582B"/>
    <w:rsid w:val="006A0105"/>
    <w:rsid w:val="006A15E3"/>
    <w:rsid w:val="006A1612"/>
    <w:rsid w:val="006A208A"/>
    <w:rsid w:val="006A522F"/>
    <w:rsid w:val="006A52C4"/>
    <w:rsid w:val="006A63B2"/>
    <w:rsid w:val="006A72DB"/>
    <w:rsid w:val="006A7735"/>
    <w:rsid w:val="006A797E"/>
    <w:rsid w:val="006B36C8"/>
    <w:rsid w:val="006B3C96"/>
    <w:rsid w:val="006B4B45"/>
    <w:rsid w:val="006B558F"/>
    <w:rsid w:val="006B7D6C"/>
    <w:rsid w:val="006C38AD"/>
    <w:rsid w:val="006C428F"/>
    <w:rsid w:val="006C7735"/>
    <w:rsid w:val="006D4D41"/>
    <w:rsid w:val="006D7818"/>
    <w:rsid w:val="006E026F"/>
    <w:rsid w:val="006E05F0"/>
    <w:rsid w:val="006E0E88"/>
    <w:rsid w:val="006E26D5"/>
    <w:rsid w:val="006E7F8B"/>
    <w:rsid w:val="006F050F"/>
    <w:rsid w:val="006F0BC5"/>
    <w:rsid w:val="006F0C79"/>
    <w:rsid w:val="006F0EA4"/>
    <w:rsid w:val="006F2893"/>
    <w:rsid w:val="006F6C3C"/>
    <w:rsid w:val="00700742"/>
    <w:rsid w:val="00701566"/>
    <w:rsid w:val="00704823"/>
    <w:rsid w:val="00704E66"/>
    <w:rsid w:val="007062D8"/>
    <w:rsid w:val="00706722"/>
    <w:rsid w:val="00710395"/>
    <w:rsid w:val="0071276D"/>
    <w:rsid w:val="00714204"/>
    <w:rsid w:val="007162A5"/>
    <w:rsid w:val="007164CA"/>
    <w:rsid w:val="0071719F"/>
    <w:rsid w:val="0071762D"/>
    <w:rsid w:val="00717BAD"/>
    <w:rsid w:val="007224BA"/>
    <w:rsid w:val="007238DA"/>
    <w:rsid w:val="00725BC0"/>
    <w:rsid w:val="00726797"/>
    <w:rsid w:val="007270C9"/>
    <w:rsid w:val="00731DC4"/>
    <w:rsid w:val="00737149"/>
    <w:rsid w:val="00740005"/>
    <w:rsid w:val="00740DF8"/>
    <w:rsid w:val="00741304"/>
    <w:rsid w:val="007421F8"/>
    <w:rsid w:val="007468FB"/>
    <w:rsid w:val="00746BF5"/>
    <w:rsid w:val="007470CF"/>
    <w:rsid w:val="007474F8"/>
    <w:rsid w:val="00751BF0"/>
    <w:rsid w:val="00753F95"/>
    <w:rsid w:val="0075427A"/>
    <w:rsid w:val="00754EBD"/>
    <w:rsid w:val="007551E1"/>
    <w:rsid w:val="00756F64"/>
    <w:rsid w:val="00757C3B"/>
    <w:rsid w:val="0076023A"/>
    <w:rsid w:val="007614E2"/>
    <w:rsid w:val="0076304F"/>
    <w:rsid w:val="00763C32"/>
    <w:rsid w:val="00773733"/>
    <w:rsid w:val="0077384F"/>
    <w:rsid w:val="00773943"/>
    <w:rsid w:val="00774FE0"/>
    <w:rsid w:val="0077582D"/>
    <w:rsid w:val="00776E81"/>
    <w:rsid w:val="007802E1"/>
    <w:rsid w:val="00780FAD"/>
    <w:rsid w:val="00782256"/>
    <w:rsid w:val="0078743D"/>
    <w:rsid w:val="00791216"/>
    <w:rsid w:val="00791617"/>
    <w:rsid w:val="00792CEB"/>
    <w:rsid w:val="00793AD6"/>
    <w:rsid w:val="00793EA7"/>
    <w:rsid w:val="007940E8"/>
    <w:rsid w:val="00795047"/>
    <w:rsid w:val="00797CEC"/>
    <w:rsid w:val="007A673A"/>
    <w:rsid w:val="007A69C1"/>
    <w:rsid w:val="007B03E4"/>
    <w:rsid w:val="007B3B54"/>
    <w:rsid w:val="007B3BE2"/>
    <w:rsid w:val="007B4B84"/>
    <w:rsid w:val="007B665E"/>
    <w:rsid w:val="007B711A"/>
    <w:rsid w:val="007C088A"/>
    <w:rsid w:val="007C0D67"/>
    <w:rsid w:val="007C19F7"/>
    <w:rsid w:val="007C385B"/>
    <w:rsid w:val="007C3F49"/>
    <w:rsid w:val="007C5879"/>
    <w:rsid w:val="007C5AD5"/>
    <w:rsid w:val="007C746E"/>
    <w:rsid w:val="007C7FD7"/>
    <w:rsid w:val="007D1E08"/>
    <w:rsid w:val="007D4922"/>
    <w:rsid w:val="007D4DD3"/>
    <w:rsid w:val="007D57CA"/>
    <w:rsid w:val="007D608A"/>
    <w:rsid w:val="007D7F92"/>
    <w:rsid w:val="007E0773"/>
    <w:rsid w:val="007E0ABA"/>
    <w:rsid w:val="007E3FCC"/>
    <w:rsid w:val="007E6163"/>
    <w:rsid w:val="007E7BC6"/>
    <w:rsid w:val="007E7F34"/>
    <w:rsid w:val="007F0554"/>
    <w:rsid w:val="007F15BB"/>
    <w:rsid w:val="007F2D2A"/>
    <w:rsid w:val="007F3589"/>
    <w:rsid w:val="007F4404"/>
    <w:rsid w:val="007F44BE"/>
    <w:rsid w:val="007F4B03"/>
    <w:rsid w:val="007F4C48"/>
    <w:rsid w:val="007F4E1E"/>
    <w:rsid w:val="0080211A"/>
    <w:rsid w:val="008045A8"/>
    <w:rsid w:val="00804638"/>
    <w:rsid w:val="00804B17"/>
    <w:rsid w:val="008062BF"/>
    <w:rsid w:val="0080683E"/>
    <w:rsid w:val="0081411F"/>
    <w:rsid w:val="00814C62"/>
    <w:rsid w:val="00821537"/>
    <w:rsid w:val="00821DBE"/>
    <w:rsid w:val="0082345F"/>
    <w:rsid w:val="00823880"/>
    <w:rsid w:val="008241D3"/>
    <w:rsid w:val="0082468F"/>
    <w:rsid w:val="00824D91"/>
    <w:rsid w:val="00825673"/>
    <w:rsid w:val="008257C1"/>
    <w:rsid w:val="00825C08"/>
    <w:rsid w:val="0083058C"/>
    <w:rsid w:val="00830A8A"/>
    <w:rsid w:val="00831AA7"/>
    <w:rsid w:val="00832C0D"/>
    <w:rsid w:val="008361ED"/>
    <w:rsid w:val="00836304"/>
    <w:rsid w:val="00836330"/>
    <w:rsid w:val="00844F4E"/>
    <w:rsid w:val="00846848"/>
    <w:rsid w:val="00846C4C"/>
    <w:rsid w:val="008472E2"/>
    <w:rsid w:val="008479ED"/>
    <w:rsid w:val="00847D7A"/>
    <w:rsid w:val="00850D33"/>
    <w:rsid w:val="00851B7F"/>
    <w:rsid w:val="00852672"/>
    <w:rsid w:val="00852A83"/>
    <w:rsid w:val="00853473"/>
    <w:rsid w:val="00854D3E"/>
    <w:rsid w:val="008561E9"/>
    <w:rsid w:val="00857301"/>
    <w:rsid w:val="0086043A"/>
    <w:rsid w:val="00860723"/>
    <w:rsid w:val="00861D20"/>
    <w:rsid w:val="00863B20"/>
    <w:rsid w:val="008648BB"/>
    <w:rsid w:val="00864EFE"/>
    <w:rsid w:val="008653DE"/>
    <w:rsid w:val="008679F8"/>
    <w:rsid w:val="0087010A"/>
    <w:rsid w:val="00870397"/>
    <w:rsid w:val="00870CA1"/>
    <w:rsid w:val="00871395"/>
    <w:rsid w:val="0087242A"/>
    <w:rsid w:val="00872BD6"/>
    <w:rsid w:val="00872E19"/>
    <w:rsid w:val="00874AAE"/>
    <w:rsid w:val="00875BF1"/>
    <w:rsid w:val="00877FD8"/>
    <w:rsid w:val="008808E3"/>
    <w:rsid w:val="00880C51"/>
    <w:rsid w:val="00881A97"/>
    <w:rsid w:val="00881FE3"/>
    <w:rsid w:val="00882C09"/>
    <w:rsid w:val="00883178"/>
    <w:rsid w:val="00883881"/>
    <w:rsid w:val="00885151"/>
    <w:rsid w:val="00890346"/>
    <w:rsid w:val="008929C1"/>
    <w:rsid w:val="00893728"/>
    <w:rsid w:val="00894FDA"/>
    <w:rsid w:val="008979D4"/>
    <w:rsid w:val="008A1D8B"/>
    <w:rsid w:val="008A270C"/>
    <w:rsid w:val="008A2C5D"/>
    <w:rsid w:val="008A3948"/>
    <w:rsid w:val="008A5088"/>
    <w:rsid w:val="008A5348"/>
    <w:rsid w:val="008A5FC4"/>
    <w:rsid w:val="008A74F8"/>
    <w:rsid w:val="008B0EEF"/>
    <w:rsid w:val="008B123F"/>
    <w:rsid w:val="008B2A89"/>
    <w:rsid w:val="008B3178"/>
    <w:rsid w:val="008B38FE"/>
    <w:rsid w:val="008B4082"/>
    <w:rsid w:val="008B7312"/>
    <w:rsid w:val="008C09D2"/>
    <w:rsid w:val="008C10AA"/>
    <w:rsid w:val="008C1818"/>
    <w:rsid w:val="008C21E6"/>
    <w:rsid w:val="008C3592"/>
    <w:rsid w:val="008C38B7"/>
    <w:rsid w:val="008C4022"/>
    <w:rsid w:val="008C6E07"/>
    <w:rsid w:val="008D0899"/>
    <w:rsid w:val="008D0B92"/>
    <w:rsid w:val="008D3C61"/>
    <w:rsid w:val="008D3E3D"/>
    <w:rsid w:val="008D42D4"/>
    <w:rsid w:val="008D451E"/>
    <w:rsid w:val="008D49C3"/>
    <w:rsid w:val="008D57F8"/>
    <w:rsid w:val="008D6B14"/>
    <w:rsid w:val="008D74A1"/>
    <w:rsid w:val="008D7A86"/>
    <w:rsid w:val="008E09F4"/>
    <w:rsid w:val="008E0C8C"/>
    <w:rsid w:val="008E0E01"/>
    <w:rsid w:val="008E1721"/>
    <w:rsid w:val="008E2AB0"/>
    <w:rsid w:val="008E3865"/>
    <w:rsid w:val="008E417C"/>
    <w:rsid w:val="008E4B38"/>
    <w:rsid w:val="008E585F"/>
    <w:rsid w:val="008E5878"/>
    <w:rsid w:val="008F09AB"/>
    <w:rsid w:val="008F11A3"/>
    <w:rsid w:val="008F196B"/>
    <w:rsid w:val="008F68FE"/>
    <w:rsid w:val="008F7601"/>
    <w:rsid w:val="008F79E1"/>
    <w:rsid w:val="00902F10"/>
    <w:rsid w:val="0090378D"/>
    <w:rsid w:val="00904039"/>
    <w:rsid w:val="00906EB5"/>
    <w:rsid w:val="00907971"/>
    <w:rsid w:val="00907A05"/>
    <w:rsid w:val="009100A8"/>
    <w:rsid w:val="00911280"/>
    <w:rsid w:val="00912187"/>
    <w:rsid w:val="009132E3"/>
    <w:rsid w:val="00913890"/>
    <w:rsid w:val="009148AC"/>
    <w:rsid w:val="00914C1D"/>
    <w:rsid w:val="00915F3F"/>
    <w:rsid w:val="00916228"/>
    <w:rsid w:val="0091747C"/>
    <w:rsid w:val="00922A9B"/>
    <w:rsid w:val="009231B2"/>
    <w:rsid w:val="00923ADD"/>
    <w:rsid w:val="00925758"/>
    <w:rsid w:val="009279F2"/>
    <w:rsid w:val="00927F0F"/>
    <w:rsid w:val="00931B2F"/>
    <w:rsid w:val="00932BAB"/>
    <w:rsid w:val="0093306C"/>
    <w:rsid w:val="009339FC"/>
    <w:rsid w:val="009350CE"/>
    <w:rsid w:val="00936935"/>
    <w:rsid w:val="00940B60"/>
    <w:rsid w:val="00940D05"/>
    <w:rsid w:val="00942722"/>
    <w:rsid w:val="009433C1"/>
    <w:rsid w:val="00943829"/>
    <w:rsid w:val="0094402B"/>
    <w:rsid w:val="00946124"/>
    <w:rsid w:val="00946DC5"/>
    <w:rsid w:val="00946E17"/>
    <w:rsid w:val="00947278"/>
    <w:rsid w:val="009539FA"/>
    <w:rsid w:val="009544B3"/>
    <w:rsid w:val="009608B5"/>
    <w:rsid w:val="00960FE0"/>
    <w:rsid w:val="0096247E"/>
    <w:rsid w:val="00963D1D"/>
    <w:rsid w:val="00964284"/>
    <w:rsid w:val="00965069"/>
    <w:rsid w:val="00965FDF"/>
    <w:rsid w:val="009802CB"/>
    <w:rsid w:val="0098465E"/>
    <w:rsid w:val="00985A2C"/>
    <w:rsid w:val="00985AD3"/>
    <w:rsid w:val="00985D31"/>
    <w:rsid w:val="00985E81"/>
    <w:rsid w:val="00986804"/>
    <w:rsid w:val="0099070F"/>
    <w:rsid w:val="00993BAE"/>
    <w:rsid w:val="00993E39"/>
    <w:rsid w:val="0099546D"/>
    <w:rsid w:val="00996370"/>
    <w:rsid w:val="00997EED"/>
    <w:rsid w:val="009A1CE2"/>
    <w:rsid w:val="009A2202"/>
    <w:rsid w:val="009A2455"/>
    <w:rsid w:val="009A375C"/>
    <w:rsid w:val="009A3780"/>
    <w:rsid w:val="009A3853"/>
    <w:rsid w:val="009B0520"/>
    <w:rsid w:val="009B2803"/>
    <w:rsid w:val="009B4220"/>
    <w:rsid w:val="009B5742"/>
    <w:rsid w:val="009B709C"/>
    <w:rsid w:val="009B73F5"/>
    <w:rsid w:val="009C3182"/>
    <w:rsid w:val="009C34F3"/>
    <w:rsid w:val="009C5367"/>
    <w:rsid w:val="009C5B87"/>
    <w:rsid w:val="009D1601"/>
    <w:rsid w:val="009D2F28"/>
    <w:rsid w:val="009D3731"/>
    <w:rsid w:val="009D38A1"/>
    <w:rsid w:val="009D6401"/>
    <w:rsid w:val="009D6CE6"/>
    <w:rsid w:val="009E3C08"/>
    <w:rsid w:val="009E58A0"/>
    <w:rsid w:val="009E66F7"/>
    <w:rsid w:val="009E6C6B"/>
    <w:rsid w:val="009E77F2"/>
    <w:rsid w:val="009F23BD"/>
    <w:rsid w:val="009F2C3D"/>
    <w:rsid w:val="009F593D"/>
    <w:rsid w:val="00A00503"/>
    <w:rsid w:val="00A0156A"/>
    <w:rsid w:val="00A01C6F"/>
    <w:rsid w:val="00A023EA"/>
    <w:rsid w:val="00A047CA"/>
    <w:rsid w:val="00A07AE4"/>
    <w:rsid w:val="00A109D4"/>
    <w:rsid w:val="00A12D70"/>
    <w:rsid w:val="00A1430A"/>
    <w:rsid w:val="00A16057"/>
    <w:rsid w:val="00A20F91"/>
    <w:rsid w:val="00A21842"/>
    <w:rsid w:val="00A21925"/>
    <w:rsid w:val="00A2215A"/>
    <w:rsid w:val="00A23059"/>
    <w:rsid w:val="00A2623B"/>
    <w:rsid w:val="00A26B28"/>
    <w:rsid w:val="00A300E2"/>
    <w:rsid w:val="00A323BD"/>
    <w:rsid w:val="00A34465"/>
    <w:rsid w:val="00A35D7E"/>
    <w:rsid w:val="00A37A93"/>
    <w:rsid w:val="00A40847"/>
    <w:rsid w:val="00A40FCF"/>
    <w:rsid w:val="00A444A6"/>
    <w:rsid w:val="00A44995"/>
    <w:rsid w:val="00A45C33"/>
    <w:rsid w:val="00A466B6"/>
    <w:rsid w:val="00A46EE9"/>
    <w:rsid w:val="00A5128C"/>
    <w:rsid w:val="00A5234E"/>
    <w:rsid w:val="00A57D2F"/>
    <w:rsid w:val="00A57DBC"/>
    <w:rsid w:val="00A57EC2"/>
    <w:rsid w:val="00A60114"/>
    <w:rsid w:val="00A61E1F"/>
    <w:rsid w:val="00A64F9C"/>
    <w:rsid w:val="00A658ED"/>
    <w:rsid w:val="00A674D0"/>
    <w:rsid w:val="00A71BAA"/>
    <w:rsid w:val="00A74122"/>
    <w:rsid w:val="00A76443"/>
    <w:rsid w:val="00A8447E"/>
    <w:rsid w:val="00A87317"/>
    <w:rsid w:val="00A903D9"/>
    <w:rsid w:val="00A90C07"/>
    <w:rsid w:val="00A91411"/>
    <w:rsid w:val="00A931E9"/>
    <w:rsid w:val="00A93511"/>
    <w:rsid w:val="00A94647"/>
    <w:rsid w:val="00A9687E"/>
    <w:rsid w:val="00A97A9E"/>
    <w:rsid w:val="00A97D79"/>
    <w:rsid w:val="00AA0C5A"/>
    <w:rsid w:val="00AA2D57"/>
    <w:rsid w:val="00AA3E70"/>
    <w:rsid w:val="00AA4EF1"/>
    <w:rsid w:val="00AA6BA4"/>
    <w:rsid w:val="00AA7670"/>
    <w:rsid w:val="00AA7C25"/>
    <w:rsid w:val="00AB3269"/>
    <w:rsid w:val="00AB3C78"/>
    <w:rsid w:val="00AB6B54"/>
    <w:rsid w:val="00AB6D11"/>
    <w:rsid w:val="00AC0045"/>
    <w:rsid w:val="00AC0C16"/>
    <w:rsid w:val="00AC2EB5"/>
    <w:rsid w:val="00AC45CF"/>
    <w:rsid w:val="00AC4A34"/>
    <w:rsid w:val="00AC5B44"/>
    <w:rsid w:val="00AC6679"/>
    <w:rsid w:val="00AD0FD4"/>
    <w:rsid w:val="00AD281B"/>
    <w:rsid w:val="00AD29E4"/>
    <w:rsid w:val="00AD51CE"/>
    <w:rsid w:val="00AD6FA9"/>
    <w:rsid w:val="00AD7650"/>
    <w:rsid w:val="00AE132C"/>
    <w:rsid w:val="00AE1BC2"/>
    <w:rsid w:val="00AE2DD6"/>
    <w:rsid w:val="00AE3B7B"/>
    <w:rsid w:val="00AE3B7D"/>
    <w:rsid w:val="00AE4A80"/>
    <w:rsid w:val="00AE6A91"/>
    <w:rsid w:val="00AE71A5"/>
    <w:rsid w:val="00AE7959"/>
    <w:rsid w:val="00AF1D10"/>
    <w:rsid w:val="00AF2921"/>
    <w:rsid w:val="00AF3FFC"/>
    <w:rsid w:val="00AF404A"/>
    <w:rsid w:val="00AF440E"/>
    <w:rsid w:val="00B00132"/>
    <w:rsid w:val="00B01A6B"/>
    <w:rsid w:val="00B01C81"/>
    <w:rsid w:val="00B02F75"/>
    <w:rsid w:val="00B02FF3"/>
    <w:rsid w:val="00B030B3"/>
    <w:rsid w:val="00B05F83"/>
    <w:rsid w:val="00B064C6"/>
    <w:rsid w:val="00B115A2"/>
    <w:rsid w:val="00B1303F"/>
    <w:rsid w:val="00B13AC3"/>
    <w:rsid w:val="00B13B6B"/>
    <w:rsid w:val="00B15CA5"/>
    <w:rsid w:val="00B206A2"/>
    <w:rsid w:val="00B20E2E"/>
    <w:rsid w:val="00B210F4"/>
    <w:rsid w:val="00B21270"/>
    <w:rsid w:val="00B233FA"/>
    <w:rsid w:val="00B31461"/>
    <w:rsid w:val="00B31649"/>
    <w:rsid w:val="00B344FD"/>
    <w:rsid w:val="00B34673"/>
    <w:rsid w:val="00B3586B"/>
    <w:rsid w:val="00B3706D"/>
    <w:rsid w:val="00B40005"/>
    <w:rsid w:val="00B414CB"/>
    <w:rsid w:val="00B4177C"/>
    <w:rsid w:val="00B41E03"/>
    <w:rsid w:val="00B42629"/>
    <w:rsid w:val="00B42C45"/>
    <w:rsid w:val="00B43A28"/>
    <w:rsid w:val="00B43E2A"/>
    <w:rsid w:val="00B440EB"/>
    <w:rsid w:val="00B46272"/>
    <w:rsid w:val="00B47A01"/>
    <w:rsid w:val="00B53589"/>
    <w:rsid w:val="00B56443"/>
    <w:rsid w:val="00B568A2"/>
    <w:rsid w:val="00B57F53"/>
    <w:rsid w:val="00B612B6"/>
    <w:rsid w:val="00B636DC"/>
    <w:rsid w:val="00B639E5"/>
    <w:rsid w:val="00B67019"/>
    <w:rsid w:val="00B745E4"/>
    <w:rsid w:val="00B7485A"/>
    <w:rsid w:val="00B74C0E"/>
    <w:rsid w:val="00B81003"/>
    <w:rsid w:val="00B818D7"/>
    <w:rsid w:val="00B82008"/>
    <w:rsid w:val="00B85678"/>
    <w:rsid w:val="00B867DD"/>
    <w:rsid w:val="00B90EA0"/>
    <w:rsid w:val="00B91BAA"/>
    <w:rsid w:val="00B91BC8"/>
    <w:rsid w:val="00B92538"/>
    <w:rsid w:val="00B92C39"/>
    <w:rsid w:val="00B9320E"/>
    <w:rsid w:val="00B93F58"/>
    <w:rsid w:val="00B94C66"/>
    <w:rsid w:val="00B952B5"/>
    <w:rsid w:val="00B9742B"/>
    <w:rsid w:val="00BA01D2"/>
    <w:rsid w:val="00BA0CE8"/>
    <w:rsid w:val="00BA19BE"/>
    <w:rsid w:val="00BA1DFD"/>
    <w:rsid w:val="00BA1F1D"/>
    <w:rsid w:val="00BA2A76"/>
    <w:rsid w:val="00BA374F"/>
    <w:rsid w:val="00BA4A46"/>
    <w:rsid w:val="00BB3266"/>
    <w:rsid w:val="00BB48FA"/>
    <w:rsid w:val="00BB5312"/>
    <w:rsid w:val="00BB6540"/>
    <w:rsid w:val="00BC1A81"/>
    <w:rsid w:val="00BC1B68"/>
    <w:rsid w:val="00BC3700"/>
    <w:rsid w:val="00BC5ACA"/>
    <w:rsid w:val="00BC5E7C"/>
    <w:rsid w:val="00BC5ECE"/>
    <w:rsid w:val="00BC6314"/>
    <w:rsid w:val="00BC67A2"/>
    <w:rsid w:val="00BD0BA3"/>
    <w:rsid w:val="00BD26FC"/>
    <w:rsid w:val="00BD44B9"/>
    <w:rsid w:val="00BD49FC"/>
    <w:rsid w:val="00BD4A08"/>
    <w:rsid w:val="00BD75B3"/>
    <w:rsid w:val="00BD7ACB"/>
    <w:rsid w:val="00BE0BD4"/>
    <w:rsid w:val="00BE391B"/>
    <w:rsid w:val="00BE4572"/>
    <w:rsid w:val="00BE46AC"/>
    <w:rsid w:val="00BE639D"/>
    <w:rsid w:val="00BE69AC"/>
    <w:rsid w:val="00BF33B0"/>
    <w:rsid w:val="00BF4535"/>
    <w:rsid w:val="00BF5839"/>
    <w:rsid w:val="00BF59B2"/>
    <w:rsid w:val="00C00DC1"/>
    <w:rsid w:val="00C01514"/>
    <w:rsid w:val="00C061E3"/>
    <w:rsid w:val="00C06240"/>
    <w:rsid w:val="00C07345"/>
    <w:rsid w:val="00C07770"/>
    <w:rsid w:val="00C119C2"/>
    <w:rsid w:val="00C141DF"/>
    <w:rsid w:val="00C14967"/>
    <w:rsid w:val="00C14B25"/>
    <w:rsid w:val="00C15FEE"/>
    <w:rsid w:val="00C1627A"/>
    <w:rsid w:val="00C17198"/>
    <w:rsid w:val="00C1777A"/>
    <w:rsid w:val="00C20E15"/>
    <w:rsid w:val="00C222AC"/>
    <w:rsid w:val="00C24C12"/>
    <w:rsid w:val="00C252E8"/>
    <w:rsid w:val="00C26E47"/>
    <w:rsid w:val="00C3083F"/>
    <w:rsid w:val="00C30B76"/>
    <w:rsid w:val="00C31B7A"/>
    <w:rsid w:val="00C322A1"/>
    <w:rsid w:val="00C32E9F"/>
    <w:rsid w:val="00C33404"/>
    <w:rsid w:val="00C338CE"/>
    <w:rsid w:val="00C33BEE"/>
    <w:rsid w:val="00C34E14"/>
    <w:rsid w:val="00C364D6"/>
    <w:rsid w:val="00C40350"/>
    <w:rsid w:val="00C414E8"/>
    <w:rsid w:val="00C42AAC"/>
    <w:rsid w:val="00C42CE4"/>
    <w:rsid w:val="00C43619"/>
    <w:rsid w:val="00C43DAE"/>
    <w:rsid w:val="00C479F7"/>
    <w:rsid w:val="00C51A84"/>
    <w:rsid w:val="00C531DC"/>
    <w:rsid w:val="00C532F8"/>
    <w:rsid w:val="00C533FE"/>
    <w:rsid w:val="00C5376C"/>
    <w:rsid w:val="00C54162"/>
    <w:rsid w:val="00C549B7"/>
    <w:rsid w:val="00C54C55"/>
    <w:rsid w:val="00C61020"/>
    <w:rsid w:val="00C62631"/>
    <w:rsid w:val="00C63972"/>
    <w:rsid w:val="00C65241"/>
    <w:rsid w:val="00C66CB0"/>
    <w:rsid w:val="00C676E5"/>
    <w:rsid w:val="00C70A0D"/>
    <w:rsid w:val="00C717C7"/>
    <w:rsid w:val="00C7661F"/>
    <w:rsid w:val="00C76787"/>
    <w:rsid w:val="00C770EB"/>
    <w:rsid w:val="00C772E3"/>
    <w:rsid w:val="00C803E7"/>
    <w:rsid w:val="00C835B6"/>
    <w:rsid w:val="00C83A4F"/>
    <w:rsid w:val="00C84379"/>
    <w:rsid w:val="00C84D05"/>
    <w:rsid w:val="00C8621A"/>
    <w:rsid w:val="00C87641"/>
    <w:rsid w:val="00C918F8"/>
    <w:rsid w:val="00C926AD"/>
    <w:rsid w:val="00C92826"/>
    <w:rsid w:val="00C93453"/>
    <w:rsid w:val="00C96889"/>
    <w:rsid w:val="00CA03BB"/>
    <w:rsid w:val="00CA04DC"/>
    <w:rsid w:val="00CA06D4"/>
    <w:rsid w:val="00CA0ADF"/>
    <w:rsid w:val="00CA5938"/>
    <w:rsid w:val="00CA5C45"/>
    <w:rsid w:val="00CA5DEE"/>
    <w:rsid w:val="00CB0E55"/>
    <w:rsid w:val="00CB38F2"/>
    <w:rsid w:val="00CB3CB5"/>
    <w:rsid w:val="00CB3DBD"/>
    <w:rsid w:val="00CB4D57"/>
    <w:rsid w:val="00CB57FE"/>
    <w:rsid w:val="00CB7123"/>
    <w:rsid w:val="00CB73A3"/>
    <w:rsid w:val="00CB7F0D"/>
    <w:rsid w:val="00CC1DF7"/>
    <w:rsid w:val="00CC20F1"/>
    <w:rsid w:val="00CC28C6"/>
    <w:rsid w:val="00CC3585"/>
    <w:rsid w:val="00CC4808"/>
    <w:rsid w:val="00CC4BC8"/>
    <w:rsid w:val="00CC7D66"/>
    <w:rsid w:val="00CD0055"/>
    <w:rsid w:val="00CD0400"/>
    <w:rsid w:val="00CD0677"/>
    <w:rsid w:val="00CD1550"/>
    <w:rsid w:val="00CD1DC0"/>
    <w:rsid w:val="00CD211F"/>
    <w:rsid w:val="00CD305B"/>
    <w:rsid w:val="00CD44A5"/>
    <w:rsid w:val="00CD4D02"/>
    <w:rsid w:val="00CE0D2C"/>
    <w:rsid w:val="00CE1B8A"/>
    <w:rsid w:val="00CE1F0B"/>
    <w:rsid w:val="00CE3510"/>
    <w:rsid w:val="00CE4936"/>
    <w:rsid w:val="00CE4CC0"/>
    <w:rsid w:val="00CE6205"/>
    <w:rsid w:val="00CE6BF8"/>
    <w:rsid w:val="00CE7A1E"/>
    <w:rsid w:val="00CF110C"/>
    <w:rsid w:val="00CF27C4"/>
    <w:rsid w:val="00CF46D9"/>
    <w:rsid w:val="00D01675"/>
    <w:rsid w:val="00D06F27"/>
    <w:rsid w:val="00D073F4"/>
    <w:rsid w:val="00D075C0"/>
    <w:rsid w:val="00D07CB3"/>
    <w:rsid w:val="00D1102D"/>
    <w:rsid w:val="00D13DF0"/>
    <w:rsid w:val="00D143AC"/>
    <w:rsid w:val="00D14486"/>
    <w:rsid w:val="00D219F7"/>
    <w:rsid w:val="00D244C9"/>
    <w:rsid w:val="00D24520"/>
    <w:rsid w:val="00D25860"/>
    <w:rsid w:val="00D25BF8"/>
    <w:rsid w:val="00D262EA"/>
    <w:rsid w:val="00D30A63"/>
    <w:rsid w:val="00D31703"/>
    <w:rsid w:val="00D32D1E"/>
    <w:rsid w:val="00D33586"/>
    <w:rsid w:val="00D36774"/>
    <w:rsid w:val="00D36B98"/>
    <w:rsid w:val="00D40AAD"/>
    <w:rsid w:val="00D4478B"/>
    <w:rsid w:val="00D47ACC"/>
    <w:rsid w:val="00D5064E"/>
    <w:rsid w:val="00D51FE7"/>
    <w:rsid w:val="00D5370A"/>
    <w:rsid w:val="00D53E6B"/>
    <w:rsid w:val="00D54272"/>
    <w:rsid w:val="00D54B01"/>
    <w:rsid w:val="00D54C29"/>
    <w:rsid w:val="00D57274"/>
    <w:rsid w:val="00D600F0"/>
    <w:rsid w:val="00D6034D"/>
    <w:rsid w:val="00D61332"/>
    <w:rsid w:val="00D61F8A"/>
    <w:rsid w:val="00D6239E"/>
    <w:rsid w:val="00D640D7"/>
    <w:rsid w:val="00D648D1"/>
    <w:rsid w:val="00D64A4B"/>
    <w:rsid w:val="00D66A48"/>
    <w:rsid w:val="00D675C5"/>
    <w:rsid w:val="00D70374"/>
    <w:rsid w:val="00D71175"/>
    <w:rsid w:val="00D7260B"/>
    <w:rsid w:val="00D729B1"/>
    <w:rsid w:val="00D730B5"/>
    <w:rsid w:val="00D73129"/>
    <w:rsid w:val="00D735FF"/>
    <w:rsid w:val="00D73A3C"/>
    <w:rsid w:val="00D7483C"/>
    <w:rsid w:val="00D74FD2"/>
    <w:rsid w:val="00D77CD3"/>
    <w:rsid w:val="00D813C5"/>
    <w:rsid w:val="00D83999"/>
    <w:rsid w:val="00D839BC"/>
    <w:rsid w:val="00D84ABE"/>
    <w:rsid w:val="00D84F60"/>
    <w:rsid w:val="00D87B35"/>
    <w:rsid w:val="00D9098B"/>
    <w:rsid w:val="00D91B3F"/>
    <w:rsid w:val="00D91BC7"/>
    <w:rsid w:val="00D91FC5"/>
    <w:rsid w:val="00D92690"/>
    <w:rsid w:val="00D9288B"/>
    <w:rsid w:val="00D9376C"/>
    <w:rsid w:val="00D93EA3"/>
    <w:rsid w:val="00D97AD0"/>
    <w:rsid w:val="00DA068C"/>
    <w:rsid w:val="00DA2373"/>
    <w:rsid w:val="00DA6F20"/>
    <w:rsid w:val="00DB17ED"/>
    <w:rsid w:val="00DB35B2"/>
    <w:rsid w:val="00DB4087"/>
    <w:rsid w:val="00DB4755"/>
    <w:rsid w:val="00DC07A6"/>
    <w:rsid w:val="00DC22B8"/>
    <w:rsid w:val="00DC3E21"/>
    <w:rsid w:val="00DC428F"/>
    <w:rsid w:val="00DC48FC"/>
    <w:rsid w:val="00DD04B4"/>
    <w:rsid w:val="00DD2299"/>
    <w:rsid w:val="00DD2866"/>
    <w:rsid w:val="00DD2EAD"/>
    <w:rsid w:val="00DD332A"/>
    <w:rsid w:val="00DD3E03"/>
    <w:rsid w:val="00DD536D"/>
    <w:rsid w:val="00DD5672"/>
    <w:rsid w:val="00DD638B"/>
    <w:rsid w:val="00DD6622"/>
    <w:rsid w:val="00DE0CFB"/>
    <w:rsid w:val="00DE1245"/>
    <w:rsid w:val="00DE16B2"/>
    <w:rsid w:val="00DE17F9"/>
    <w:rsid w:val="00DE1EE8"/>
    <w:rsid w:val="00DE33F9"/>
    <w:rsid w:val="00DE3A75"/>
    <w:rsid w:val="00DE4C92"/>
    <w:rsid w:val="00DE6050"/>
    <w:rsid w:val="00DE65EC"/>
    <w:rsid w:val="00DE7094"/>
    <w:rsid w:val="00DF2EC9"/>
    <w:rsid w:val="00DF5393"/>
    <w:rsid w:val="00DF54C2"/>
    <w:rsid w:val="00DF5787"/>
    <w:rsid w:val="00DF57AB"/>
    <w:rsid w:val="00DF74E3"/>
    <w:rsid w:val="00DF794F"/>
    <w:rsid w:val="00E02336"/>
    <w:rsid w:val="00E023AA"/>
    <w:rsid w:val="00E02DF9"/>
    <w:rsid w:val="00E059CE"/>
    <w:rsid w:val="00E07B27"/>
    <w:rsid w:val="00E12228"/>
    <w:rsid w:val="00E15852"/>
    <w:rsid w:val="00E1630A"/>
    <w:rsid w:val="00E165CA"/>
    <w:rsid w:val="00E20A4D"/>
    <w:rsid w:val="00E23033"/>
    <w:rsid w:val="00E23208"/>
    <w:rsid w:val="00E23A7E"/>
    <w:rsid w:val="00E24A0D"/>
    <w:rsid w:val="00E24A15"/>
    <w:rsid w:val="00E24F4E"/>
    <w:rsid w:val="00E25699"/>
    <w:rsid w:val="00E275BB"/>
    <w:rsid w:val="00E275CC"/>
    <w:rsid w:val="00E3023E"/>
    <w:rsid w:val="00E320BF"/>
    <w:rsid w:val="00E325CC"/>
    <w:rsid w:val="00E32F40"/>
    <w:rsid w:val="00E34B78"/>
    <w:rsid w:val="00E34BD0"/>
    <w:rsid w:val="00E35AF7"/>
    <w:rsid w:val="00E35F2E"/>
    <w:rsid w:val="00E37029"/>
    <w:rsid w:val="00E3741A"/>
    <w:rsid w:val="00E42F1F"/>
    <w:rsid w:val="00E45A6B"/>
    <w:rsid w:val="00E464E0"/>
    <w:rsid w:val="00E51FE7"/>
    <w:rsid w:val="00E520C5"/>
    <w:rsid w:val="00E5274C"/>
    <w:rsid w:val="00E53E66"/>
    <w:rsid w:val="00E540E3"/>
    <w:rsid w:val="00E54235"/>
    <w:rsid w:val="00E548FC"/>
    <w:rsid w:val="00E5657E"/>
    <w:rsid w:val="00E60D4B"/>
    <w:rsid w:val="00E61488"/>
    <w:rsid w:val="00E6207F"/>
    <w:rsid w:val="00E62F37"/>
    <w:rsid w:val="00E63547"/>
    <w:rsid w:val="00E63814"/>
    <w:rsid w:val="00E651B3"/>
    <w:rsid w:val="00E71B47"/>
    <w:rsid w:val="00E73CC6"/>
    <w:rsid w:val="00E73E8E"/>
    <w:rsid w:val="00E7447A"/>
    <w:rsid w:val="00E77018"/>
    <w:rsid w:val="00E8056B"/>
    <w:rsid w:val="00E80729"/>
    <w:rsid w:val="00E80CF1"/>
    <w:rsid w:val="00E816A2"/>
    <w:rsid w:val="00E8402A"/>
    <w:rsid w:val="00E86E35"/>
    <w:rsid w:val="00E90B6D"/>
    <w:rsid w:val="00E91E84"/>
    <w:rsid w:val="00E924CE"/>
    <w:rsid w:val="00E925AA"/>
    <w:rsid w:val="00E9669B"/>
    <w:rsid w:val="00E96BDF"/>
    <w:rsid w:val="00EA1831"/>
    <w:rsid w:val="00EA2204"/>
    <w:rsid w:val="00EA257F"/>
    <w:rsid w:val="00EA2A85"/>
    <w:rsid w:val="00EA3251"/>
    <w:rsid w:val="00EA3322"/>
    <w:rsid w:val="00EA3F83"/>
    <w:rsid w:val="00EA5062"/>
    <w:rsid w:val="00EA6150"/>
    <w:rsid w:val="00EA6D50"/>
    <w:rsid w:val="00EB05BC"/>
    <w:rsid w:val="00EB0C47"/>
    <w:rsid w:val="00EB3E6E"/>
    <w:rsid w:val="00EB73AB"/>
    <w:rsid w:val="00EB7CCB"/>
    <w:rsid w:val="00EC042B"/>
    <w:rsid w:val="00EC292F"/>
    <w:rsid w:val="00EC4A38"/>
    <w:rsid w:val="00EC7A14"/>
    <w:rsid w:val="00ED0C35"/>
    <w:rsid w:val="00ED0E44"/>
    <w:rsid w:val="00ED185A"/>
    <w:rsid w:val="00ED19EB"/>
    <w:rsid w:val="00ED1D0D"/>
    <w:rsid w:val="00ED2995"/>
    <w:rsid w:val="00ED2F24"/>
    <w:rsid w:val="00ED39AB"/>
    <w:rsid w:val="00ED42F6"/>
    <w:rsid w:val="00ED6E9A"/>
    <w:rsid w:val="00EE02B2"/>
    <w:rsid w:val="00EE1B16"/>
    <w:rsid w:val="00EE1FFF"/>
    <w:rsid w:val="00EE2127"/>
    <w:rsid w:val="00EE22F2"/>
    <w:rsid w:val="00EE4129"/>
    <w:rsid w:val="00EE49F2"/>
    <w:rsid w:val="00EE51AD"/>
    <w:rsid w:val="00EE65C7"/>
    <w:rsid w:val="00EE6A7D"/>
    <w:rsid w:val="00EE7143"/>
    <w:rsid w:val="00EF081A"/>
    <w:rsid w:val="00EF58FC"/>
    <w:rsid w:val="00EF5F37"/>
    <w:rsid w:val="00F020D5"/>
    <w:rsid w:val="00F03AB9"/>
    <w:rsid w:val="00F03D77"/>
    <w:rsid w:val="00F04185"/>
    <w:rsid w:val="00F04548"/>
    <w:rsid w:val="00F14B69"/>
    <w:rsid w:val="00F16C2D"/>
    <w:rsid w:val="00F17E6F"/>
    <w:rsid w:val="00F2072F"/>
    <w:rsid w:val="00F2165E"/>
    <w:rsid w:val="00F21CE8"/>
    <w:rsid w:val="00F24FD9"/>
    <w:rsid w:val="00F25484"/>
    <w:rsid w:val="00F254C0"/>
    <w:rsid w:val="00F25517"/>
    <w:rsid w:val="00F26132"/>
    <w:rsid w:val="00F2650A"/>
    <w:rsid w:val="00F3294F"/>
    <w:rsid w:val="00F32DC1"/>
    <w:rsid w:val="00F33008"/>
    <w:rsid w:val="00F33089"/>
    <w:rsid w:val="00F336A0"/>
    <w:rsid w:val="00F33FD1"/>
    <w:rsid w:val="00F34F7D"/>
    <w:rsid w:val="00F35870"/>
    <w:rsid w:val="00F377D3"/>
    <w:rsid w:val="00F4251D"/>
    <w:rsid w:val="00F4543E"/>
    <w:rsid w:val="00F50495"/>
    <w:rsid w:val="00F51B8C"/>
    <w:rsid w:val="00F52310"/>
    <w:rsid w:val="00F52883"/>
    <w:rsid w:val="00F5399F"/>
    <w:rsid w:val="00F5516D"/>
    <w:rsid w:val="00F56FD2"/>
    <w:rsid w:val="00F614A5"/>
    <w:rsid w:val="00F6195A"/>
    <w:rsid w:val="00F6200B"/>
    <w:rsid w:val="00F66724"/>
    <w:rsid w:val="00F70531"/>
    <w:rsid w:val="00F73ACC"/>
    <w:rsid w:val="00F811F7"/>
    <w:rsid w:val="00F81EED"/>
    <w:rsid w:val="00F8275D"/>
    <w:rsid w:val="00F8425A"/>
    <w:rsid w:val="00F84D4F"/>
    <w:rsid w:val="00F85E0E"/>
    <w:rsid w:val="00F86F5A"/>
    <w:rsid w:val="00F93594"/>
    <w:rsid w:val="00F93B9A"/>
    <w:rsid w:val="00F946DC"/>
    <w:rsid w:val="00F96568"/>
    <w:rsid w:val="00F97116"/>
    <w:rsid w:val="00F971D6"/>
    <w:rsid w:val="00F97FDE"/>
    <w:rsid w:val="00FA1D75"/>
    <w:rsid w:val="00FA2450"/>
    <w:rsid w:val="00FA2486"/>
    <w:rsid w:val="00FA321F"/>
    <w:rsid w:val="00FA56D3"/>
    <w:rsid w:val="00FA593F"/>
    <w:rsid w:val="00FA6CB0"/>
    <w:rsid w:val="00FB1DEC"/>
    <w:rsid w:val="00FB5CCE"/>
    <w:rsid w:val="00FB7B56"/>
    <w:rsid w:val="00FC027F"/>
    <w:rsid w:val="00FC0BC1"/>
    <w:rsid w:val="00FC1291"/>
    <w:rsid w:val="00FC1708"/>
    <w:rsid w:val="00FC2E35"/>
    <w:rsid w:val="00FC3859"/>
    <w:rsid w:val="00FC4FA1"/>
    <w:rsid w:val="00FC54E7"/>
    <w:rsid w:val="00FC7369"/>
    <w:rsid w:val="00FC74D4"/>
    <w:rsid w:val="00FD016B"/>
    <w:rsid w:val="00FD1934"/>
    <w:rsid w:val="00FD299A"/>
    <w:rsid w:val="00FD3FFC"/>
    <w:rsid w:val="00FD4E53"/>
    <w:rsid w:val="00FD4FEB"/>
    <w:rsid w:val="00FD7129"/>
    <w:rsid w:val="00FD74A6"/>
    <w:rsid w:val="00FE2D6D"/>
    <w:rsid w:val="00FE3DE2"/>
    <w:rsid w:val="00FE5851"/>
    <w:rsid w:val="00FE6FC6"/>
    <w:rsid w:val="00FE75E5"/>
    <w:rsid w:val="00FF0E35"/>
    <w:rsid w:val="00FF4F15"/>
    <w:rsid w:val="00FF66DB"/>
    <w:rsid w:val="00FF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F0"/>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3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lang w:eastAsia="en-U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apple-converted-space">
    <w:name w:val="apple-converted-space"/>
    <w:basedOn w:val="DefaultParagraphFont"/>
    <w:rsid w:val="00DF2EC9"/>
  </w:style>
  <w:style w:type="character" w:customStyle="1" w:styleId="filesize">
    <w:name w:val="filesize"/>
    <w:basedOn w:val="DefaultParagraphFont"/>
    <w:rsid w:val="00DF2EC9"/>
  </w:style>
  <w:style w:type="table" w:customStyle="1" w:styleId="TableGrid1">
    <w:name w:val="Table Grid1"/>
    <w:basedOn w:val="TableNormal"/>
    <w:next w:val="TableGrid"/>
    <w:uiPriority w:val="39"/>
    <w:rsid w:val="000077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94373257">
      <w:bodyDiv w:val="1"/>
      <w:marLeft w:val="0"/>
      <w:marRight w:val="0"/>
      <w:marTop w:val="0"/>
      <w:marBottom w:val="0"/>
      <w:divBdr>
        <w:top w:val="none" w:sz="0" w:space="0" w:color="auto"/>
        <w:left w:val="none" w:sz="0" w:space="0" w:color="auto"/>
        <w:bottom w:val="none" w:sz="0" w:space="0" w:color="auto"/>
        <w:right w:val="none" w:sz="0" w:space="0" w:color="auto"/>
      </w:divBdr>
    </w:div>
    <w:div w:id="160389069">
      <w:bodyDiv w:val="1"/>
      <w:marLeft w:val="0"/>
      <w:marRight w:val="0"/>
      <w:marTop w:val="0"/>
      <w:marBottom w:val="0"/>
      <w:divBdr>
        <w:top w:val="none" w:sz="0" w:space="0" w:color="auto"/>
        <w:left w:val="none" w:sz="0" w:space="0" w:color="auto"/>
        <w:bottom w:val="none" w:sz="0" w:space="0" w:color="auto"/>
        <w:right w:val="none" w:sz="0" w:space="0" w:color="auto"/>
      </w:divBdr>
    </w:div>
    <w:div w:id="195239725">
      <w:bodyDiv w:val="1"/>
      <w:marLeft w:val="0"/>
      <w:marRight w:val="0"/>
      <w:marTop w:val="0"/>
      <w:marBottom w:val="0"/>
      <w:divBdr>
        <w:top w:val="none" w:sz="0" w:space="0" w:color="auto"/>
        <w:left w:val="none" w:sz="0" w:space="0" w:color="auto"/>
        <w:bottom w:val="none" w:sz="0" w:space="0" w:color="auto"/>
        <w:right w:val="none" w:sz="0" w:space="0" w:color="auto"/>
      </w:divBdr>
    </w:div>
    <w:div w:id="243534529">
      <w:bodyDiv w:val="1"/>
      <w:marLeft w:val="0"/>
      <w:marRight w:val="0"/>
      <w:marTop w:val="0"/>
      <w:marBottom w:val="0"/>
      <w:divBdr>
        <w:top w:val="none" w:sz="0" w:space="0" w:color="auto"/>
        <w:left w:val="none" w:sz="0" w:space="0" w:color="auto"/>
        <w:bottom w:val="none" w:sz="0" w:space="0" w:color="auto"/>
        <w:right w:val="none" w:sz="0" w:space="0" w:color="auto"/>
      </w:divBdr>
    </w:div>
    <w:div w:id="281620142">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97158613">
      <w:bodyDiv w:val="1"/>
      <w:marLeft w:val="0"/>
      <w:marRight w:val="0"/>
      <w:marTop w:val="0"/>
      <w:marBottom w:val="0"/>
      <w:divBdr>
        <w:top w:val="none" w:sz="0" w:space="0" w:color="auto"/>
        <w:left w:val="none" w:sz="0" w:space="0" w:color="auto"/>
        <w:bottom w:val="none" w:sz="0" w:space="0" w:color="auto"/>
        <w:right w:val="none" w:sz="0" w:space="0" w:color="auto"/>
      </w:divBdr>
    </w:div>
    <w:div w:id="708993285">
      <w:bodyDiv w:val="1"/>
      <w:marLeft w:val="0"/>
      <w:marRight w:val="0"/>
      <w:marTop w:val="0"/>
      <w:marBottom w:val="0"/>
      <w:divBdr>
        <w:top w:val="none" w:sz="0" w:space="0" w:color="auto"/>
        <w:left w:val="none" w:sz="0" w:space="0" w:color="auto"/>
        <w:bottom w:val="none" w:sz="0" w:space="0" w:color="auto"/>
        <w:right w:val="none" w:sz="0" w:space="0" w:color="auto"/>
      </w:divBdr>
    </w:div>
    <w:div w:id="751706148">
      <w:bodyDiv w:val="1"/>
      <w:marLeft w:val="0"/>
      <w:marRight w:val="0"/>
      <w:marTop w:val="0"/>
      <w:marBottom w:val="0"/>
      <w:divBdr>
        <w:top w:val="none" w:sz="0" w:space="0" w:color="auto"/>
        <w:left w:val="none" w:sz="0" w:space="0" w:color="auto"/>
        <w:bottom w:val="none" w:sz="0" w:space="0" w:color="auto"/>
        <w:right w:val="none" w:sz="0" w:space="0" w:color="auto"/>
      </w:divBdr>
      <w:divsChild>
        <w:div w:id="357050561">
          <w:marLeft w:val="0"/>
          <w:marRight w:val="0"/>
          <w:marTop w:val="0"/>
          <w:marBottom w:val="0"/>
          <w:divBdr>
            <w:top w:val="none" w:sz="0" w:space="0" w:color="auto"/>
            <w:left w:val="none" w:sz="0" w:space="0" w:color="auto"/>
            <w:bottom w:val="none" w:sz="0" w:space="0" w:color="auto"/>
            <w:right w:val="none" w:sz="0" w:space="0" w:color="auto"/>
          </w:divBdr>
        </w:div>
        <w:div w:id="3291442">
          <w:marLeft w:val="0"/>
          <w:marRight w:val="0"/>
          <w:marTop w:val="0"/>
          <w:marBottom w:val="0"/>
          <w:divBdr>
            <w:top w:val="none" w:sz="0" w:space="0" w:color="auto"/>
            <w:left w:val="none" w:sz="0" w:space="0" w:color="auto"/>
            <w:bottom w:val="none" w:sz="0" w:space="0" w:color="auto"/>
            <w:right w:val="none" w:sz="0" w:space="0" w:color="auto"/>
          </w:divBdr>
        </w:div>
        <w:div w:id="1352798167">
          <w:marLeft w:val="0"/>
          <w:marRight w:val="0"/>
          <w:marTop w:val="0"/>
          <w:marBottom w:val="0"/>
          <w:divBdr>
            <w:top w:val="none" w:sz="0" w:space="0" w:color="auto"/>
            <w:left w:val="none" w:sz="0" w:space="0" w:color="auto"/>
            <w:bottom w:val="none" w:sz="0" w:space="0" w:color="auto"/>
            <w:right w:val="none" w:sz="0" w:space="0" w:color="auto"/>
          </w:divBdr>
        </w:div>
        <w:div w:id="891310568">
          <w:marLeft w:val="0"/>
          <w:marRight w:val="0"/>
          <w:marTop w:val="0"/>
          <w:marBottom w:val="0"/>
          <w:divBdr>
            <w:top w:val="none" w:sz="0" w:space="0" w:color="auto"/>
            <w:left w:val="none" w:sz="0" w:space="0" w:color="auto"/>
            <w:bottom w:val="none" w:sz="0" w:space="0" w:color="auto"/>
            <w:right w:val="none" w:sz="0" w:space="0" w:color="auto"/>
          </w:divBdr>
        </w:div>
        <w:div w:id="1555660586">
          <w:marLeft w:val="0"/>
          <w:marRight w:val="0"/>
          <w:marTop w:val="0"/>
          <w:marBottom w:val="0"/>
          <w:divBdr>
            <w:top w:val="none" w:sz="0" w:space="0" w:color="auto"/>
            <w:left w:val="none" w:sz="0" w:space="0" w:color="auto"/>
            <w:bottom w:val="none" w:sz="0" w:space="0" w:color="auto"/>
            <w:right w:val="none" w:sz="0" w:space="0" w:color="auto"/>
          </w:divBdr>
        </w:div>
        <w:div w:id="562444789">
          <w:marLeft w:val="0"/>
          <w:marRight w:val="0"/>
          <w:marTop w:val="0"/>
          <w:marBottom w:val="0"/>
          <w:divBdr>
            <w:top w:val="none" w:sz="0" w:space="0" w:color="auto"/>
            <w:left w:val="none" w:sz="0" w:space="0" w:color="auto"/>
            <w:bottom w:val="none" w:sz="0" w:space="0" w:color="auto"/>
            <w:right w:val="none" w:sz="0" w:space="0" w:color="auto"/>
          </w:divBdr>
        </w:div>
        <w:div w:id="406536772">
          <w:marLeft w:val="0"/>
          <w:marRight w:val="0"/>
          <w:marTop w:val="0"/>
          <w:marBottom w:val="0"/>
          <w:divBdr>
            <w:top w:val="none" w:sz="0" w:space="0" w:color="auto"/>
            <w:left w:val="none" w:sz="0" w:space="0" w:color="auto"/>
            <w:bottom w:val="none" w:sz="0" w:space="0" w:color="auto"/>
            <w:right w:val="none" w:sz="0" w:space="0" w:color="auto"/>
          </w:divBdr>
        </w:div>
        <w:div w:id="1148739628">
          <w:marLeft w:val="0"/>
          <w:marRight w:val="0"/>
          <w:marTop w:val="0"/>
          <w:marBottom w:val="0"/>
          <w:divBdr>
            <w:top w:val="none" w:sz="0" w:space="0" w:color="auto"/>
            <w:left w:val="none" w:sz="0" w:space="0" w:color="auto"/>
            <w:bottom w:val="none" w:sz="0" w:space="0" w:color="auto"/>
            <w:right w:val="none" w:sz="0" w:space="0" w:color="auto"/>
          </w:divBdr>
        </w:div>
        <w:div w:id="236863051">
          <w:marLeft w:val="0"/>
          <w:marRight w:val="0"/>
          <w:marTop w:val="0"/>
          <w:marBottom w:val="0"/>
          <w:divBdr>
            <w:top w:val="none" w:sz="0" w:space="0" w:color="auto"/>
            <w:left w:val="none" w:sz="0" w:space="0" w:color="auto"/>
            <w:bottom w:val="none" w:sz="0" w:space="0" w:color="auto"/>
            <w:right w:val="none" w:sz="0" w:space="0" w:color="auto"/>
          </w:divBdr>
        </w:div>
        <w:div w:id="1659646329">
          <w:marLeft w:val="0"/>
          <w:marRight w:val="0"/>
          <w:marTop w:val="0"/>
          <w:marBottom w:val="0"/>
          <w:divBdr>
            <w:top w:val="none" w:sz="0" w:space="0" w:color="auto"/>
            <w:left w:val="none" w:sz="0" w:space="0" w:color="auto"/>
            <w:bottom w:val="none" w:sz="0" w:space="0" w:color="auto"/>
            <w:right w:val="none" w:sz="0" w:space="0" w:color="auto"/>
          </w:divBdr>
        </w:div>
        <w:div w:id="2012096292">
          <w:marLeft w:val="0"/>
          <w:marRight w:val="0"/>
          <w:marTop w:val="0"/>
          <w:marBottom w:val="0"/>
          <w:divBdr>
            <w:top w:val="none" w:sz="0" w:space="0" w:color="auto"/>
            <w:left w:val="none" w:sz="0" w:space="0" w:color="auto"/>
            <w:bottom w:val="none" w:sz="0" w:space="0" w:color="auto"/>
            <w:right w:val="none" w:sz="0" w:space="0" w:color="auto"/>
          </w:divBdr>
        </w:div>
        <w:div w:id="341443298">
          <w:marLeft w:val="0"/>
          <w:marRight w:val="0"/>
          <w:marTop w:val="0"/>
          <w:marBottom w:val="0"/>
          <w:divBdr>
            <w:top w:val="none" w:sz="0" w:space="0" w:color="auto"/>
            <w:left w:val="none" w:sz="0" w:space="0" w:color="auto"/>
            <w:bottom w:val="none" w:sz="0" w:space="0" w:color="auto"/>
            <w:right w:val="none" w:sz="0" w:space="0" w:color="auto"/>
          </w:divBdr>
        </w:div>
        <w:div w:id="459690536">
          <w:marLeft w:val="0"/>
          <w:marRight w:val="0"/>
          <w:marTop w:val="0"/>
          <w:marBottom w:val="0"/>
          <w:divBdr>
            <w:top w:val="none" w:sz="0" w:space="0" w:color="auto"/>
            <w:left w:val="none" w:sz="0" w:space="0" w:color="auto"/>
            <w:bottom w:val="none" w:sz="0" w:space="0" w:color="auto"/>
            <w:right w:val="none" w:sz="0" w:space="0" w:color="auto"/>
          </w:divBdr>
        </w:div>
        <w:div w:id="1666398209">
          <w:marLeft w:val="0"/>
          <w:marRight w:val="0"/>
          <w:marTop w:val="0"/>
          <w:marBottom w:val="0"/>
          <w:divBdr>
            <w:top w:val="none" w:sz="0" w:space="0" w:color="auto"/>
            <w:left w:val="none" w:sz="0" w:space="0" w:color="auto"/>
            <w:bottom w:val="none" w:sz="0" w:space="0" w:color="auto"/>
            <w:right w:val="none" w:sz="0" w:space="0" w:color="auto"/>
          </w:divBdr>
        </w:div>
        <w:div w:id="93675933">
          <w:marLeft w:val="0"/>
          <w:marRight w:val="0"/>
          <w:marTop w:val="0"/>
          <w:marBottom w:val="0"/>
          <w:divBdr>
            <w:top w:val="none" w:sz="0" w:space="0" w:color="auto"/>
            <w:left w:val="none" w:sz="0" w:space="0" w:color="auto"/>
            <w:bottom w:val="none" w:sz="0" w:space="0" w:color="auto"/>
            <w:right w:val="none" w:sz="0" w:space="0" w:color="auto"/>
          </w:divBdr>
        </w:div>
        <w:div w:id="1667241607">
          <w:marLeft w:val="0"/>
          <w:marRight w:val="0"/>
          <w:marTop w:val="0"/>
          <w:marBottom w:val="0"/>
          <w:divBdr>
            <w:top w:val="none" w:sz="0" w:space="0" w:color="auto"/>
            <w:left w:val="none" w:sz="0" w:space="0" w:color="auto"/>
            <w:bottom w:val="none" w:sz="0" w:space="0" w:color="auto"/>
            <w:right w:val="none" w:sz="0" w:space="0" w:color="auto"/>
          </w:divBdr>
        </w:div>
        <w:div w:id="1303536337">
          <w:marLeft w:val="0"/>
          <w:marRight w:val="0"/>
          <w:marTop w:val="0"/>
          <w:marBottom w:val="0"/>
          <w:divBdr>
            <w:top w:val="none" w:sz="0" w:space="0" w:color="auto"/>
            <w:left w:val="none" w:sz="0" w:space="0" w:color="auto"/>
            <w:bottom w:val="none" w:sz="0" w:space="0" w:color="auto"/>
            <w:right w:val="none" w:sz="0" w:space="0" w:color="auto"/>
          </w:divBdr>
        </w:div>
        <w:div w:id="42336684">
          <w:marLeft w:val="0"/>
          <w:marRight w:val="0"/>
          <w:marTop w:val="0"/>
          <w:marBottom w:val="0"/>
          <w:divBdr>
            <w:top w:val="none" w:sz="0" w:space="0" w:color="auto"/>
            <w:left w:val="none" w:sz="0" w:space="0" w:color="auto"/>
            <w:bottom w:val="none" w:sz="0" w:space="0" w:color="auto"/>
            <w:right w:val="none" w:sz="0" w:space="0" w:color="auto"/>
          </w:divBdr>
        </w:div>
        <w:div w:id="756563346">
          <w:marLeft w:val="0"/>
          <w:marRight w:val="0"/>
          <w:marTop w:val="0"/>
          <w:marBottom w:val="0"/>
          <w:divBdr>
            <w:top w:val="none" w:sz="0" w:space="0" w:color="auto"/>
            <w:left w:val="none" w:sz="0" w:space="0" w:color="auto"/>
            <w:bottom w:val="none" w:sz="0" w:space="0" w:color="auto"/>
            <w:right w:val="none" w:sz="0" w:space="0" w:color="auto"/>
          </w:divBdr>
        </w:div>
      </w:divsChild>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15923983">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900407637">
      <w:bodyDiv w:val="1"/>
      <w:marLeft w:val="0"/>
      <w:marRight w:val="0"/>
      <w:marTop w:val="0"/>
      <w:marBottom w:val="0"/>
      <w:divBdr>
        <w:top w:val="none" w:sz="0" w:space="0" w:color="auto"/>
        <w:left w:val="none" w:sz="0" w:space="0" w:color="auto"/>
        <w:bottom w:val="none" w:sz="0" w:space="0" w:color="auto"/>
        <w:right w:val="none" w:sz="0" w:space="0" w:color="auto"/>
      </w:divBdr>
    </w:div>
    <w:div w:id="1107240177">
      <w:bodyDiv w:val="1"/>
      <w:marLeft w:val="0"/>
      <w:marRight w:val="0"/>
      <w:marTop w:val="0"/>
      <w:marBottom w:val="0"/>
      <w:divBdr>
        <w:top w:val="none" w:sz="0" w:space="0" w:color="auto"/>
        <w:left w:val="none" w:sz="0" w:space="0" w:color="auto"/>
        <w:bottom w:val="none" w:sz="0" w:space="0" w:color="auto"/>
        <w:right w:val="none" w:sz="0" w:space="0" w:color="auto"/>
      </w:divBdr>
    </w:div>
    <w:div w:id="1121075664">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55074907">
      <w:bodyDiv w:val="1"/>
      <w:marLeft w:val="0"/>
      <w:marRight w:val="0"/>
      <w:marTop w:val="0"/>
      <w:marBottom w:val="0"/>
      <w:divBdr>
        <w:top w:val="none" w:sz="0" w:space="0" w:color="auto"/>
        <w:left w:val="none" w:sz="0" w:space="0" w:color="auto"/>
        <w:bottom w:val="none" w:sz="0" w:space="0" w:color="auto"/>
        <w:right w:val="none" w:sz="0" w:space="0" w:color="auto"/>
      </w:divBdr>
      <w:divsChild>
        <w:div w:id="1759911754">
          <w:marLeft w:val="0"/>
          <w:marRight w:val="0"/>
          <w:marTop w:val="0"/>
          <w:marBottom w:val="0"/>
          <w:divBdr>
            <w:top w:val="none" w:sz="0" w:space="0" w:color="auto"/>
            <w:left w:val="none" w:sz="0" w:space="0" w:color="auto"/>
            <w:bottom w:val="none" w:sz="0" w:space="0" w:color="auto"/>
            <w:right w:val="none" w:sz="0" w:space="0" w:color="auto"/>
          </w:divBdr>
        </w:div>
        <w:div w:id="2002195106">
          <w:marLeft w:val="0"/>
          <w:marRight w:val="0"/>
          <w:marTop w:val="0"/>
          <w:marBottom w:val="0"/>
          <w:divBdr>
            <w:top w:val="none" w:sz="0" w:space="0" w:color="auto"/>
            <w:left w:val="none" w:sz="0" w:space="0" w:color="auto"/>
            <w:bottom w:val="none" w:sz="0" w:space="0" w:color="auto"/>
            <w:right w:val="none" w:sz="0" w:space="0" w:color="auto"/>
          </w:divBdr>
        </w:div>
        <w:div w:id="1637299668">
          <w:marLeft w:val="0"/>
          <w:marRight w:val="0"/>
          <w:marTop w:val="0"/>
          <w:marBottom w:val="0"/>
          <w:divBdr>
            <w:top w:val="none" w:sz="0" w:space="0" w:color="auto"/>
            <w:left w:val="none" w:sz="0" w:space="0" w:color="auto"/>
            <w:bottom w:val="none" w:sz="0" w:space="0" w:color="auto"/>
            <w:right w:val="none" w:sz="0" w:space="0" w:color="auto"/>
          </w:divBdr>
        </w:div>
        <w:div w:id="393621584">
          <w:marLeft w:val="0"/>
          <w:marRight w:val="0"/>
          <w:marTop w:val="0"/>
          <w:marBottom w:val="0"/>
          <w:divBdr>
            <w:top w:val="none" w:sz="0" w:space="0" w:color="auto"/>
            <w:left w:val="none" w:sz="0" w:space="0" w:color="auto"/>
            <w:bottom w:val="none" w:sz="0" w:space="0" w:color="auto"/>
            <w:right w:val="none" w:sz="0" w:space="0" w:color="auto"/>
          </w:divBdr>
        </w:div>
        <w:div w:id="343752450">
          <w:marLeft w:val="0"/>
          <w:marRight w:val="0"/>
          <w:marTop w:val="0"/>
          <w:marBottom w:val="0"/>
          <w:divBdr>
            <w:top w:val="none" w:sz="0" w:space="0" w:color="auto"/>
            <w:left w:val="none" w:sz="0" w:space="0" w:color="auto"/>
            <w:bottom w:val="none" w:sz="0" w:space="0" w:color="auto"/>
            <w:right w:val="none" w:sz="0" w:space="0" w:color="auto"/>
          </w:divBdr>
        </w:div>
        <w:div w:id="1103572981">
          <w:marLeft w:val="0"/>
          <w:marRight w:val="0"/>
          <w:marTop w:val="0"/>
          <w:marBottom w:val="0"/>
          <w:divBdr>
            <w:top w:val="none" w:sz="0" w:space="0" w:color="auto"/>
            <w:left w:val="none" w:sz="0" w:space="0" w:color="auto"/>
            <w:bottom w:val="none" w:sz="0" w:space="0" w:color="auto"/>
            <w:right w:val="none" w:sz="0" w:space="0" w:color="auto"/>
          </w:divBdr>
        </w:div>
        <w:div w:id="1768647858">
          <w:marLeft w:val="0"/>
          <w:marRight w:val="0"/>
          <w:marTop w:val="0"/>
          <w:marBottom w:val="0"/>
          <w:divBdr>
            <w:top w:val="none" w:sz="0" w:space="0" w:color="auto"/>
            <w:left w:val="none" w:sz="0" w:space="0" w:color="auto"/>
            <w:bottom w:val="none" w:sz="0" w:space="0" w:color="auto"/>
            <w:right w:val="none" w:sz="0" w:space="0" w:color="auto"/>
          </w:divBdr>
        </w:div>
        <w:div w:id="266080403">
          <w:marLeft w:val="0"/>
          <w:marRight w:val="0"/>
          <w:marTop w:val="0"/>
          <w:marBottom w:val="0"/>
          <w:divBdr>
            <w:top w:val="none" w:sz="0" w:space="0" w:color="auto"/>
            <w:left w:val="none" w:sz="0" w:space="0" w:color="auto"/>
            <w:bottom w:val="none" w:sz="0" w:space="0" w:color="auto"/>
            <w:right w:val="none" w:sz="0" w:space="0" w:color="auto"/>
          </w:divBdr>
        </w:div>
        <w:div w:id="1930893025">
          <w:marLeft w:val="0"/>
          <w:marRight w:val="0"/>
          <w:marTop w:val="0"/>
          <w:marBottom w:val="0"/>
          <w:divBdr>
            <w:top w:val="none" w:sz="0" w:space="0" w:color="auto"/>
            <w:left w:val="none" w:sz="0" w:space="0" w:color="auto"/>
            <w:bottom w:val="none" w:sz="0" w:space="0" w:color="auto"/>
            <w:right w:val="none" w:sz="0" w:space="0" w:color="auto"/>
          </w:divBdr>
        </w:div>
        <w:div w:id="975717205">
          <w:marLeft w:val="0"/>
          <w:marRight w:val="0"/>
          <w:marTop w:val="0"/>
          <w:marBottom w:val="0"/>
          <w:divBdr>
            <w:top w:val="none" w:sz="0" w:space="0" w:color="auto"/>
            <w:left w:val="none" w:sz="0" w:space="0" w:color="auto"/>
            <w:bottom w:val="none" w:sz="0" w:space="0" w:color="auto"/>
            <w:right w:val="none" w:sz="0" w:space="0" w:color="auto"/>
          </w:divBdr>
        </w:div>
        <w:div w:id="601492973">
          <w:marLeft w:val="0"/>
          <w:marRight w:val="0"/>
          <w:marTop w:val="0"/>
          <w:marBottom w:val="0"/>
          <w:divBdr>
            <w:top w:val="none" w:sz="0" w:space="0" w:color="auto"/>
            <w:left w:val="none" w:sz="0" w:space="0" w:color="auto"/>
            <w:bottom w:val="none" w:sz="0" w:space="0" w:color="auto"/>
            <w:right w:val="none" w:sz="0" w:space="0" w:color="auto"/>
          </w:divBdr>
        </w:div>
        <w:div w:id="1018850275">
          <w:marLeft w:val="0"/>
          <w:marRight w:val="0"/>
          <w:marTop w:val="0"/>
          <w:marBottom w:val="0"/>
          <w:divBdr>
            <w:top w:val="none" w:sz="0" w:space="0" w:color="auto"/>
            <w:left w:val="none" w:sz="0" w:space="0" w:color="auto"/>
            <w:bottom w:val="none" w:sz="0" w:space="0" w:color="auto"/>
            <w:right w:val="none" w:sz="0" w:space="0" w:color="auto"/>
          </w:divBdr>
        </w:div>
        <w:div w:id="408424371">
          <w:marLeft w:val="0"/>
          <w:marRight w:val="0"/>
          <w:marTop w:val="0"/>
          <w:marBottom w:val="0"/>
          <w:divBdr>
            <w:top w:val="none" w:sz="0" w:space="0" w:color="auto"/>
            <w:left w:val="none" w:sz="0" w:space="0" w:color="auto"/>
            <w:bottom w:val="none" w:sz="0" w:space="0" w:color="auto"/>
            <w:right w:val="none" w:sz="0" w:space="0" w:color="auto"/>
          </w:divBdr>
        </w:div>
        <w:div w:id="1475291921">
          <w:marLeft w:val="0"/>
          <w:marRight w:val="0"/>
          <w:marTop w:val="0"/>
          <w:marBottom w:val="0"/>
          <w:divBdr>
            <w:top w:val="none" w:sz="0" w:space="0" w:color="auto"/>
            <w:left w:val="none" w:sz="0" w:space="0" w:color="auto"/>
            <w:bottom w:val="none" w:sz="0" w:space="0" w:color="auto"/>
            <w:right w:val="none" w:sz="0" w:space="0" w:color="auto"/>
          </w:divBdr>
        </w:div>
        <w:div w:id="962347899">
          <w:marLeft w:val="0"/>
          <w:marRight w:val="0"/>
          <w:marTop w:val="0"/>
          <w:marBottom w:val="0"/>
          <w:divBdr>
            <w:top w:val="none" w:sz="0" w:space="0" w:color="auto"/>
            <w:left w:val="none" w:sz="0" w:space="0" w:color="auto"/>
            <w:bottom w:val="none" w:sz="0" w:space="0" w:color="auto"/>
            <w:right w:val="none" w:sz="0" w:space="0" w:color="auto"/>
          </w:divBdr>
        </w:div>
        <w:div w:id="1639917054">
          <w:marLeft w:val="0"/>
          <w:marRight w:val="0"/>
          <w:marTop w:val="0"/>
          <w:marBottom w:val="0"/>
          <w:divBdr>
            <w:top w:val="none" w:sz="0" w:space="0" w:color="auto"/>
            <w:left w:val="none" w:sz="0" w:space="0" w:color="auto"/>
            <w:bottom w:val="none" w:sz="0" w:space="0" w:color="auto"/>
            <w:right w:val="none" w:sz="0" w:space="0" w:color="auto"/>
          </w:divBdr>
        </w:div>
        <w:div w:id="546335876">
          <w:marLeft w:val="0"/>
          <w:marRight w:val="0"/>
          <w:marTop w:val="0"/>
          <w:marBottom w:val="0"/>
          <w:divBdr>
            <w:top w:val="none" w:sz="0" w:space="0" w:color="auto"/>
            <w:left w:val="none" w:sz="0" w:space="0" w:color="auto"/>
            <w:bottom w:val="none" w:sz="0" w:space="0" w:color="auto"/>
            <w:right w:val="none" w:sz="0" w:space="0" w:color="auto"/>
          </w:divBdr>
        </w:div>
        <w:div w:id="501705370">
          <w:marLeft w:val="0"/>
          <w:marRight w:val="0"/>
          <w:marTop w:val="0"/>
          <w:marBottom w:val="0"/>
          <w:divBdr>
            <w:top w:val="none" w:sz="0" w:space="0" w:color="auto"/>
            <w:left w:val="none" w:sz="0" w:space="0" w:color="auto"/>
            <w:bottom w:val="none" w:sz="0" w:space="0" w:color="auto"/>
            <w:right w:val="none" w:sz="0" w:space="0" w:color="auto"/>
          </w:divBdr>
        </w:div>
        <w:div w:id="1234505514">
          <w:marLeft w:val="0"/>
          <w:marRight w:val="0"/>
          <w:marTop w:val="0"/>
          <w:marBottom w:val="0"/>
          <w:divBdr>
            <w:top w:val="none" w:sz="0" w:space="0" w:color="auto"/>
            <w:left w:val="none" w:sz="0" w:space="0" w:color="auto"/>
            <w:bottom w:val="none" w:sz="0" w:space="0" w:color="auto"/>
            <w:right w:val="none" w:sz="0" w:space="0" w:color="auto"/>
          </w:divBdr>
        </w:div>
        <w:div w:id="1246914531">
          <w:marLeft w:val="0"/>
          <w:marRight w:val="0"/>
          <w:marTop w:val="0"/>
          <w:marBottom w:val="0"/>
          <w:divBdr>
            <w:top w:val="none" w:sz="0" w:space="0" w:color="auto"/>
            <w:left w:val="none" w:sz="0" w:space="0" w:color="auto"/>
            <w:bottom w:val="none" w:sz="0" w:space="0" w:color="auto"/>
            <w:right w:val="none" w:sz="0" w:space="0" w:color="auto"/>
          </w:divBdr>
        </w:div>
        <w:div w:id="269749878">
          <w:marLeft w:val="0"/>
          <w:marRight w:val="0"/>
          <w:marTop w:val="0"/>
          <w:marBottom w:val="0"/>
          <w:divBdr>
            <w:top w:val="none" w:sz="0" w:space="0" w:color="auto"/>
            <w:left w:val="none" w:sz="0" w:space="0" w:color="auto"/>
            <w:bottom w:val="none" w:sz="0" w:space="0" w:color="auto"/>
            <w:right w:val="none" w:sz="0" w:space="0" w:color="auto"/>
          </w:divBdr>
        </w:div>
      </w:divsChild>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264221754">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295284791">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431117765">
      <w:bodyDiv w:val="1"/>
      <w:marLeft w:val="0"/>
      <w:marRight w:val="0"/>
      <w:marTop w:val="0"/>
      <w:marBottom w:val="0"/>
      <w:divBdr>
        <w:top w:val="none" w:sz="0" w:space="0" w:color="auto"/>
        <w:left w:val="none" w:sz="0" w:space="0" w:color="auto"/>
        <w:bottom w:val="none" w:sz="0" w:space="0" w:color="auto"/>
        <w:right w:val="none" w:sz="0" w:space="0" w:color="auto"/>
      </w:divBdr>
      <w:divsChild>
        <w:div w:id="1422406423">
          <w:marLeft w:val="0"/>
          <w:marRight w:val="0"/>
          <w:marTop w:val="0"/>
          <w:marBottom w:val="0"/>
          <w:divBdr>
            <w:top w:val="none" w:sz="0" w:space="0" w:color="auto"/>
            <w:left w:val="none" w:sz="0" w:space="0" w:color="auto"/>
            <w:bottom w:val="none" w:sz="0" w:space="0" w:color="auto"/>
            <w:right w:val="none" w:sz="0" w:space="0" w:color="auto"/>
          </w:divBdr>
        </w:div>
        <w:div w:id="205415232">
          <w:marLeft w:val="0"/>
          <w:marRight w:val="0"/>
          <w:marTop w:val="0"/>
          <w:marBottom w:val="0"/>
          <w:divBdr>
            <w:top w:val="none" w:sz="0" w:space="0" w:color="auto"/>
            <w:left w:val="none" w:sz="0" w:space="0" w:color="auto"/>
            <w:bottom w:val="none" w:sz="0" w:space="0" w:color="auto"/>
            <w:right w:val="none" w:sz="0" w:space="0" w:color="auto"/>
          </w:divBdr>
        </w:div>
        <w:div w:id="1129133578">
          <w:marLeft w:val="0"/>
          <w:marRight w:val="0"/>
          <w:marTop w:val="0"/>
          <w:marBottom w:val="0"/>
          <w:divBdr>
            <w:top w:val="none" w:sz="0" w:space="0" w:color="auto"/>
            <w:left w:val="none" w:sz="0" w:space="0" w:color="auto"/>
            <w:bottom w:val="none" w:sz="0" w:space="0" w:color="auto"/>
            <w:right w:val="none" w:sz="0" w:space="0" w:color="auto"/>
          </w:divBdr>
        </w:div>
        <w:div w:id="808016801">
          <w:marLeft w:val="0"/>
          <w:marRight w:val="0"/>
          <w:marTop w:val="0"/>
          <w:marBottom w:val="0"/>
          <w:divBdr>
            <w:top w:val="none" w:sz="0" w:space="0" w:color="auto"/>
            <w:left w:val="none" w:sz="0" w:space="0" w:color="auto"/>
            <w:bottom w:val="none" w:sz="0" w:space="0" w:color="auto"/>
            <w:right w:val="none" w:sz="0" w:space="0" w:color="auto"/>
          </w:divBdr>
        </w:div>
        <w:div w:id="1584682120">
          <w:marLeft w:val="0"/>
          <w:marRight w:val="0"/>
          <w:marTop w:val="0"/>
          <w:marBottom w:val="0"/>
          <w:divBdr>
            <w:top w:val="none" w:sz="0" w:space="0" w:color="auto"/>
            <w:left w:val="none" w:sz="0" w:space="0" w:color="auto"/>
            <w:bottom w:val="none" w:sz="0" w:space="0" w:color="auto"/>
            <w:right w:val="none" w:sz="0" w:space="0" w:color="auto"/>
          </w:divBdr>
        </w:div>
        <w:div w:id="2006393015">
          <w:marLeft w:val="0"/>
          <w:marRight w:val="0"/>
          <w:marTop w:val="0"/>
          <w:marBottom w:val="0"/>
          <w:divBdr>
            <w:top w:val="none" w:sz="0" w:space="0" w:color="auto"/>
            <w:left w:val="none" w:sz="0" w:space="0" w:color="auto"/>
            <w:bottom w:val="none" w:sz="0" w:space="0" w:color="auto"/>
            <w:right w:val="none" w:sz="0" w:space="0" w:color="auto"/>
          </w:divBdr>
        </w:div>
        <w:div w:id="657541871">
          <w:marLeft w:val="0"/>
          <w:marRight w:val="0"/>
          <w:marTop w:val="0"/>
          <w:marBottom w:val="0"/>
          <w:divBdr>
            <w:top w:val="none" w:sz="0" w:space="0" w:color="auto"/>
            <w:left w:val="none" w:sz="0" w:space="0" w:color="auto"/>
            <w:bottom w:val="none" w:sz="0" w:space="0" w:color="auto"/>
            <w:right w:val="none" w:sz="0" w:space="0" w:color="auto"/>
          </w:divBdr>
        </w:div>
        <w:div w:id="1143157439">
          <w:marLeft w:val="0"/>
          <w:marRight w:val="0"/>
          <w:marTop w:val="0"/>
          <w:marBottom w:val="0"/>
          <w:divBdr>
            <w:top w:val="none" w:sz="0" w:space="0" w:color="auto"/>
            <w:left w:val="none" w:sz="0" w:space="0" w:color="auto"/>
            <w:bottom w:val="none" w:sz="0" w:space="0" w:color="auto"/>
            <w:right w:val="none" w:sz="0" w:space="0" w:color="auto"/>
          </w:divBdr>
        </w:div>
      </w:divsChild>
    </w:div>
    <w:div w:id="1443845593">
      <w:bodyDiv w:val="1"/>
      <w:marLeft w:val="0"/>
      <w:marRight w:val="0"/>
      <w:marTop w:val="0"/>
      <w:marBottom w:val="0"/>
      <w:divBdr>
        <w:top w:val="none" w:sz="0" w:space="0" w:color="auto"/>
        <w:left w:val="none" w:sz="0" w:space="0" w:color="auto"/>
        <w:bottom w:val="none" w:sz="0" w:space="0" w:color="auto"/>
        <w:right w:val="none" w:sz="0" w:space="0" w:color="auto"/>
      </w:divBdr>
    </w:div>
    <w:div w:id="1468546323">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604262358">
      <w:bodyDiv w:val="1"/>
      <w:marLeft w:val="0"/>
      <w:marRight w:val="0"/>
      <w:marTop w:val="0"/>
      <w:marBottom w:val="0"/>
      <w:divBdr>
        <w:top w:val="none" w:sz="0" w:space="0" w:color="auto"/>
        <w:left w:val="none" w:sz="0" w:space="0" w:color="auto"/>
        <w:bottom w:val="none" w:sz="0" w:space="0" w:color="auto"/>
        <w:right w:val="none" w:sz="0" w:space="0" w:color="auto"/>
      </w:divBdr>
    </w:div>
    <w:div w:id="1634410312">
      <w:bodyDiv w:val="1"/>
      <w:marLeft w:val="0"/>
      <w:marRight w:val="0"/>
      <w:marTop w:val="0"/>
      <w:marBottom w:val="0"/>
      <w:divBdr>
        <w:top w:val="none" w:sz="0" w:space="0" w:color="auto"/>
        <w:left w:val="none" w:sz="0" w:space="0" w:color="auto"/>
        <w:bottom w:val="none" w:sz="0" w:space="0" w:color="auto"/>
        <w:right w:val="none" w:sz="0" w:space="0" w:color="auto"/>
      </w:divBdr>
      <w:divsChild>
        <w:div w:id="44764707">
          <w:marLeft w:val="0"/>
          <w:marRight w:val="0"/>
          <w:marTop w:val="0"/>
          <w:marBottom w:val="0"/>
          <w:divBdr>
            <w:top w:val="none" w:sz="0" w:space="0" w:color="auto"/>
            <w:left w:val="none" w:sz="0" w:space="0" w:color="auto"/>
            <w:bottom w:val="none" w:sz="0" w:space="0" w:color="auto"/>
            <w:right w:val="none" w:sz="0" w:space="0" w:color="auto"/>
          </w:divBdr>
        </w:div>
        <w:div w:id="1933010898">
          <w:marLeft w:val="0"/>
          <w:marRight w:val="0"/>
          <w:marTop w:val="0"/>
          <w:marBottom w:val="0"/>
          <w:divBdr>
            <w:top w:val="none" w:sz="0" w:space="0" w:color="auto"/>
            <w:left w:val="none" w:sz="0" w:space="0" w:color="auto"/>
            <w:bottom w:val="none" w:sz="0" w:space="0" w:color="auto"/>
            <w:right w:val="none" w:sz="0" w:space="0" w:color="auto"/>
          </w:divBdr>
        </w:div>
        <w:div w:id="161356897">
          <w:marLeft w:val="0"/>
          <w:marRight w:val="0"/>
          <w:marTop w:val="0"/>
          <w:marBottom w:val="0"/>
          <w:divBdr>
            <w:top w:val="none" w:sz="0" w:space="0" w:color="auto"/>
            <w:left w:val="none" w:sz="0" w:space="0" w:color="auto"/>
            <w:bottom w:val="none" w:sz="0" w:space="0" w:color="auto"/>
            <w:right w:val="none" w:sz="0" w:space="0" w:color="auto"/>
          </w:divBdr>
        </w:div>
        <w:div w:id="1020546311">
          <w:marLeft w:val="0"/>
          <w:marRight w:val="0"/>
          <w:marTop w:val="0"/>
          <w:marBottom w:val="0"/>
          <w:divBdr>
            <w:top w:val="none" w:sz="0" w:space="0" w:color="auto"/>
            <w:left w:val="none" w:sz="0" w:space="0" w:color="auto"/>
            <w:bottom w:val="none" w:sz="0" w:space="0" w:color="auto"/>
            <w:right w:val="none" w:sz="0" w:space="0" w:color="auto"/>
          </w:divBdr>
        </w:div>
        <w:div w:id="732509541">
          <w:marLeft w:val="0"/>
          <w:marRight w:val="0"/>
          <w:marTop w:val="0"/>
          <w:marBottom w:val="0"/>
          <w:divBdr>
            <w:top w:val="none" w:sz="0" w:space="0" w:color="auto"/>
            <w:left w:val="none" w:sz="0" w:space="0" w:color="auto"/>
            <w:bottom w:val="none" w:sz="0" w:space="0" w:color="auto"/>
            <w:right w:val="none" w:sz="0" w:space="0" w:color="auto"/>
          </w:divBdr>
        </w:div>
        <w:div w:id="24448622">
          <w:marLeft w:val="0"/>
          <w:marRight w:val="0"/>
          <w:marTop w:val="0"/>
          <w:marBottom w:val="0"/>
          <w:divBdr>
            <w:top w:val="none" w:sz="0" w:space="0" w:color="auto"/>
            <w:left w:val="none" w:sz="0" w:space="0" w:color="auto"/>
            <w:bottom w:val="none" w:sz="0" w:space="0" w:color="auto"/>
            <w:right w:val="none" w:sz="0" w:space="0" w:color="auto"/>
          </w:divBdr>
        </w:div>
        <w:div w:id="222256918">
          <w:marLeft w:val="0"/>
          <w:marRight w:val="0"/>
          <w:marTop w:val="0"/>
          <w:marBottom w:val="0"/>
          <w:divBdr>
            <w:top w:val="none" w:sz="0" w:space="0" w:color="auto"/>
            <w:left w:val="none" w:sz="0" w:space="0" w:color="auto"/>
            <w:bottom w:val="none" w:sz="0" w:space="0" w:color="auto"/>
            <w:right w:val="none" w:sz="0" w:space="0" w:color="auto"/>
          </w:divBdr>
        </w:div>
      </w:divsChild>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54155689">
      <w:bodyDiv w:val="1"/>
      <w:marLeft w:val="0"/>
      <w:marRight w:val="0"/>
      <w:marTop w:val="0"/>
      <w:marBottom w:val="0"/>
      <w:divBdr>
        <w:top w:val="none" w:sz="0" w:space="0" w:color="auto"/>
        <w:left w:val="none" w:sz="0" w:space="0" w:color="auto"/>
        <w:bottom w:val="none" w:sz="0" w:space="0" w:color="auto"/>
        <w:right w:val="none" w:sz="0" w:space="0" w:color="auto"/>
      </w:divBdr>
    </w:div>
    <w:div w:id="1819109594">
      <w:bodyDiv w:val="1"/>
      <w:marLeft w:val="0"/>
      <w:marRight w:val="0"/>
      <w:marTop w:val="0"/>
      <w:marBottom w:val="0"/>
      <w:divBdr>
        <w:top w:val="none" w:sz="0" w:space="0" w:color="auto"/>
        <w:left w:val="none" w:sz="0" w:space="0" w:color="auto"/>
        <w:bottom w:val="none" w:sz="0" w:space="0" w:color="auto"/>
        <w:right w:val="none" w:sz="0" w:space="0" w:color="auto"/>
      </w:divBdr>
    </w:div>
    <w:div w:id="1939948211">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ag.gov.au/node/434" TargetMode="External"/><Relationship Id="rId2" Type="http://schemas.openxmlformats.org/officeDocument/2006/relationships/hyperlink" Target="http://www.smh.com.au/nsw/victorian-failure-to-monitor-dangerous-trucks-putting-nsw-drivers-at-risk-20150925-gjvg4a.html" TargetMode="External"/><Relationship Id="rId1" Type="http://schemas.openxmlformats.org/officeDocument/2006/relationships/hyperlink" Target="http://www.ntc.gov.au/Media/Reports/%28BE9FFFB9-6FC5-4696-86CD-5EF498A23A9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6285-0E12-4C86-BB8B-F37BF164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2016-04-12T05:29:00Z</dcterms:created>
  <dcterms:modified xsi:type="dcterms:W3CDTF">2016-04-22T04:34:00Z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