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80" w:type="dxa"/>
        <w:tblInd w:w="784" w:type="dxa"/>
        <w:tblLook w:val="04A0" w:firstRow="1" w:lastRow="0" w:firstColumn="1" w:lastColumn="0" w:noHBand="0" w:noVBand="1"/>
      </w:tblPr>
      <w:tblGrid>
        <w:gridCol w:w="2378"/>
        <w:gridCol w:w="5702"/>
      </w:tblGrid>
      <w:tr w:rsidR="00D735FF" w:rsidRPr="00A26CD2" w:rsidTr="005629BD">
        <w:trPr>
          <w:trHeight w:val="768"/>
        </w:trPr>
        <w:tc>
          <w:tcPr>
            <w:tcW w:w="2378" w:type="dxa"/>
            <w:vAlign w:val="center"/>
          </w:tcPr>
          <w:p w:rsidR="00D735FF" w:rsidRDefault="00D735FF" w:rsidP="001025C9">
            <w:pPr>
              <w:pStyle w:val="Header"/>
              <w:jc w:val="both"/>
              <w:rPr>
                <w:rFonts w:asciiTheme="minorHAnsi" w:hAnsiTheme="minorHAnsi" w:cs="Arial"/>
                <w:b/>
                <w:sz w:val="28"/>
                <w:szCs w:val="20"/>
              </w:rPr>
            </w:pPr>
            <w:r w:rsidRPr="00A26CD2">
              <w:rPr>
                <w:rFonts w:asciiTheme="minorHAnsi" w:hAnsiTheme="minorHAnsi" w:cs="Arial"/>
                <w:b/>
                <w:sz w:val="28"/>
                <w:szCs w:val="20"/>
              </w:rPr>
              <w:t>Submission to:</w:t>
            </w:r>
          </w:p>
          <w:p w:rsidR="003E3FAF" w:rsidRPr="00A26CD2" w:rsidRDefault="003E3FAF" w:rsidP="001025C9">
            <w:pPr>
              <w:pStyle w:val="Header"/>
              <w:jc w:val="both"/>
              <w:rPr>
                <w:rFonts w:asciiTheme="minorHAnsi" w:hAnsiTheme="minorHAnsi" w:cs="Arial"/>
                <w:b/>
                <w:sz w:val="28"/>
                <w:szCs w:val="20"/>
              </w:rPr>
            </w:pPr>
          </w:p>
        </w:tc>
        <w:tc>
          <w:tcPr>
            <w:tcW w:w="5702" w:type="dxa"/>
            <w:vAlign w:val="center"/>
          </w:tcPr>
          <w:p w:rsidR="00D735FF" w:rsidRDefault="005629BD" w:rsidP="00A54132">
            <w:pPr>
              <w:pStyle w:val="Header"/>
              <w:rPr>
                <w:rFonts w:asciiTheme="minorHAnsi" w:hAnsiTheme="minorHAnsi" w:cs="Arial"/>
                <w:sz w:val="28"/>
                <w:szCs w:val="20"/>
              </w:rPr>
            </w:pPr>
            <w:r>
              <w:rPr>
                <w:rFonts w:asciiTheme="minorHAnsi" w:hAnsiTheme="minorHAnsi" w:cs="Arial"/>
                <w:sz w:val="28"/>
                <w:szCs w:val="20"/>
              </w:rPr>
              <w:t>National Transport Commission</w:t>
            </w:r>
          </w:p>
          <w:p w:rsidR="003E3FAF" w:rsidRPr="00A26CD2" w:rsidRDefault="003E3FAF" w:rsidP="00A54132">
            <w:pPr>
              <w:pStyle w:val="Header"/>
              <w:rPr>
                <w:rFonts w:asciiTheme="minorHAnsi" w:hAnsiTheme="minorHAnsi" w:cs="Arial"/>
                <w:sz w:val="28"/>
                <w:szCs w:val="20"/>
              </w:rPr>
            </w:pPr>
          </w:p>
        </w:tc>
      </w:tr>
      <w:tr w:rsidR="00D735FF" w:rsidRPr="00A26CD2" w:rsidTr="005629BD">
        <w:trPr>
          <w:trHeight w:val="64"/>
        </w:trPr>
        <w:tc>
          <w:tcPr>
            <w:tcW w:w="2378" w:type="dxa"/>
          </w:tcPr>
          <w:p w:rsidR="00D735FF" w:rsidRPr="00A26CD2" w:rsidRDefault="00D735FF" w:rsidP="000561A5">
            <w:pPr>
              <w:pStyle w:val="Header"/>
              <w:rPr>
                <w:rFonts w:asciiTheme="minorHAnsi" w:hAnsiTheme="minorHAnsi" w:cs="Arial"/>
                <w:b/>
                <w:sz w:val="28"/>
                <w:szCs w:val="20"/>
              </w:rPr>
            </w:pPr>
            <w:r w:rsidRPr="00A26CD2">
              <w:rPr>
                <w:rFonts w:asciiTheme="minorHAnsi" w:hAnsiTheme="minorHAnsi" w:cs="Arial"/>
                <w:b/>
                <w:sz w:val="28"/>
                <w:szCs w:val="20"/>
              </w:rPr>
              <w:t>Title:</w:t>
            </w:r>
          </w:p>
        </w:tc>
        <w:tc>
          <w:tcPr>
            <w:tcW w:w="5702" w:type="dxa"/>
          </w:tcPr>
          <w:p w:rsidR="00DA4390" w:rsidRPr="00A26CD2" w:rsidRDefault="007528AD" w:rsidP="007528AD">
            <w:pPr>
              <w:pStyle w:val="Header"/>
              <w:rPr>
                <w:rFonts w:asciiTheme="minorHAnsi" w:hAnsiTheme="minorHAnsi" w:cs="Arial"/>
                <w:sz w:val="28"/>
                <w:szCs w:val="20"/>
              </w:rPr>
            </w:pPr>
            <w:r>
              <w:rPr>
                <w:rFonts w:asciiTheme="minorHAnsi" w:hAnsiTheme="minorHAnsi" w:cs="Arial"/>
                <w:sz w:val="28"/>
                <w:szCs w:val="20"/>
              </w:rPr>
              <w:t>Heavy Vehicle Roadworthiness Consultation</w:t>
            </w:r>
            <w:r>
              <w:rPr>
                <w:rFonts w:asciiTheme="minorHAnsi" w:hAnsiTheme="minorHAnsi" w:cs="Arial"/>
                <w:sz w:val="28"/>
                <w:szCs w:val="20"/>
              </w:rPr>
              <w:br/>
            </w:r>
            <w:r w:rsidRPr="005629BD">
              <w:rPr>
                <w:rFonts w:asciiTheme="minorHAnsi" w:hAnsiTheme="minorHAnsi" w:cs="Arial"/>
                <w:sz w:val="28"/>
                <w:szCs w:val="20"/>
              </w:rPr>
              <w:t xml:space="preserve">Regulatory Impact Statement </w:t>
            </w:r>
          </w:p>
        </w:tc>
      </w:tr>
      <w:tr w:rsidR="00D735FF" w:rsidRPr="00A26CD2" w:rsidTr="005629BD">
        <w:trPr>
          <w:trHeight w:val="768"/>
        </w:trPr>
        <w:tc>
          <w:tcPr>
            <w:tcW w:w="2378" w:type="dxa"/>
            <w:vAlign w:val="center"/>
          </w:tcPr>
          <w:p w:rsidR="00D735FF" w:rsidRPr="00A26CD2" w:rsidRDefault="00D735FF" w:rsidP="001025C9">
            <w:pPr>
              <w:pStyle w:val="Header"/>
              <w:jc w:val="both"/>
              <w:rPr>
                <w:rFonts w:asciiTheme="minorHAnsi" w:hAnsiTheme="minorHAnsi" w:cs="Arial"/>
                <w:b/>
                <w:sz w:val="28"/>
                <w:szCs w:val="20"/>
              </w:rPr>
            </w:pPr>
            <w:r w:rsidRPr="00A26CD2">
              <w:rPr>
                <w:rFonts w:asciiTheme="minorHAnsi" w:hAnsiTheme="minorHAnsi" w:cs="Arial"/>
                <w:b/>
                <w:sz w:val="28"/>
                <w:szCs w:val="20"/>
              </w:rPr>
              <w:t>Date:</w:t>
            </w:r>
          </w:p>
        </w:tc>
        <w:tc>
          <w:tcPr>
            <w:tcW w:w="5702" w:type="dxa"/>
            <w:vAlign w:val="center"/>
          </w:tcPr>
          <w:p w:rsidR="00D735FF" w:rsidRPr="008B7065" w:rsidRDefault="00B36D4B" w:rsidP="005629BD">
            <w:pPr>
              <w:pStyle w:val="Header"/>
              <w:rPr>
                <w:rFonts w:asciiTheme="minorHAnsi" w:hAnsiTheme="minorHAnsi" w:cs="Arial"/>
                <w:sz w:val="28"/>
                <w:szCs w:val="28"/>
              </w:rPr>
            </w:pPr>
            <w:r>
              <w:rPr>
                <w:rFonts w:asciiTheme="minorHAnsi" w:hAnsiTheme="minorHAnsi" w:cs="Arial"/>
                <w:noProof/>
                <w:sz w:val="28"/>
                <w:szCs w:val="28"/>
                <w:lang w:eastAsia="en-AU"/>
              </w:rPr>
              <w:t xml:space="preserve">27 </w:t>
            </w:r>
            <w:r w:rsidR="005629BD">
              <w:rPr>
                <w:rFonts w:asciiTheme="minorHAnsi" w:hAnsiTheme="minorHAnsi" w:cs="Arial"/>
                <w:noProof/>
                <w:sz w:val="28"/>
                <w:szCs w:val="28"/>
                <w:lang w:eastAsia="en-AU"/>
              </w:rPr>
              <w:t xml:space="preserve">March </w:t>
            </w:r>
            <w:r w:rsidR="003B7E94">
              <w:rPr>
                <w:rFonts w:asciiTheme="minorHAnsi" w:hAnsiTheme="minorHAnsi" w:cs="Arial"/>
                <w:noProof/>
                <w:sz w:val="28"/>
                <w:szCs w:val="28"/>
                <w:lang w:eastAsia="en-AU"/>
              </w:rPr>
              <w:t>2015</w:t>
            </w:r>
          </w:p>
        </w:tc>
      </w:tr>
    </w:tbl>
    <w:p w:rsidR="00D735FF" w:rsidRPr="00A26CD2" w:rsidRDefault="00D735FF" w:rsidP="001025C9">
      <w:pPr>
        <w:pStyle w:val="Header"/>
        <w:jc w:val="both"/>
        <w:rPr>
          <w:rFonts w:asciiTheme="minorHAnsi" w:hAnsiTheme="minorHAnsi" w:cs="Arial"/>
          <w:sz w:val="20"/>
          <w:szCs w:val="20"/>
        </w:rPr>
      </w:pPr>
    </w:p>
    <w:p w:rsidR="00576ED0" w:rsidRPr="00A26CD2" w:rsidRDefault="00576ED0" w:rsidP="001025C9">
      <w:pPr>
        <w:pStyle w:val="Header"/>
        <w:jc w:val="both"/>
        <w:rPr>
          <w:rFonts w:asciiTheme="minorHAnsi" w:hAnsiTheme="minorHAnsi" w:cs="Arial"/>
          <w:sz w:val="20"/>
          <w:szCs w:val="20"/>
        </w:rPr>
      </w:pPr>
    </w:p>
    <w:p w:rsidR="00576ED0" w:rsidRPr="00A26CD2" w:rsidRDefault="00576ED0" w:rsidP="001025C9">
      <w:pPr>
        <w:jc w:val="both"/>
        <w:rPr>
          <w:rFonts w:asciiTheme="minorHAnsi" w:hAnsiTheme="minorHAnsi" w:cs="Arial"/>
          <w:sz w:val="20"/>
          <w:szCs w:val="20"/>
          <w:lang w:val="en-GB"/>
        </w:rPr>
        <w:sectPr w:rsidR="00576ED0" w:rsidRPr="00A26CD2"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A26CD2" w:rsidRDefault="00576ED0"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4"/>
          <w:szCs w:val="20"/>
        </w:rPr>
      </w:pPr>
    </w:p>
    <w:p w:rsidR="0035493A" w:rsidRPr="00A26CD2" w:rsidRDefault="003B74E4" w:rsidP="001025C9">
      <w:pPr>
        <w:jc w:val="both"/>
        <w:rPr>
          <w:rFonts w:asciiTheme="minorHAnsi" w:hAnsiTheme="minorHAnsi" w:cs="Arial"/>
          <w:b/>
          <w:color w:val="000064"/>
          <w:sz w:val="24"/>
          <w:szCs w:val="20"/>
        </w:rPr>
      </w:pPr>
      <w:r w:rsidRPr="00A26CD2">
        <w:rPr>
          <w:rFonts w:asciiTheme="minorHAnsi" w:hAnsiTheme="minorHAnsi" w:cs="Arial"/>
          <w:b/>
          <w:color w:val="000064"/>
          <w:sz w:val="24"/>
          <w:szCs w:val="20"/>
        </w:rPr>
        <w:t>Contents</w:t>
      </w:r>
    </w:p>
    <w:p w:rsidR="00576ED0" w:rsidRPr="00A26CD2" w:rsidRDefault="00576ED0" w:rsidP="001025C9">
      <w:pPr>
        <w:jc w:val="both"/>
        <w:rPr>
          <w:rFonts w:asciiTheme="minorHAnsi" w:hAnsiTheme="minorHAnsi" w:cs="Arial"/>
          <w:sz w:val="24"/>
          <w:szCs w:val="20"/>
        </w:rPr>
      </w:pPr>
    </w:p>
    <w:p w:rsidR="009B0520" w:rsidRPr="00A26CD2" w:rsidRDefault="009B0520" w:rsidP="001025C9">
      <w:pPr>
        <w:jc w:val="both"/>
        <w:rPr>
          <w:rFonts w:asciiTheme="minorHAnsi" w:hAnsiTheme="minorHAnsi" w:cs="Arial"/>
          <w:b/>
          <w:sz w:val="24"/>
          <w:szCs w:val="20"/>
        </w:rPr>
      </w:pPr>
    </w:p>
    <w:p w:rsidR="003F57E8" w:rsidRDefault="0004142E">
      <w:pPr>
        <w:pStyle w:val="TOC1"/>
        <w:rPr>
          <w:rFonts w:asciiTheme="minorHAnsi" w:eastAsiaTheme="minorEastAsia" w:hAnsiTheme="minorHAnsi" w:cstheme="minorBidi"/>
          <w:b w:val="0"/>
          <w:color w:val="auto"/>
          <w:sz w:val="22"/>
          <w:szCs w:val="22"/>
          <w:lang w:eastAsia="en-AU"/>
        </w:rPr>
      </w:pPr>
      <w:r w:rsidRPr="009D175C">
        <w:rPr>
          <w:rFonts w:asciiTheme="minorHAnsi" w:hAnsiTheme="minorHAnsi" w:cs="Arial"/>
          <w:b w:val="0"/>
          <w:sz w:val="24"/>
          <w:szCs w:val="24"/>
        </w:rPr>
        <w:fldChar w:fldCharType="begin"/>
      </w:r>
      <w:r w:rsidR="0035493A" w:rsidRPr="009D175C">
        <w:rPr>
          <w:rFonts w:asciiTheme="minorHAnsi" w:hAnsiTheme="minorHAnsi" w:cs="Arial"/>
          <w:b w:val="0"/>
          <w:sz w:val="24"/>
          <w:szCs w:val="24"/>
        </w:rPr>
        <w:instrText xml:space="preserve"> TOC \o "1-2" \t "ATA Heading 2,2" </w:instrText>
      </w:r>
      <w:r w:rsidRPr="009D175C">
        <w:rPr>
          <w:rFonts w:asciiTheme="minorHAnsi" w:hAnsiTheme="minorHAnsi" w:cs="Arial"/>
          <w:b w:val="0"/>
          <w:sz w:val="24"/>
          <w:szCs w:val="24"/>
        </w:rPr>
        <w:fldChar w:fldCharType="separate"/>
      </w:r>
      <w:r w:rsidR="003F57E8" w:rsidRPr="00163C8F">
        <w:rPr>
          <w:rFonts w:asciiTheme="minorHAnsi" w:hAnsiTheme="minorHAnsi"/>
        </w:rPr>
        <w:t>1.</w:t>
      </w:r>
      <w:r w:rsidR="003F57E8">
        <w:rPr>
          <w:rFonts w:asciiTheme="minorHAnsi" w:eastAsiaTheme="minorEastAsia" w:hAnsiTheme="minorHAnsi" w:cstheme="minorBidi"/>
          <w:b w:val="0"/>
          <w:color w:val="auto"/>
          <w:sz w:val="22"/>
          <w:szCs w:val="22"/>
          <w:lang w:eastAsia="en-AU"/>
        </w:rPr>
        <w:tab/>
      </w:r>
      <w:r w:rsidR="003F57E8" w:rsidRPr="00163C8F">
        <w:rPr>
          <w:rFonts w:asciiTheme="minorHAnsi" w:hAnsiTheme="minorHAnsi"/>
        </w:rPr>
        <w:t>About the Australian Trucking Association</w:t>
      </w:r>
      <w:r w:rsidR="003F57E8">
        <w:tab/>
      </w:r>
      <w:r w:rsidR="003F57E8">
        <w:fldChar w:fldCharType="begin"/>
      </w:r>
      <w:r w:rsidR="003F57E8">
        <w:instrText xml:space="preserve"> PAGEREF _Toc415230137 \h </w:instrText>
      </w:r>
      <w:r w:rsidR="003F57E8">
        <w:fldChar w:fldCharType="separate"/>
      </w:r>
      <w:r w:rsidR="002F4075">
        <w:t>3</w:t>
      </w:r>
      <w:r w:rsidR="003F57E8">
        <w:fldChar w:fldCharType="end"/>
      </w:r>
    </w:p>
    <w:p w:rsidR="003F57E8" w:rsidRDefault="003F57E8">
      <w:pPr>
        <w:pStyle w:val="TOC1"/>
        <w:rPr>
          <w:rFonts w:asciiTheme="minorHAnsi" w:eastAsiaTheme="minorEastAsia" w:hAnsiTheme="minorHAnsi" w:cstheme="minorBidi"/>
          <w:b w:val="0"/>
          <w:color w:val="auto"/>
          <w:sz w:val="22"/>
          <w:szCs w:val="22"/>
          <w:lang w:eastAsia="en-AU"/>
        </w:rPr>
      </w:pPr>
      <w:r w:rsidRPr="00163C8F">
        <w:rPr>
          <w:rFonts w:asciiTheme="minorHAnsi" w:hAnsiTheme="minorHAnsi"/>
        </w:rPr>
        <w:t>2.</w:t>
      </w:r>
      <w:r>
        <w:rPr>
          <w:rFonts w:asciiTheme="minorHAnsi" w:eastAsiaTheme="minorEastAsia" w:hAnsiTheme="minorHAnsi" w:cstheme="minorBidi"/>
          <w:b w:val="0"/>
          <w:color w:val="auto"/>
          <w:sz w:val="22"/>
          <w:szCs w:val="22"/>
          <w:lang w:eastAsia="en-AU"/>
        </w:rPr>
        <w:tab/>
      </w:r>
      <w:r w:rsidRPr="00163C8F">
        <w:rPr>
          <w:rFonts w:asciiTheme="minorHAnsi" w:hAnsiTheme="minorHAnsi"/>
        </w:rPr>
        <w:t>Summary of recommendations</w:t>
      </w:r>
      <w:r>
        <w:tab/>
      </w:r>
      <w:r>
        <w:fldChar w:fldCharType="begin"/>
      </w:r>
      <w:r>
        <w:instrText xml:space="preserve"> PAGEREF _Toc415230138 \h </w:instrText>
      </w:r>
      <w:r>
        <w:fldChar w:fldCharType="separate"/>
      </w:r>
      <w:r w:rsidR="002F4075">
        <w:t>3</w:t>
      </w:r>
      <w:r>
        <w:fldChar w:fldCharType="end"/>
      </w:r>
    </w:p>
    <w:p w:rsidR="003F57E8" w:rsidRDefault="003F57E8">
      <w:pPr>
        <w:pStyle w:val="TOC1"/>
        <w:rPr>
          <w:rFonts w:asciiTheme="minorHAnsi" w:eastAsiaTheme="minorEastAsia" w:hAnsiTheme="minorHAnsi" w:cstheme="minorBidi"/>
          <w:b w:val="0"/>
          <w:color w:val="auto"/>
          <w:sz w:val="22"/>
          <w:szCs w:val="22"/>
          <w:lang w:eastAsia="en-AU"/>
        </w:rPr>
      </w:pPr>
      <w:r w:rsidRPr="00163C8F">
        <w:rPr>
          <w:rFonts w:asciiTheme="minorHAnsi" w:hAnsiTheme="minorHAnsi"/>
          <w:highlight w:val="white"/>
          <w:lang w:eastAsia="en-AU"/>
        </w:rPr>
        <w:t>3.</w:t>
      </w:r>
      <w:r>
        <w:rPr>
          <w:rFonts w:asciiTheme="minorHAnsi" w:eastAsiaTheme="minorEastAsia" w:hAnsiTheme="minorHAnsi" w:cstheme="minorBidi"/>
          <w:b w:val="0"/>
          <w:color w:val="auto"/>
          <w:sz w:val="22"/>
          <w:szCs w:val="22"/>
          <w:lang w:eastAsia="en-AU"/>
        </w:rPr>
        <w:tab/>
      </w:r>
      <w:r w:rsidRPr="00163C8F">
        <w:rPr>
          <w:rFonts w:asciiTheme="minorHAnsi" w:hAnsiTheme="minorHAnsi"/>
          <w:highlight w:val="white"/>
          <w:lang w:eastAsia="en-AU"/>
        </w:rPr>
        <w:t>Introduction</w:t>
      </w:r>
      <w:r>
        <w:tab/>
      </w:r>
      <w:r>
        <w:fldChar w:fldCharType="begin"/>
      </w:r>
      <w:r>
        <w:instrText xml:space="preserve"> PAGEREF _Toc415230139 \h </w:instrText>
      </w:r>
      <w:r>
        <w:fldChar w:fldCharType="separate"/>
      </w:r>
      <w:r w:rsidR="002F4075">
        <w:t>4</w:t>
      </w:r>
      <w:r>
        <w:fldChar w:fldCharType="end"/>
      </w:r>
    </w:p>
    <w:p w:rsidR="003F57E8" w:rsidRDefault="003F57E8">
      <w:pPr>
        <w:pStyle w:val="TOC1"/>
        <w:rPr>
          <w:rFonts w:asciiTheme="minorHAnsi" w:eastAsiaTheme="minorEastAsia" w:hAnsiTheme="minorHAnsi" w:cstheme="minorBidi"/>
          <w:b w:val="0"/>
          <w:color w:val="auto"/>
          <w:sz w:val="22"/>
          <w:szCs w:val="22"/>
          <w:lang w:eastAsia="en-AU"/>
        </w:rPr>
      </w:pPr>
      <w:r w:rsidRPr="00163C8F">
        <w:rPr>
          <w:rFonts w:asciiTheme="minorHAnsi" w:hAnsiTheme="minorHAnsi"/>
        </w:rPr>
        <w:t>4.</w:t>
      </w:r>
      <w:r>
        <w:rPr>
          <w:rFonts w:asciiTheme="minorHAnsi" w:eastAsiaTheme="minorEastAsia" w:hAnsiTheme="minorHAnsi" w:cstheme="minorBidi"/>
          <w:b w:val="0"/>
          <w:color w:val="auto"/>
          <w:sz w:val="22"/>
          <w:szCs w:val="22"/>
          <w:lang w:eastAsia="en-AU"/>
        </w:rPr>
        <w:tab/>
      </w:r>
      <w:r w:rsidRPr="00163C8F">
        <w:rPr>
          <w:rFonts w:asciiTheme="minorHAnsi" w:hAnsiTheme="minorHAnsi"/>
        </w:rPr>
        <w:t>Strong Industry Support for Uniformity</w:t>
      </w:r>
      <w:r>
        <w:tab/>
      </w:r>
      <w:r>
        <w:fldChar w:fldCharType="begin"/>
      </w:r>
      <w:r>
        <w:instrText xml:space="preserve"> PAGEREF _Toc415230140 \h </w:instrText>
      </w:r>
      <w:r>
        <w:fldChar w:fldCharType="separate"/>
      </w:r>
      <w:r w:rsidR="002F4075">
        <w:t>5</w:t>
      </w:r>
      <w:r>
        <w:fldChar w:fldCharType="end"/>
      </w:r>
    </w:p>
    <w:p w:rsidR="003F57E8" w:rsidRDefault="003F57E8">
      <w:pPr>
        <w:pStyle w:val="TOC1"/>
        <w:rPr>
          <w:rFonts w:asciiTheme="minorHAnsi" w:eastAsiaTheme="minorEastAsia" w:hAnsiTheme="minorHAnsi" w:cstheme="minorBidi"/>
          <w:b w:val="0"/>
          <w:color w:val="auto"/>
          <w:sz w:val="22"/>
          <w:szCs w:val="22"/>
          <w:lang w:eastAsia="en-AU"/>
        </w:rPr>
      </w:pPr>
      <w:r w:rsidRPr="00163C8F">
        <w:rPr>
          <w:rFonts w:asciiTheme="minorHAnsi" w:hAnsiTheme="minorHAnsi"/>
        </w:rPr>
        <w:t>5.</w:t>
      </w:r>
      <w:r>
        <w:rPr>
          <w:rFonts w:asciiTheme="minorHAnsi" w:eastAsiaTheme="minorEastAsia" w:hAnsiTheme="minorHAnsi" w:cstheme="minorBidi"/>
          <w:b w:val="0"/>
          <w:color w:val="auto"/>
          <w:sz w:val="22"/>
          <w:szCs w:val="22"/>
          <w:lang w:eastAsia="en-AU"/>
        </w:rPr>
        <w:tab/>
      </w:r>
      <w:r w:rsidRPr="00163C8F">
        <w:rPr>
          <w:rFonts w:asciiTheme="minorHAnsi" w:hAnsiTheme="minorHAnsi"/>
        </w:rPr>
        <w:t>Significant Evidence Is Required For Reforms To Periodic Inspections</w:t>
      </w:r>
      <w:r>
        <w:tab/>
      </w:r>
      <w:r>
        <w:fldChar w:fldCharType="begin"/>
      </w:r>
      <w:r>
        <w:instrText xml:space="preserve"> PAGEREF _Toc415230141 \h </w:instrText>
      </w:r>
      <w:r>
        <w:fldChar w:fldCharType="separate"/>
      </w:r>
      <w:r w:rsidR="002F4075">
        <w:t>5</w:t>
      </w:r>
      <w:r>
        <w:fldChar w:fldCharType="end"/>
      </w:r>
    </w:p>
    <w:p w:rsidR="00027B59" w:rsidRPr="00027B59" w:rsidRDefault="0004142E" w:rsidP="00027B59">
      <w:pPr>
        <w:rPr>
          <w:sz w:val="20"/>
          <w:szCs w:val="20"/>
        </w:rPr>
      </w:pPr>
      <w:r w:rsidRPr="009D175C">
        <w:rPr>
          <w:sz w:val="24"/>
          <w:szCs w:val="24"/>
        </w:rPr>
        <w:fldChar w:fldCharType="end"/>
      </w:r>
    </w:p>
    <w:p w:rsidR="00651008" w:rsidRDefault="00651008" w:rsidP="008144FA">
      <w:pPr>
        <w:pStyle w:val="TOC1"/>
        <w:rPr>
          <w:rFonts w:asciiTheme="minorHAnsi" w:eastAsiaTheme="minorEastAsia" w:hAnsiTheme="minorHAnsi" w:cstheme="minorBidi"/>
          <w:b w:val="0"/>
          <w:color w:val="auto"/>
          <w:sz w:val="22"/>
          <w:szCs w:val="22"/>
          <w:lang w:eastAsia="en-AU"/>
        </w:rPr>
      </w:pPr>
    </w:p>
    <w:p w:rsidR="00576ED0" w:rsidRDefault="00576ED0" w:rsidP="00A26CD2">
      <w:pPr>
        <w:tabs>
          <w:tab w:val="right" w:leader="dot" w:pos="9645"/>
        </w:tabs>
        <w:jc w:val="both"/>
        <w:rPr>
          <w:rFonts w:asciiTheme="minorHAnsi" w:hAnsiTheme="minorHAnsi" w:cs="Arial"/>
          <w:sz w:val="20"/>
          <w:szCs w:val="20"/>
        </w:rPr>
      </w:pPr>
      <w:r w:rsidRPr="00A26CD2">
        <w:rPr>
          <w:rFonts w:asciiTheme="minorHAnsi" w:hAnsiTheme="minorHAnsi" w:cs="Arial"/>
          <w:sz w:val="20"/>
          <w:szCs w:val="20"/>
        </w:rPr>
        <w:br w:type="page"/>
      </w:r>
    </w:p>
    <w:p w:rsidR="00F544FD" w:rsidRPr="00166926" w:rsidRDefault="00F544FD" w:rsidP="00166926">
      <w:pPr>
        <w:pStyle w:val="Heading1"/>
        <w:ind w:left="357" w:hanging="357"/>
        <w:jc w:val="both"/>
        <w:rPr>
          <w:rFonts w:asciiTheme="minorHAnsi" w:hAnsiTheme="minorHAnsi"/>
          <w:sz w:val="24"/>
          <w:szCs w:val="24"/>
        </w:rPr>
      </w:pPr>
      <w:bookmarkStart w:id="0" w:name="_Toc415230137"/>
      <w:r w:rsidRPr="00166926">
        <w:rPr>
          <w:rFonts w:asciiTheme="minorHAnsi" w:hAnsiTheme="minorHAnsi"/>
          <w:sz w:val="24"/>
          <w:szCs w:val="24"/>
        </w:rPr>
        <w:lastRenderedPageBreak/>
        <w:t>About the Australian Trucking Association</w:t>
      </w:r>
      <w:bookmarkEnd w:id="0"/>
      <w:r w:rsidRPr="00166926">
        <w:rPr>
          <w:rFonts w:asciiTheme="minorHAnsi" w:hAnsiTheme="minorHAnsi"/>
          <w:sz w:val="24"/>
          <w:szCs w:val="24"/>
        </w:rPr>
        <w:t xml:space="preserve">  </w:t>
      </w:r>
    </w:p>
    <w:p w:rsidR="00F544FD" w:rsidRPr="00A26CD2" w:rsidRDefault="00F544FD" w:rsidP="00F544FD">
      <w:pPr>
        <w:pStyle w:val="BodyText2"/>
        <w:jc w:val="both"/>
        <w:rPr>
          <w:rFonts w:asciiTheme="minorHAnsi" w:hAnsiTheme="minorHAnsi"/>
          <w:b w:val="0"/>
          <w:sz w:val="20"/>
        </w:rPr>
      </w:pPr>
    </w:p>
    <w:p w:rsidR="005629BD" w:rsidRDefault="00F544FD" w:rsidP="00CA0968">
      <w:pPr>
        <w:pStyle w:val="BodyText2"/>
        <w:spacing w:line="269" w:lineRule="auto"/>
        <w:rPr>
          <w:rFonts w:asciiTheme="minorHAnsi" w:eastAsia="Calibri" w:hAnsiTheme="minorHAnsi"/>
          <w:b w:val="0"/>
          <w:bCs w:val="0"/>
          <w:szCs w:val="22"/>
        </w:rPr>
      </w:pPr>
      <w:r w:rsidRPr="003758A7">
        <w:rPr>
          <w:rFonts w:asciiTheme="minorHAnsi" w:eastAsia="Calibri" w:hAnsiTheme="minorHAnsi"/>
          <w:b w:val="0"/>
          <w:bCs w:val="0"/>
          <w:szCs w:val="22"/>
        </w:rPr>
        <w:t>The Australian Trucking Association (ATA) is the peak body that represents the trucking industry. Its members include state and sector</w:t>
      </w:r>
      <w:r w:rsidR="005E3ADF" w:rsidRPr="003758A7">
        <w:rPr>
          <w:rFonts w:asciiTheme="minorHAnsi" w:eastAsia="Calibri" w:hAnsiTheme="minorHAnsi"/>
          <w:b w:val="0"/>
          <w:bCs w:val="0"/>
          <w:szCs w:val="22"/>
        </w:rPr>
        <w:t>-</w:t>
      </w:r>
      <w:r w:rsidRPr="003758A7">
        <w:rPr>
          <w:rFonts w:asciiTheme="minorHAnsi" w:eastAsia="Calibri" w:hAnsiTheme="minorHAnsi"/>
          <w:b w:val="0"/>
          <w:bCs w:val="0"/>
          <w:szCs w:val="22"/>
        </w:rPr>
        <w:t>based trucking associations, some of the nation’s la</w:t>
      </w:r>
      <w:r w:rsidR="007C0B37" w:rsidRPr="003758A7">
        <w:rPr>
          <w:rFonts w:asciiTheme="minorHAnsi" w:eastAsia="Calibri" w:hAnsiTheme="minorHAnsi"/>
          <w:b w:val="0"/>
          <w:bCs w:val="0"/>
          <w:szCs w:val="22"/>
        </w:rPr>
        <w:t>rgest transport companies</w:t>
      </w:r>
      <w:r w:rsidRPr="003758A7">
        <w:rPr>
          <w:rFonts w:asciiTheme="minorHAnsi" w:eastAsia="Calibri" w:hAnsiTheme="minorHAnsi"/>
          <w:b w:val="0"/>
          <w:bCs w:val="0"/>
          <w:szCs w:val="22"/>
        </w:rPr>
        <w:t xml:space="preserve"> and businesses with leading expertise in truck technology. </w:t>
      </w:r>
    </w:p>
    <w:p w:rsidR="005629BD" w:rsidRPr="005629BD" w:rsidRDefault="005629BD" w:rsidP="005629BD">
      <w:pPr>
        <w:jc w:val="both"/>
        <w:rPr>
          <w:rFonts w:asciiTheme="minorHAnsi" w:eastAsia="Times New Roman" w:hAnsiTheme="minorHAnsi" w:cs="Arial"/>
          <w:bCs/>
        </w:rPr>
      </w:pPr>
    </w:p>
    <w:p w:rsidR="005629BD" w:rsidRPr="00166926" w:rsidRDefault="005629BD" w:rsidP="005629BD">
      <w:pPr>
        <w:pStyle w:val="Heading1"/>
        <w:keepNext/>
        <w:ind w:left="357" w:hanging="357"/>
        <w:jc w:val="both"/>
        <w:rPr>
          <w:rFonts w:asciiTheme="minorHAnsi" w:hAnsiTheme="minorHAnsi"/>
          <w:sz w:val="24"/>
          <w:szCs w:val="24"/>
        </w:rPr>
      </w:pPr>
      <w:bookmarkStart w:id="1" w:name="_Toc412201491"/>
      <w:bookmarkStart w:id="2" w:name="_Toc415230138"/>
      <w:r>
        <w:rPr>
          <w:rFonts w:asciiTheme="minorHAnsi" w:hAnsiTheme="minorHAnsi"/>
          <w:sz w:val="24"/>
          <w:szCs w:val="24"/>
        </w:rPr>
        <w:t>Summary of r</w:t>
      </w:r>
      <w:r w:rsidRPr="00166926">
        <w:rPr>
          <w:rFonts w:asciiTheme="minorHAnsi" w:hAnsiTheme="minorHAnsi"/>
          <w:sz w:val="24"/>
          <w:szCs w:val="24"/>
        </w:rPr>
        <w:t>ecommendation</w:t>
      </w:r>
      <w:r>
        <w:rPr>
          <w:rFonts w:asciiTheme="minorHAnsi" w:hAnsiTheme="minorHAnsi"/>
          <w:sz w:val="24"/>
          <w:szCs w:val="24"/>
        </w:rPr>
        <w:t>s</w:t>
      </w:r>
      <w:bookmarkEnd w:id="1"/>
      <w:bookmarkEnd w:id="2"/>
      <w:r w:rsidRPr="00166926">
        <w:rPr>
          <w:rFonts w:asciiTheme="minorHAnsi" w:hAnsiTheme="minorHAnsi"/>
          <w:noProof/>
          <w:color w:val="000000" w:themeColor="text1"/>
          <w:sz w:val="24"/>
          <w:szCs w:val="24"/>
        </w:rPr>
        <w:t xml:space="preserve"> </w:t>
      </w:r>
    </w:p>
    <w:p w:rsidR="005629BD" w:rsidRDefault="005629BD" w:rsidP="005629BD">
      <w:pPr>
        <w:keepNext/>
        <w:autoSpaceDE w:val="0"/>
        <w:autoSpaceDN w:val="0"/>
        <w:adjustRightInd w:val="0"/>
        <w:rPr>
          <w:sz w:val="20"/>
          <w:szCs w:val="20"/>
        </w:rPr>
      </w:pPr>
    </w:p>
    <w:p w:rsidR="00AF6FAC" w:rsidRDefault="00AF6FAC" w:rsidP="00AF6FAC">
      <w:pPr>
        <w:pStyle w:val="BodyText2"/>
        <w:spacing w:line="269" w:lineRule="auto"/>
        <w:rPr>
          <w:rFonts w:asciiTheme="minorHAnsi" w:hAnsiTheme="minorHAnsi"/>
          <w:bCs w:val="0"/>
          <w:szCs w:val="22"/>
        </w:rPr>
      </w:pPr>
      <w:r>
        <w:rPr>
          <w:rFonts w:asciiTheme="minorHAnsi" w:hAnsiTheme="minorHAnsi"/>
          <w:bCs w:val="0"/>
          <w:szCs w:val="22"/>
        </w:rPr>
        <w:t>Recommendation 1</w:t>
      </w:r>
    </w:p>
    <w:p w:rsidR="00AF6FAC" w:rsidRPr="00AF6FAC" w:rsidRDefault="00AF6FAC" w:rsidP="0026601A">
      <w:pPr>
        <w:pStyle w:val="BodyText2"/>
        <w:spacing w:line="269" w:lineRule="auto"/>
        <w:rPr>
          <w:rFonts w:asciiTheme="minorHAnsi" w:hAnsiTheme="minorHAnsi"/>
          <w:b w:val="0"/>
          <w:bCs w:val="0"/>
          <w:szCs w:val="22"/>
        </w:rPr>
      </w:pPr>
      <w:r w:rsidRPr="00AF6FAC">
        <w:rPr>
          <w:rFonts w:asciiTheme="minorHAnsi" w:hAnsiTheme="minorHAnsi"/>
          <w:b w:val="0"/>
          <w:bCs w:val="0"/>
          <w:szCs w:val="22"/>
        </w:rPr>
        <w:t xml:space="preserve">The </w:t>
      </w:r>
      <w:r>
        <w:rPr>
          <w:rFonts w:asciiTheme="minorHAnsi" w:hAnsiTheme="minorHAnsi"/>
          <w:b w:val="0"/>
          <w:bCs w:val="0"/>
          <w:szCs w:val="22"/>
        </w:rPr>
        <w:t>outcome</w:t>
      </w:r>
      <w:r w:rsidRPr="00AF6FAC">
        <w:rPr>
          <w:rFonts w:asciiTheme="minorHAnsi" w:hAnsiTheme="minorHAnsi"/>
          <w:b w:val="0"/>
          <w:bCs w:val="0"/>
          <w:szCs w:val="22"/>
        </w:rPr>
        <w:t xml:space="preserve"> of </w:t>
      </w:r>
      <w:r>
        <w:rPr>
          <w:rFonts w:asciiTheme="minorHAnsi" w:hAnsiTheme="minorHAnsi"/>
          <w:b w:val="0"/>
          <w:bCs w:val="0"/>
          <w:szCs w:val="22"/>
        </w:rPr>
        <w:t xml:space="preserve">the </w:t>
      </w:r>
      <w:r w:rsidR="00346388">
        <w:rPr>
          <w:rFonts w:asciiTheme="minorHAnsi" w:hAnsiTheme="minorHAnsi"/>
          <w:b w:val="0"/>
          <w:bCs w:val="0"/>
          <w:szCs w:val="22"/>
        </w:rPr>
        <w:t xml:space="preserve">national </w:t>
      </w:r>
      <w:r w:rsidR="00B6678E">
        <w:rPr>
          <w:rFonts w:asciiTheme="minorHAnsi" w:hAnsiTheme="minorHAnsi"/>
          <w:b w:val="0"/>
          <w:bCs w:val="0"/>
          <w:szCs w:val="22"/>
        </w:rPr>
        <w:t xml:space="preserve">heavy vehicle </w:t>
      </w:r>
      <w:r w:rsidRPr="00AF6FAC">
        <w:rPr>
          <w:rFonts w:asciiTheme="minorHAnsi" w:hAnsiTheme="minorHAnsi"/>
          <w:b w:val="0"/>
          <w:bCs w:val="0"/>
          <w:szCs w:val="22"/>
        </w:rPr>
        <w:t xml:space="preserve">roadworthiness </w:t>
      </w:r>
      <w:r>
        <w:rPr>
          <w:rFonts w:asciiTheme="minorHAnsi" w:hAnsiTheme="minorHAnsi"/>
          <w:b w:val="0"/>
          <w:bCs w:val="0"/>
          <w:szCs w:val="22"/>
        </w:rPr>
        <w:t>review</w:t>
      </w:r>
      <w:r w:rsidRPr="00AF6FAC">
        <w:rPr>
          <w:rFonts w:asciiTheme="minorHAnsi" w:hAnsiTheme="minorHAnsi"/>
          <w:b w:val="0"/>
          <w:bCs w:val="0"/>
          <w:szCs w:val="22"/>
        </w:rPr>
        <w:t xml:space="preserve"> </w:t>
      </w:r>
      <w:r>
        <w:rPr>
          <w:rFonts w:asciiTheme="minorHAnsi" w:hAnsiTheme="minorHAnsi"/>
          <w:b w:val="0"/>
          <w:bCs w:val="0"/>
          <w:szCs w:val="22"/>
        </w:rPr>
        <w:t>must include</w:t>
      </w:r>
      <w:r w:rsidRPr="00AF6FAC">
        <w:rPr>
          <w:rFonts w:asciiTheme="minorHAnsi" w:hAnsiTheme="minorHAnsi"/>
          <w:b w:val="0"/>
          <w:bCs w:val="0"/>
          <w:szCs w:val="22"/>
        </w:rPr>
        <w:t xml:space="preserve"> </w:t>
      </w:r>
      <w:r w:rsidR="00346388">
        <w:rPr>
          <w:rFonts w:asciiTheme="minorHAnsi" w:hAnsiTheme="minorHAnsi"/>
          <w:b w:val="0"/>
          <w:bCs w:val="0"/>
          <w:szCs w:val="22"/>
        </w:rPr>
        <w:t>reforms lead</w:t>
      </w:r>
      <w:r w:rsidR="009D4512">
        <w:rPr>
          <w:rFonts w:asciiTheme="minorHAnsi" w:hAnsiTheme="minorHAnsi"/>
          <w:b w:val="0"/>
          <w:bCs w:val="0"/>
          <w:szCs w:val="22"/>
        </w:rPr>
        <w:t>ing</w:t>
      </w:r>
      <w:r w:rsidR="00346388">
        <w:rPr>
          <w:rFonts w:asciiTheme="minorHAnsi" w:hAnsiTheme="minorHAnsi"/>
          <w:b w:val="0"/>
          <w:bCs w:val="0"/>
          <w:szCs w:val="22"/>
        </w:rPr>
        <w:t xml:space="preserve"> to a </w:t>
      </w:r>
      <w:r w:rsidRPr="00AF6FAC">
        <w:rPr>
          <w:rFonts w:asciiTheme="minorHAnsi" w:hAnsiTheme="minorHAnsi"/>
          <w:b w:val="0"/>
          <w:bCs w:val="0"/>
          <w:szCs w:val="22"/>
        </w:rPr>
        <w:t xml:space="preserve">uniform and consistent national </w:t>
      </w:r>
      <w:r w:rsidR="00346388">
        <w:rPr>
          <w:rFonts w:asciiTheme="minorHAnsi" w:hAnsiTheme="minorHAnsi"/>
          <w:b w:val="0"/>
          <w:bCs w:val="0"/>
          <w:szCs w:val="22"/>
        </w:rPr>
        <w:t>approach</w:t>
      </w:r>
      <w:r w:rsidR="00B6678E">
        <w:rPr>
          <w:rFonts w:asciiTheme="minorHAnsi" w:hAnsiTheme="minorHAnsi"/>
          <w:b w:val="0"/>
          <w:bCs w:val="0"/>
          <w:szCs w:val="22"/>
        </w:rPr>
        <w:t xml:space="preserve"> to enforcement</w:t>
      </w:r>
      <w:r w:rsidRPr="00AF6FAC">
        <w:rPr>
          <w:rFonts w:asciiTheme="minorHAnsi" w:hAnsiTheme="minorHAnsi"/>
          <w:b w:val="0"/>
          <w:bCs w:val="0"/>
          <w:szCs w:val="22"/>
        </w:rPr>
        <w:t>.</w:t>
      </w:r>
    </w:p>
    <w:p w:rsidR="00AF6FAC" w:rsidRDefault="00AF6FAC" w:rsidP="0026601A">
      <w:pPr>
        <w:pStyle w:val="BodyText2"/>
        <w:spacing w:line="269" w:lineRule="auto"/>
        <w:rPr>
          <w:rFonts w:asciiTheme="minorHAnsi" w:hAnsiTheme="minorHAnsi"/>
          <w:bCs w:val="0"/>
          <w:szCs w:val="22"/>
        </w:rPr>
      </w:pPr>
    </w:p>
    <w:p w:rsidR="00FF3324" w:rsidRPr="00FF3324" w:rsidRDefault="00FF3324" w:rsidP="00FF3324">
      <w:pPr>
        <w:pStyle w:val="BodyText2"/>
        <w:spacing w:line="269" w:lineRule="auto"/>
        <w:rPr>
          <w:rFonts w:asciiTheme="minorHAnsi" w:hAnsiTheme="minorHAnsi"/>
          <w:b w:val="0"/>
          <w:bCs w:val="0"/>
          <w:szCs w:val="22"/>
        </w:rPr>
      </w:pPr>
      <w:r>
        <w:rPr>
          <w:rFonts w:asciiTheme="minorHAnsi" w:hAnsiTheme="minorHAnsi"/>
          <w:bCs w:val="0"/>
          <w:szCs w:val="22"/>
        </w:rPr>
        <w:t xml:space="preserve">Recommendation </w:t>
      </w:r>
      <w:r w:rsidR="00A570EF">
        <w:rPr>
          <w:rFonts w:asciiTheme="minorHAnsi" w:hAnsiTheme="minorHAnsi"/>
          <w:bCs w:val="0"/>
          <w:szCs w:val="22"/>
        </w:rPr>
        <w:t>2</w:t>
      </w:r>
    </w:p>
    <w:p w:rsidR="00FF3324" w:rsidRDefault="00FF3324" w:rsidP="00FF3324">
      <w:pPr>
        <w:pStyle w:val="BodyText2"/>
        <w:spacing w:line="269" w:lineRule="auto"/>
        <w:rPr>
          <w:rFonts w:asciiTheme="minorHAnsi" w:hAnsiTheme="minorHAnsi"/>
          <w:b w:val="0"/>
          <w:bCs w:val="0"/>
          <w:szCs w:val="22"/>
        </w:rPr>
      </w:pPr>
      <w:r w:rsidRPr="00FF3324">
        <w:rPr>
          <w:rFonts w:asciiTheme="minorHAnsi" w:hAnsiTheme="minorHAnsi"/>
          <w:b w:val="0"/>
          <w:bCs w:val="0"/>
          <w:szCs w:val="22"/>
        </w:rPr>
        <w:t>T</w:t>
      </w:r>
      <w:r w:rsidR="009D4512">
        <w:rPr>
          <w:rFonts w:asciiTheme="minorHAnsi" w:hAnsiTheme="minorHAnsi"/>
          <w:b w:val="0"/>
          <w:bCs w:val="0"/>
          <w:szCs w:val="22"/>
        </w:rPr>
        <w:t>h</w:t>
      </w:r>
      <w:r w:rsidRPr="00FF3324">
        <w:rPr>
          <w:rFonts w:asciiTheme="minorHAnsi" w:hAnsiTheme="minorHAnsi"/>
          <w:b w:val="0"/>
          <w:bCs w:val="0"/>
          <w:szCs w:val="22"/>
        </w:rPr>
        <w:t>e chain of responsibility concept</w:t>
      </w:r>
      <w:r w:rsidR="009D4512">
        <w:rPr>
          <w:rFonts w:asciiTheme="minorHAnsi" w:hAnsiTheme="minorHAnsi"/>
          <w:b w:val="0"/>
          <w:bCs w:val="0"/>
          <w:szCs w:val="22"/>
        </w:rPr>
        <w:t xml:space="preserve"> should</w:t>
      </w:r>
      <w:r w:rsidRPr="00FF3324">
        <w:rPr>
          <w:rFonts w:asciiTheme="minorHAnsi" w:hAnsiTheme="minorHAnsi"/>
          <w:b w:val="0"/>
          <w:bCs w:val="0"/>
          <w:szCs w:val="22"/>
        </w:rPr>
        <w:t xml:space="preserve"> be extended to vehicle roadworthiness by implementing the recommendations in the ATA submission to the chain of responsibility duties review</w:t>
      </w:r>
    </w:p>
    <w:p w:rsidR="00FF3324" w:rsidRPr="00FF3324" w:rsidRDefault="00FF3324" w:rsidP="00FF3324">
      <w:pPr>
        <w:pStyle w:val="BodyText2"/>
        <w:spacing w:line="269" w:lineRule="auto"/>
        <w:rPr>
          <w:rFonts w:asciiTheme="minorHAnsi" w:hAnsiTheme="minorHAnsi"/>
          <w:b w:val="0"/>
          <w:bCs w:val="0"/>
          <w:szCs w:val="22"/>
        </w:rPr>
      </w:pPr>
    </w:p>
    <w:p w:rsidR="00AF6FAC" w:rsidRDefault="00AF6FAC" w:rsidP="00AF6FAC">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A570EF">
        <w:rPr>
          <w:rFonts w:asciiTheme="minorHAnsi" w:hAnsiTheme="minorHAnsi"/>
          <w:bCs w:val="0"/>
          <w:szCs w:val="22"/>
        </w:rPr>
        <w:t>3</w:t>
      </w:r>
    </w:p>
    <w:p w:rsidR="00AF6FAC" w:rsidRPr="00FF3324" w:rsidRDefault="00AF6FAC" w:rsidP="00AF6FAC">
      <w:pPr>
        <w:pStyle w:val="BodyText2"/>
        <w:spacing w:line="269" w:lineRule="auto"/>
        <w:rPr>
          <w:rFonts w:asciiTheme="minorHAnsi" w:hAnsiTheme="minorHAnsi"/>
          <w:b w:val="0"/>
          <w:bCs w:val="0"/>
          <w:szCs w:val="22"/>
        </w:rPr>
      </w:pPr>
      <w:r w:rsidRPr="00FF3324">
        <w:rPr>
          <w:rFonts w:asciiTheme="minorHAnsi" w:hAnsiTheme="minorHAnsi"/>
          <w:b w:val="0"/>
          <w:bCs w:val="0"/>
          <w:szCs w:val="22"/>
        </w:rPr>
        <w:t>Governments should fund a major case-control study to provide more information about the links between vehicle inspections, vehicle roadworthiness and accidents, to inform future decisions about the effectiveness of mandatory scheduled inspections.</w:t>
      </w:r>
    </w:p>
    <w:p w:rsidR="00AF6FAC" w:rsidRDefault="00AF6FAC" w:rsidP="00FF3324">
      <w:pPr>
        <w:pStyle w:val="BodyText2"/>
        <w:spacing w:line="269" w:lineRule="auto"/>
        <w:rPr>
          <w:rFonts w:asciiTheme="minorHAnsi" w:hAnsiTheme="minorHAnsi"/>
          <w:bCs w:val="0"/>
          <w:szCs w:val="22"/>
        </w:rPr>
      </w:pPr>
    </w:p>
    <w:p w:rsidR="00F4732B" w:rsidRDefault="00F4732B" w:rsidP="00F4732B">
      <w:pPr>
        <w:pStyle w:val="BodyText2"/>
        <w:spacing w:line="269" w:lineRule="auto"/>
        <w:rPr>
          <w:rFonts w:asciiTheme="minorHAnsi" w:hAnsiTheme="minorHAnsi"/>
          <w:bCs w:val="0"/>
          <w:szCs w:val="22"/>
        </w:rPr>
      </w:pPr>
      <w:r>
        <w:rPr>
          <w:rFonts w:asciiTheme="minorHAnsi" w:hAnsiTheme="minorHAnsi"/>
          <w:bCs w:val="0"/>
          <w:szCs w:val="22"/>
        </w:rPr>
        <w:t>Recommendation 4</w:t>
      </w:r>
    </w:p>
    <w:p w:rsidR="00F4732B" w:rsidRDefault="00F4732B" w:rsidP="00F4732B">
      <w:pPr>
        <w:pStyle w:val="BodyText2"/>
        <w:spacing w:line="269" w:lineRule="auto"/>
        <w:rPr>
          <w:rFonts w:asciiTheme="minorHAnsi" w:hAnsiTheme="minorHAnsi"/>
          <w:b w:val="0"/>
          <w:bCs w:val="0"/>
          <w:szCs w:val="22"/>
        </w:rPr>
      </w:pPr>
      <w:r>
        <w:rPr>
          <w:rFonts w:asciiTheme="minorHAnsi" w:hAnsiTheme="minorHAnsi"/>
          <w:b w:val="0"/>
          <w:bCs w:val="0"/>
          <w:szCs w:val="22"/>
        </w:rPr>
        <w:t>The</w:t>
      </w:r>
      <w:r w:rsidRPr="00FF3324">
        <w:rPr>
          <w:rFonts w:asciiTheme="minorHAnsi" w:hAnsiTheme="minorHAnsi"/>
          <w:b w:val="0"/>
          <w:bCs w:val="0"/>
          <w:szCs w:val="22"/>
        </w:rPr>
        <w:t xml:space="preserve"> NHVR should focus on establishing better systems for targeting operators</w:t>
      </w:r>
      <w:r>
        <w:rPr>
          <w:rFonts w:asciiTheme="minorHAnsi" w:hAnsiTheme="minorHAnsi"/>
          <w:b w:val="0"/>
          <w:bCs w:val="0"/>
          <w:szCs w:val="22"/>
        </w:rPr>
        <w:t xml:space="preserve"> through on-road and other enforcement measures to ensure vehicle roadworthiness 365 days a year, and to address the high level of defects found in broad industry enforcement campaigns</w:t>
      </w:r>
      <w:r w:rsidRPr="00FF3324">
        <w:rPr>
          <w:rFonts w:asciiTheme="minorHAnsi" w:hAnsiTheme="minorHAnsi"/>
          <w:b w:val="0"/>
          <w:bCs w:val="0"/>
          <w:szCs w:val="22"/>
        </w:rPr>
        <w:t>.</w:t>
      </w:r>
    </w:p>
    <w:p w:rsidR="00F4732B" w:rsidRPr="00FF3324" w:rsidRDefault="00F4732B" w:rsidP="00F4732B">
      <w:pPr>
        <w:pStyle w:val="BodyText2"/>
        <w:spacing w:line="269" w:lineRule="auto"/>
        <w:rPr>
          <w:rFonts w:asciiTheme="minorHAnsi" w:hAnsiTheme="minorHAnsi"/>
          <w:b w:val="0"/>
          <w:bCs w:val="0"/>
          <w:szCs w:val="22"/>
        </w:rPr>
      </w:pPr>
    </w:p>
    <w:p w:rsidR="00AF6FAC" w:rsidRDefault="00AF6FAC" w:rsidP="00AF6FAC">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F4732B">
        <w:rPr>
          <w:rFonts w:asciiTheme="minorHAnsi" w:hAnsiTheme="minorHAnsi"/>
          <w:bCs w:val="0"/>
          <w:szCs w:val="22"/>
        </w:rPr>
        <w:t>5</w:t>
      </w:r>
    </w:p>
    <w:p w:rsidR="00FF3324" w:rsidRDefault="00FF3324" w:rsidP="00FF3324">
      <w:pPr>
        <w:pStyle w:val="BodyText2"/>
        <w:spacing w:line="269" w:lineRule="auto"/>
        <w:rPr>
          <w:rFonts w:asciiTheme="minorHAnsi" w:hAnsiTheme="minorHAnsi"/>
          <w:b w:val="0"/>
          <w:bCs w:val="0"/>
          <w:szCs w:val="22"/>
        </w:rPr>
      </w:pPr>
      <w:r w:rsidRPr="00FF3324">
        <w:rPr>
          <w:rFonts w:asciiTheme="minorHAnsi" w:hAnsiTheme="minorHAnsi"/>
          <w:b w:val="0"/>
          <w:bCs w:val="0"/>
          <w:szCs w:val="22"/>
        </w:rPr>
        <w:t xml:space="preserve">If the NTC adopts Option 3 (sub-option </w:t>
      </w:r>
      <w:r w:rsidR="0048236F">
        <w:rPr>
          <w:rFonts w:asciiTheme="minorHAnsi" w:hAnsiTheme="minorHAnsi"/>
          <w:b w:val="0"/>
          <w:bCs w:val="0"/>
          <w:szCs w:val="22"/>
        </w:rPr>
        <w:t>c</w:t>
      </w:r>
      <w:r w:rsidRPr="00FF3324">
        <w:rPr>
          <w:rFonts w:asciiTheme="minorHAnsi" w:hAnsiTheme="minorHAnsi"/>
          <w:b w:val="0"/>
          <w:bCs w:val="0"/>
          <w:szCs w:val="22"/>
        </w:rPr>
        <w:t>), and seeks to exempt new vehicles under OEM contract maintenance from regular inspections, the following approach should be adopted:</w:t>
      </w:r>
    </w:p>
    <w:p w:rsidR="00FF3324" w:rsidRPr="00FF3324" w:rsidRDefault="00FF3324" w:rsidP="00FF3324">
      <w:pPr>
        <w:pStyle w:val="BodyText2"/>
        <w:spacing w:line="269" w:lineRule="auto"/>
        <w:rPr>
          <w:rFonts w:asciiTheme="minorHAnsi" w:hAnsiTheme="minorHAnsi"/>
          <w:b w:val="0"/>
          <w:bCs w:val="0"/>
          <w:szCs w:val="22"/>
        </w:rPr>
      </w:pPr>
    </w:p>
    <w:p w:rsidR="00FF3324" w:rsidRPr="00FF3324" w:rsidRDefault="00FF3324" w:rsidP="00FF3324">
      <w:pPr>
        <w:pStyle w:val="BodyText2"/>
        <w:numPr>
          <w:ilvl w:val="0"/>
          <w:numId w:val="28"/>
        </w:numPr>
        <w:spacing w:line="269" w:lineRule="auto"/>
        <w:rPr>
          <w:rFonts w:asciiTheme="minorHAnsi" w:hAnsiTheme="minorHAnsi"/>
          <w:b w:val="0"/>
          <w:bCs w:val="0"/>
          <w:szCs w:val="22"/>
        </w:rPr>
      </w:pPr>
      <w:r w:rsidRPr="00FF3324">
        <w:rPr>
          <w:rFonts w:asciiTheme="minorHAnsi" w:hAnsiTheme="minorHAnsi"/>
          <w:b w:val="0"/>
          <w:bCs w:val="0"/>
          <w:szCs w:val="22"/>
        </w:rPr>
        <w:t>The exemption should be available to all maintenance facilities providing maintenance in accordance with OEM service schedules</w:t>
      </w:r>
    </w:p>
    <w:p w:rsidR="00FF3324" w:rsidRPr="00FF3324" w:rsidRDefault="00FF3324" w:rsidP="00FF3324">
      <w:pPr>
        <w:pStyle w:val="BodyText2"/>
        <w:numPr>
          <w:ilvl w:val="0"/>
          <w:numId w:val="28"/>
        </w:numPr>
        <w:spacing w:line="269" w:lineRule="auto"/>
        <w:rPr>
          <w:rFonts w:asciiTheme="minorHAnsi" w:hAnsiTheme="minorHAnsi"/>
          <w:b w:val="0"/>
          <w:bCs w:val="0"/>
          <w:szCs w:val="22"/>
        </w:rPr>
      </w:pPr>
      <w:r w:rsidRPr="00FF3324">
        <w:rPr>
          <w:rFonts w:asciiTheme="minorHAnsi" w:hAnsiTheme="minorHAnsi"/>
          <w:b w:val="0"/>
          <w:bCs w:val="0"/>
          <w:szCs w:val="22"/>
        </w:rPr>
        <w:t>Service schedules must be approved by the NHVR.</w:t>
      </w:r>
    </w:p>
    <w:p w:rsidR="00FF3324" w:rsidRDefault="00FF3324" w:rsidP="00FF3324">
      <w:pPr>
        <w:pStyle w:val="BodyText2"/>
        <w:spacing w:line="269" w:lineRule="auto"/>
        <w:rPr>
          <w:rFonts w:asciiTheme="minorHAnsi" w:hAnsiTheme="minorHAnsi"/>
          <w:b w:val="0"/>
          <w:bCs w:val="0"/>
          <w:szCs w:val="22"/>
        </w:rPr>
      </w:pPr>
    </w:p>
    <w:p w:rsidR="00FF3324" w:rsidRDefault="00FF3324" w:rsidP="00FF3324">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AF6FAC">
        <w:rPr>
          <w:rFonts w:asciiTheme="minorHAnsi" w:hAnsiTheme="minorHAnsi"/>
          <w:bCs w:val="0"/>
          <w:szCs w:val="22"/>
        </w:rPr>
        <w:t>6</w:t>
      </w:r>
    </w:p>
    <w:p w:rsidR="00FF3324" w:rsidRPr="00FF3324" w:rsidRDefault="00346388" w:rsidP="00FF3324">
      <w:pPr>
        <w:pStyle w:val="BodyText2"/>
        <w:spacing w:line="269" w:lineRule="auto"/>
        <w:rPr>
          <w:rFonts w:asciiTheme="minorHAnsi" w:hAnsiTheme="minorHAnsi"/>
          <w:b w:val="0"/>
          <w:bCs w:val="0"/>
          <w:szCs w:val="22"/>
        </w:rPr>
      </w:pPr>
      <w:r>
        <w:rPr>
          <w:rFonts w:asciiTheme="minorHAnsi" w:hAnsiTheme="minorHAnsi"/>
          <w:b w:val="0"/>
          <w:bCs w:val="0"/>
          <w:szCs w:val="22"/>
        </w:rPr>
        <w:t>V</w:t>
      </w:r>
      <w:r w:rsidR="00FF3324" w:rsidRPr="00FF3324">
        <w:rPr>
          <w:rFonts w:asciiTheme="minorHAnsi" w:hAnsiTheme="minorHAnsi"/>
          <w:b w:val="0"/>
          <w:bCs w:val="0"/>
          <w:szCs w:val="22"/>
        </w:rPr>
        <w:t>ehicles in robust accreditation schemes should not be subject to mandatory scheduled inspections as well. The design of the sampling system should provide adequate assurance that vehicles are roadworthy.</w:t>
      </w:r>
    </w:p>
    <w:p w:rsidR="00FF3324" w:rsidRPr="00FF3324" w:rsidRDefault="00FF3324" w:rsidP="00FF3324">
      <w:pPr>
        <w:pStyle w:val="BodyText2"/>
        <w:spacing w:line="269" w:lineRule="auto"/>
        <w:rPr>
          <w:rFonts w:asciiTheme="minorHAnsi" w:hAnsiTheme="minorHAnsi"/>
          <w:b w:val="0"/>
          <w:bCs w:val="0"/>
          <w:szCs w:val="22"/>
        </w:rPr>
      </w:pPr>
    </w:p>
    <w:p w:rsidR="00FF3324" w:rsidRDefault="00FF3324" w:rsidP="00FF3324">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AF6FAC">
        <w:rPr>
          <w:rFonts w:asciiTheme="minorHAnsi" w:hAnsiTheme="minorHAnsi"/>
          <w:bCs w:val="0"/>
          <w:szCs w:val="22"/>
        </w:rPr>
        <w:t>7</w:t>
      </w:r>
    </w:p>
    <w:p w:rsidR="00FF3324" w:rsidRPr="00FF3324" w:rsidRDefault="00FF3324" w:rsidP="00FF3324">
      <w:pPr>
        <w:pStyle w:val="BodyText2"/>
        <w:spacing w:line="269" w:lineRule="auto"/>
        <w:rPr>
          <w:rFonts w:asciiTheme="minorHAnsi" w:hAnsiTheme="minorHAnsi"/>
          <w:b w:val="0"/>
          <w:bCs w:val="0"/>
          <w:szCs w:val="22"/>
        </w:rPr>
      </w:pPr>
      <w:r w:rsidRPr="00FF3324">
        <w:rPr>
          <w:rFonts w:asciiTheme="minorHAnsi" w:hAnsiTheme="minorHAnsi"/>
          <w:b w:val="0"/>
          <w:bCs w:val="0"/>
          <w:szCs w:val="22"/>
        </w:rPr>
        <w:t xml:space="preserve">Small fleets should be protected from disproportionate costs arising from the sampling approach used in robust accreditation schemes. </w:t>
      </w:r>
    </w:p>
    <w:p w:rsidR="00FF3324" w:rsidRDefault="00FF3324" w:rsidP="00FF3324">
      <w:pPr>
        <w:pStyle w:val="BodyText2"/>
        <w:spacing w:line="269" w:lineRule="auto"/>
        <w:rPr>
          <w:rFonts w:asciiTheme="minorHAnsi" w:hAnsiTheme="minorHAnsi"/>
          <w:b w:val="0"/>
          <w:bCs w:val="0"/>
          <w:szCs w:val="22"/>
        </w:rPr>
      </w:pPr>
    </w:p>
    <w:p w:rsidR="00FF3324" w:rsidRDefault="00FF3324" w:rsidP="00FF3324">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AF6FAC">
        <w:rPr>
          <w:rFonts w:asciiTheme="minorHAnsi" w:hAnsiTheme="minorHAnsi"/>
          <w:bCs w:val="0"/>
          <w:szCs w:val="22"/>
        </w:rPr>
        <w:t>8</w:t>
      </w:r>
    </w:p>
    <w:p w:rsidR="00FF3324" w:rsidRPr="00FF3324" w:rsidRDefault="00FF3324" w:rsidP="00FF3324">
      <w:pPr>
        <w:pStyle w:val="BodyText2"/>
        <w:spacing w:line="269" w:lineRule="auto"/>
        <w:rPr>
          <w:rFonts w:asciiTheme="minorHAnsi" w:hAnsiTheme="minorHAnsi"/>
          <w:b w:val="0"/>
          <w:bCs w:val="0"/>
          <w:szCs w:val="22"/>
        </w:rPr>
      </w:pPr>
      <w:r w:rsidRPr="00FF3324">
        <w:rPr>
          <w:rFonts w:asciiTheme="minorHAnsi" w:hAnsiTheme="minorHAnsi"/>
          <w:b w:val="0"/>
          <w:bCs w:val="0"/>
          <w:szCs w:val="22"/>
        </w:rPr>
        <w:t>If vehicles in robust accreditation schemes are not subject to scheduled inspections, the exemption should be available to all accreditation schemes that are registered and that meet the robustness criteria. The exemption should not solely be available to vehicles in NHVAS Maintenance</w:t>
      </w:r>
      <w:r w:rsidR="00C01855">
        <w:rPr>
          <w:rFonts w:asciiTheme="minorHAnsi" w:hAnsiTheme="minorHAnsi"/>
          <w:b w:val="0"/>
          <w:bCs w:val="0"/>
          <w:szCs w:val="22"/>
        </w:rPr>
        <w:t>, if it is upgraded to meet the robustness criteria</w:t>
      </w:r>
      <w:r w:rsidRPr="00FF3324">
        <w:rPr>
          <w:rFonts w:asciiTheme="minorHAnsi" w:hAnsiTheme="minorHAnsi"/>
          <w:b w:val="0"/>
          <w:bCs w:val="0"/>
          <w:szCs w:val="22"/>
        </w:rPr>
        <w:t xml:space="preserve">. </w:t>
      </w:r>
    </w:p>
    <w:p w:rsidR="00FF3324" w:rsidRPr="00FF3324" w:rsidRDefault="00FF3324" w:rsidP="00FF3324">
      <w:pPr>
        <w:pStyle w:val="BodyText2"/>
        <w:spacing w:line="269" w:lineRule="auto"/>
        <w:rPr>
          <w:rFonts w:asciiTheme="minorHAnsi" w:hAnsiTheme="minorHAnsi"/>
          <w:b w:val="0"/>
          <w:bCs w:val="0"/>
          <w:szCs w:val="22"/>
        </w:rPr>
      </w:pPr>
    </w:p>
    <w:p w:rsidR="00FF3324" w:rsidRDefault="00FF3324" w:rsidP="00FF3324">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AF6FAC">
        <w:rPr>
          <w:rFonts w:asciiTheme="minorHAnsi" w:hAnsiTheme="minorHAnsi"/>
          <w:bCs w:val="0"/>
          <w:szCs w:val="22"/>
        </w:rPr>
        <w:t>9</w:t>
      </w:r>
    </w:p>
    <w:p w:rsidR="00FF3324" w:rsidRDefault="00FF3324" w:rsidP="00FF3324">
      <w:pPr>
        <w:pStyle w:val="BodyText2"/>
        <w:spacing w:line="269" w:lineRule="auto"/>
        <w:rPr>
          <w:rFonts w:asciiTheme="minorHAnsi" w:hAnsiTheme="minorHAnsi"/>
          <w:b w:val="0"/>
          <w:bCs w:val="0"/>
          <w:szCs w:val="22"/>
        </w:rPr>
      </w:pPr>
      <w:r w:rsidRPr="00FF3324">
        <w:rPr>
          <w:rFonts w:asciiTheme="minorHAnsi" w:hAnsiTheme="minorHAnsi"/>
          <w:b w:val="0"/>
          <w:bCs w:val="0"/>
          <w:szCs w:val="22"/>
        </w:rPr>
        <w:t>Annual and other periodic inspections should be able to be undertaken by qualified third party providers</w:t>
      </w:r>
      <w:r w:rsidR="001F52CF">
        <w:rPr>
          <w:rFonts w:asciiTheme="minorHAnsi" w:hAnsiTheme="minorHAnsi"/>
          <w:b w:val="0"/>
          <w:bCs w:val="0"/>
          <w:szCs w:val="22"/>
        </w:rPr>
        <w:t>.</w:t>
      </w:r>
    </w:p>
    <w:p w:rsidR="001F52CF" w:rsidRDefault="001F52CF" w:rsidP="00FF3324">
      <w:pPr>
        <w:pStyle w:val="BodyText2"/>
        <w:spacing w:line="269" w:lineRule="auto"/>
        <w:rPr>
          <w:rFonts w:asciiTheme="minorHAnsi" w:hAnsiTheme="minorHAnsi"/>
          <w:b w:val="0"/>
          <w:bCs w:val="0"/>
          <w:szCs w:val="22"/>
        </w:rPr>
      </w:pPr>
    </w:p>
    <w:p w:rsidR="005629BD" w:rsidRDefault="005629BD" w:rsidP="005629BD">
      <w:pPr>
        <w:pStyle w:val="Heading1"/>
        <w:ind w:left="357" w:hanging="357"/>
        <w:rPr>
          <w:rFonts w:asciiTheme="minorHAnsi" w:hAnsiTheme="minorHAnsi"/>
          <w:sz w:val="24"/>
          <w:szCs w:val="24"/>
          <w:highlight w:val="white"/>
          <w:lang w:eastAsia="en-AU"/>
        </w:rPr>
      </w:pPr>
      <w:bookmarkStart w:id="3" w:name="_Toc415230139"/>
      <w:r>
        <w:rPr>
          <w:rFonts w:asciiTheme="minorHAnsi" w:hAnsiTheme="minorHAnsi"/>
          <w:sz w:val="24"/>
          <w:szCs w:val="24"/>
          <w:highlight w:val="white"/>
          <w:lang w:eastAsia="en-AU"/>
        </w:rPr>
        <w:t>Introduction</w:t>
      </w:r>
      <w:bookmarkEnd w:id="3"/>
    </w:p>
    <w:p w:rsidR="005629BD" w:rsidRDefault="005629BD" w:rsidP="005629BD">
      <w:pPr>
        <w:rPr>
          <w:highlight w:val="white"/>
          <w:lang w:eastAsia="en-AU"/>
        </w:rPr>
      </w:pPr>
    </w:p>
    <w:p w:rsidR="005629BD" w:rsidRDefault="005629BD" w:rsidP="005629BD">
      <w:pPr>
        <w:pStyle w:val="BodyText2"/>
        <w:spacing w:line="269" w:lineRule="auto"/>
        <w:rPr>
          <w:rFonts w:asciiTheme="minorHAnsi" w:hAnsiTheme="minorHAnsi"/>
          <w:b w:val="0"/>
          <w:bCs w:val="0"/>
          <w:szCs w:val="22"/>
        </w:rPr>
      </w:pPr>
      <w:r w:rsidRPr="005629BD">
        <w:rPr>
          <w:rFonts w:asciiTheme="minorHAnsi" w:hAnsiTheme="minorHAnsi"/>
          <w:b w:val="0"/>
          <w:bCs w:val="0"/>
          <w:szCs w:val="22"/>
        </w:rPr>
        <w:t>In 2014</w:t>
      </w:r>
      <w:r w:rsidR="00EB06D2">
        <w:rPr>
          <w:rFonts w:asciiTheme="minorHAnsi" w:hAnsiTheme="minorHAnsi"/>
          <w:b w:val="0"/>
          <w:bCs w:val="0"/>
          <w:szCs w:val="22"/>
        </w:rPr>
        <w:t>,</w:t>
      </w:r>
      <w:r w:rsidRPr="005629BD">
        <w:rPr>
          <w:rFonts w:asciiTheme="minorHAnsi" w:hAnsiTheme="minorHAnsi"/>
          <w:b w:val="0"/>
          <w:bCs w:val="0"/>
          <w:szCs w:val="22"/>
        </w:rPr>
        <w:t xml:space="preserve"> the NTC embarked (in cooperation with the NHVR) on a national review of heavy vehicle roadworthiness policies, enforcement approach</w:t>
      </w:r>
      <w:bookmarkStart w:id="4" w:name="_GoBack"/>
      <w:bookmarkEnd w:id="4"/>
      <w:r w:rsidRPr="005629BD">
        <w:rPr>
          <w:rFonts w:asciiTheme="minorHAnsi" w:hAnsiTheme="minorHAnsi"/>
          <w:b w:val="0"/>
          <w:bCs w:val="0"/>
          <w:szCs w:val="22"/>
        </w:rPr>
        <w:t>es and compliance practices. In January</w:t>
      </w:r>
      <w:r w:rsidR="00650771">
        <w:rPr>
          <w:rFonts w:asciiTheme="minorHAnsi" w:hAnsiTheme="minorHAnsi"/>
          <w:b w:val="0"/>
          <w:bCs w:val="0"/>
          <w:szCs w:val="22"/>
        </w:rPr>
        <w:t xml:space="preserve"> 2015</w:t>
      </w:r>
      <w:r w:rsidRPr="005629BD">
        <w:rPr>
          <w:rFonts w:asciiTheme="minorHAnsi" w:hAnsiTheme="minorHAnsi"/>
          <w:b w:val="0"/>
          <w:bCs w:val="0"/>
          <w:szCs w:val="22"/>
        </w:rPr>
        <w:t>, the NTC released a regulatory impact statement (RIS) for consultation. A</w:t>
      </w:r>
      <w:r w:rsidR="00650771">
        <w:rPr>
          <w:rFonts w:asciiTheme="minorHAnsi" w:hAnsiTheme="minorHAnsi"/>
          <w:b w:val="0"/>
          <w:bCs w:val="0"/>
          <w:szCs w:val="22"/>
        </w:rPr>
        <w:t xml:space="preserve"> </w:t>
      </w:r>
      <w:r w:rsidR="00A8565B">
        <w:rPr>
          <w:rFonts w:asciiTheme="minorHAnsi" w:hAnsiTheme="minorHAnsi"/>
          <w:b w:val="0"/>
          <w:bCs w:val="0"/>
          <w:szCs w:val="22"/>
        </w:rPr>
        <w:t xml:space="preserve">position </w:t>
      </w:r>
      <w:r w:rsidRPr="005629BD">
        <w:rPr>
          <w:rFonts w:asciiTheme="minorHAnsi" w:hAnsiTheme="minorHAnsi"/>
          <w:b w:val="0"/>
          <w:bCs w:val="0"/>
          <w:szCs w:val="22"/>
        </w:rPr>
        <w:t xml:space="preserve">paper will be put to </w:t>
      </w:r>
      <w:r w:rsidR="00EB06D2">
        <w:rPr>
          <w:rFonts w:asciiTheme="minorHAnsi" w:hAnsiTheme="minorHAnsi"/>
          <w:b w:val="0"/>
          <w:bCs w:val="0"/>
          <w:szCs w:val="22"/>
        </w:rPr>
        <w:t>m</w:t>
      </w:r>
      <w:r w:rsidRPr="005629BD">
        <w:rPr>
          <w:rFonts w:asciiTheme="minorHAnsi" w:hAnsiTheme="minorHAnsi"/>
          <w:b w:val="0"/>
          <w:bCs w:val="0"/>
          <w:szCs w:val="22"/>
        </w:rPr>
        <w:t>inisters</w:t>
      </w:r>
      <w:r w:rsidR="00650771">
        <w:rPr>
          <w:rFonts w:asciiTheme="minorHAnsi" w:hAnsiTheme="minorHAnsi"/>
          <w:b w:val="0"/>
          <w:bCs w:val="0"/>
          <w:szCs w:val="22"/>
        </w:rPr>
        <w:t xml:space="preserve"> by the NTC</w:t>
      </w:r>
      <w:r w:rsidRPr="005629BD">
        <w:rPr>
          <w:rFonts w:asciiTheme="minorHAnsi" w:hAnsiTheme="minorHAnsi"/>
          <w:b w:val="0"/>
          <w:bCs w:val="0"/>
          <w:szCs w:val="22"/>
        </w:rPr>
        <w:t xml:space="preserve"> </w:t>
      </w:r>
      <w:r w:rsidR="00650771">
        <w:rPr>
          <w:rFonts w:asciiTheme="minorHAnsi" w:hAnsiTheme="minorHAnsi"/>
          <w:b w:val="0"/>
          <w:bCs w:val="0"/>
          <w:szCs w:val="22"/>
        </w:rPr>
        <w:t>later in the year</w:t>
      </w:r>
      <w:r w:rsidR="00A8565B">
        <w:rPr>
          <w:rFonts w:asciiTheme="minorHAnsi" w:hAnsiTheme="minorHAnsi"/>
          <w:b w:val="0"/>
          <w:bCs w:val="0"/>
          <w:szCs w:val="22"/>
        </w:rPr>
        <w:t xml:space="preserve"> after </w:t>
      </w:r>
      <w:r w:rsidR="00650771">
        <w:rPr>
          <w:rFonts w:asciiTheme="minorHAnsi" w:hAnsiTheme="minorHAnsi"/>
          <w:b w:val="0"/>
          <w:bCs w:val="0"/>
          <w:szCs w:val="22"/>
        </w:rPr>
        <w:t xml:space="preserve">the consultation and </w:t>
      </w:r>
      <w:r w:rsidR="00A8565B">
        <w:rPr>
          <w:rFonts w:asciiTheme="minorHAnsi" w:hAnsiTheme="minorHAnsi"/>
          <w:b w:val="0"/>
          <w:bCs w:val="0"/>
          <w:szCs w:val="22"/>
        </w:rPr>
        <w:t>analysis</w:t>
      </w:r>
      <w:r w:rsidR="00650771">
        <w:rPr>
          <w:rFonts w:asciiTheme="minorHAnsi" w:hAnsiTheme="minorHAnsi"/>
          <w:b w:val="0"/>
          <w:bCs w:val="0"/>
          <w:szCs w:val="22"/>
        </w:rPr>
        <w:t xml:space="preserve"> phases have</w:t>
      </w:r>
      <w:r w:rsidR="00A8565B">
        <w:rPr>
          <w:rFonts w:asciiTheme="minorHAnsi" w:hAnsiTheme="minorHAnsi"/>
          <w:b w:val="0"/>
          <w:bCs w:val="0"/>
          <w:szCs w:val="22"/>
        </w:rPr>
        <w:t xml:space="preserve"> concluded.</w:t>
      </w:r>
    </w:p>
    <w:p w:rsidR="00A8565B" w:rsidRPr="005629BD" w:rsidRDefault="00A8565B" w:rsidP="005629BD">
      <w:pPr>
        <w:pStyle w:val="BodyText2"/>
        <w:spacing w:line="269" w:lineRule="auto"/>
        <w:rPr>
          <w:rFonts w:asciiTheme="minorHAnsi" w:hAnsiTheme="minorHAnsi"/>
          <w:b w:val="0"/>
          <w:bCs w:val="0"/>
          <w:szCs w:val="22"/>
        </w:rPr>
      </w:pPr>
    </w:p>
    <w:p w:rsidR="007D3E06" w:rsidRDefault="007D3E06" w:rsidP="007D3E06">
      <w:pPr>
        <w:pStyle w:val="BodyText2"/>
        <w:spacing w:line="269" w:lineRule="auto"/>
        <w:rPr>
          <w:rFonts w:asciiTheme="minorHAnsi" w:hAnsiTheme="minorHAnsi"/>
          <w:b w:val="0"/>
          <w:bCs w:val="0"/>
          <w:szCs w:val="22"/>
        </w:rPr>
      </w:pPr>
      <w:r w:rsidRPr="005629BD">
        <w:rPr>
          <w:rFonts w:asciiTheme="minorHAnsi" w:hAnsiTheme="minorHAnsi"/>
          <w:b w:val="0"/>
          <w:bCs w:val="0"/>
          <w:szCs w:val="22"/>
        </w:rPr>
        <w:t xml:space="preserve">The RIS </w:t>
      </w:r>
      <w:r>
        <w:rPr>
          <w:rFonts w:asciiTheme="minorHAnsi" w:hAnsiTheme="minorHAnsi"/>
          <w:b w:val="0"/>
          <w:bCs w:val="0"/>
          <w:szCs w:val="22"/>
        </w:rPr>
        <w:t xml:space="preserve">incorporates </w:t>
      </w:r>
      <w:r w:rsidRPr="005629BD">
        <w:rPr>
          <w:rFonts w:asciiTheme="minorHAnsi" w:hAnsiTheme="minorHAnsi"/>
          <w:b w:val="0"/>
          <w:bCs w:val="0"/>
          <w:szCs w:val="22"/>
        </w:rPr>
        <w:t>a cost benefit analysis</w:t>
      </w:r>
      <w:r>
        <w:rPr>
          <w:rStyle w:val="FootnoteReference"/>
          <w:rFonts w:asciiTheme="minorHAnsi" w:hAnsiTheme="minorHAnsi"/>
          <w:b w:val="0"/>
          <w:bCs w:val="0"/>
          <w:szCs w:val="22"/>
        </w:rPr>
        <w:footnoteReference w:id="1"/>
      </w:r>
      <w:r w:rsidRPr="005629BD">
        <w:rPr>
          <w:rFonts w:asciiTheme="minorHAnsi" w:hAnsiTheme="minorHAnsi"/>
          <w:b w:val="0"/>
          <w:bCs w:val="0"/>
          <w:szCs w:val="22"/>
        </w:rPr>
        <w:t xml:space="preserve"> focus</w:t>
      </w:r>
      <w:r>
        <w:rPr>
          <w:rFonts w:asciiTheme="minorHAnsi" w:hAnsiTheme="minorHAnsi"/>
          <w:b w:val="0"/>
          <w:bCs w:val="0"/>
          <w:szCs w:val="22"/>
        </w:rPr>
        <w:t>ing</w:t>
      </w:r>
      <w:r w:rsidRPr="005629BD">
        <w:rPr>
          <w:rFonts w:asciiTheme="minorHAnsi" w:hAnsiTheme="minorHAnsi"/>
          <w:b w:val="0"/>
          <w:bCs w:val="0"/>
          <w:szCs w:val="22"/>
        </w:rPr>
        <w:t xml:space="preserve"> on </w:t>
      </w:r>
      <w:r w:rsidR="00BA0697">
        <w:rPr>
          <w:rFonts w:asciiTheme="minorHAnsi" w:hAnsiTheme="minorHAnsi"/>
          <w:b w:val="0"/>
          <w:bCs w:val="0"/>
          <w:szCs w:val="22"/>
        </w:rPr>
        <w:t xml:space="preserve">estimated </w:t>
      </w:r>
      <w:r w:rsidRPr="005629BD">
        <w:rPr>
          <w:rFonts w:asciiTheme="minorHAnsi" w:hAnsiTheme="minorHAnsi"/>
          <w:b w:val="0"/>
          <w:bCs w:val="0"/>
          <w:szCs w:val="22"/>
        </w:rPr>
        <w:t>cost</w:t>
      </w:r>
      <w:r>
        <w:rPr>
          <w:rFonts w:asciiTheme="minorHAnsi" w:hAnsiTheme="minorHAnsi"/>
          <w:b w:val="0"/>
          <w:bCs w:val="0"/>
          <w:szCs w:val="22"/>
        </w:rPr>
        <w:t>s</w:t>
      </w:r>
      <w:r w:rsidRPr="005629BD">
        <w:rPr>
          <w:rFonts w:asciiTheme="minorHAnsi" w:hAnsiTheme="minorHAnsi"/>
          <w:b w:val="0"/>
          <w:bCs w:val="0"/>
          <w:szCs w:val="22"/>
        </w:rPr>
        <w:t xml:space="preserve"> of </w:t>
      </w:r>
      <w:r>
        <w:rPr>
          <w:rFonts w:asciiTheme="minorHAnsi" w:hAnsiTheme="minorHAnsi"/>
          <w:b w:val="0"/>
          <w:bCs w:val="0"/>
          <w:szCs w:val="22"/>
        </w:rPr>
        <w:t xml:space="preserve">reforms </w:t>
      </w:r>
      <w:r w:rsidR="009A2CE1">
        <w:rPr>
          <w:rFonts w:asciiTheme="minorHAnsi" w:hAnsiTheme="minorHAnsi"/>
          <w:b w:val="0"/>
          <w:bCs w:val="0"/>
          <w:szCs w:val="22"/>
        </w:rPr>
        <w:t>of</w:t>
      </w:r>
      <w:r w:rsidRPr="005629BD">
        <w:rPr>
          <w:rFonts w:asciiTheme="minorHAnsi" w:hAnsiTheme="minorHAnsi"/>
          <w:b w:val="0"/>
          <w:bCs w:val="0"/>
          <w:szCs w:val="22"/>
        </w:rPr>
        <w:t xml:space="preserve"> </w:t>
      </w:r>
      <w:r>
        <w:rPr>
          <w:rFonts w:asciiTheme="minorHAnsi" w:hAnsiTheme="minorHAnsi"/>
          <w:b w:val="0"/>
          <w:bCs w:val="0"/>
          <w:szCs w:val="22"/>
        </w:rPr>
        <w:t xml:space="preserve">current </w:t>
      </w:r>
      <w:r w:rsidRPr="005629BD">
        <w:rPr>
          <w:rFonts w:asciiTheme="minorHAnsi" w:hAnsiTheme="minorHAnsi"/>
          <w:b w:val="0"/>
          <w:bCs w:val="0"/>
          <w:szCs w:val="22"/>
        </w:rPr>
        <w:t xml:space="preserve">roadworthiness </w:t>
      </w:r>
      <w:r>
        <w:rPr>
          <w:rFonts w:asciiTheme="minorHAnsi" w:hAnsiTheme="minorHAnsi"/>
          <w:b w:val="0"/>
          <w:bCs w:val="0"/>
          <w:szCs w:val="22"/>
        </w:rPr>
        <w:t>approaches</w:t>
      </w:r>
      <w:r w:rsidRPr="005629BD">
        <w:rPr>
          <w:rFonts w:asciiTheme="minorHAnsi" w:hAnsiTheme="minorHAnsi"/>
          <w:b w:val="0"/>
          <w:bCs w:val="0"/>
          <w:szCs w:val="22"/>
        </w:rPr>
        <w:t xml:space="preserve">, with </w:t>
      </w:r>
      <w:r>
        <w:rPr>
          <w:rFonts w:asciiTheme="minorHAnsi" w:hAnsiTheme="minorHAnsi"/>
          <w:b w:val="0"/>
          <w:bCs w:val="0"/>
          <w:szCs w:val="22"/>
        </w:rPr>
        <w:t>an</w:t>
      </w:r>
      <w:r w:rsidRPr="005629BD">
        <w:rPr>
          <w:rFonts w:asciiTheme="minorHAnsi" w:hAnsiTheme="minorHAnsi"/>
          <w:b w:val="0"/>
          <w:bCs w:val="0"/>
          <w:szCs w:val="22"/>
        </w:rPr>
        <w:t xml:space="preserve"> overriding aim of not increasing systemic (especially inspection) costs.  </w:t>
      </w:r>
    </w:p>
    <w:p w:rsidR="007D3E06" w:rsidRPr="005629BD" w:rsidRDefault="007D3E06" w:rsidP="007D3E06">
      <w:pPr>
        <w:pStyle w:val="BodyText2"/>
        <w:spacing w:line="269" w:lineRule="auto"/>
        <w:rPr>
          <w:rFonts w:asciiTheme="minorHAnsi" w:hAnsiTheme="minorHAnsi"/>
          <w:b w:val="0"/>
          <w:bCs w:val="0"/>
          <w:szCs w:val="22"/>
        </w:rPr>
      </w:pPr>
    </w:p>
    <w:p w:rsidR="007D3E06" w:rsidRDefault="007D3E06" w:rsidP="007D3E06">
      <w:pPr>
        <w:pStyle w:val="BodyText2"/>
        <w:spacing w:line="269" w:lineRule="auto"/>
        <w:rPr>
          <w:rFonts w:asciiTheme="minorHAnsi" w:hAnsiTheme="minorHAnsi"/>
          <w:b w:val="0"/>
          <w:bCs w:val="0"/>
          <w:szCs w:val="22"/>
        </w:rPr>
      </w:pPr>
      <w:r w:rsidRPr="005629BD">
        <w:rPr>
          <w:rFonts w:asciiTheme="minorHAnsi" w:hAnsiTheme="minorHAnsi"/>
          <w:b w:val="0"/>
          <w:bCs w:val="0"/>
          <w:szCs w:val="22"/>
        </w:rPr>
        <w:t>The RIS reports high social and economic costs arising from truck crashes and breakdowns. It estimates that the costs of crashes will amount to $14.2 billion in present value over the next decade, with $0.57 to $2.4 billion of this attributed to roadworthiness issues. If other factors such as ‘congestion and related costs’ are included, the RIS reports that approximately $2.3</w:t>
      </w:r>
      <w:r w:rsidR="00C826BB">
        <w:rPr>
          <w:rFonts w:asciiTheme="minorHAnsi" w:hAnsiTheme="minorHAnsi"/>
          <w:b w:val="0"/>
          <w:bCs w:val="0"/>
          <w:szCs w:val="22"/>
        </w:rPr>
        <w:t xml:space="preserve"> </w:t>
      </w:r>
      <w:r w:rsidR="00C826BB" w:rsidRPr="005629BD">
        <w:rPr>
          <w:rFonts w:asciiTheme="minorHAnsi" w:hAnsiTheme="minorHAnsi"/>
          <w:b w:val="0"/>
          <w:bCs w:val="0"/>
          <w:szCs w:val="22"/>
        </w:rPr>
        <w:t>billion</w:t>
      </w:r>
      <w:r w:rsidRPr="005629BD">
        <w:rPr>
          <w:rFonts w:asciiTheme="minorHAnsi" w:hAnsiTheme="minorHAnsi"/>
          <w:b w:val="0"/>
          <w:bCs w:val="0"/>
          <w:szCs w:val="22"/>
        </w:rPr>
        <w:t xml:space="preserve"> to $4.2</w:t>
      </w:r>
      <w:r w:rsidR="00C826BB">
        <w:rPr>
          <w:rFonts w:asciiTheme="minorHAnsi" w:hAnsiTheme="minorHAnsi"/>
          <w:b w:val="0"/>
          <w:bCs w:val="0"/>
          <w:szCs w:val="22"/>
        </w:rPr>
        <w:t xml:space="preserve"> </w:t>
      </w:r>
      <w:r w:rsidR="00C826BB" w:rsidRPr="005629BD">
        <w:rPr>
          <w:rFonts w:asciiTheme="minorHAnsi" w:hAnsiTheme="minorHAnsi"/>
          <w:b w:val="0"/>
          <w:bCs w:val="0"/>
          <w:szCs w:val="22"/>
        </w:rPr>
        <w:t>billion</w:t>
      </w:r>
      <w:r w:rsidRPr="005629BD">
        <w:rPr>
          <w:rFonts w:asciiTheme="minorHAnsi" w:hAnsiTheme="minorHAnsi"/>
          <w:b w:val="0"/>
          <w:bCs w:val="0"/>
          <w:szCs w:val="22"/>
        </w:rPr>
        <w:t xml:space="preserve"> can be attributed to roadworthiness.  </w:t>
      </w:r>
    </w:p>
    <w:p w:rsidR="007D3E06" w:rsidRDefault="007D3E06" w:rsidP="007F29B2">
      <w:pPr>
        <w:rPr>
          <w:rFonts w:asciiTheme="minorHAnsi" w:hAnsiTheme="minorHAnsi"/>
        </w:rPr>
      </w:pPr>
    </w:p>
    <w:p w:rsidR="00C93FAB" w:rsidRPr="00C93FAB" w:rsidRDefault="007D3E06" w:rsidP="00857776">
      <w:pPr>
        <w:pStyle w:val="BodyText2"/>
        <w:rPr>
          <w:rFonts w:asciiTheme="minorHAnsi" w:hAnsiTheme="minorHAnsi"/>
          <w:b w:val="0"/>
          <w:bCs w:val="0"/>
          <w:szCs w:val="22"/>
        </w:rPr>
      </w:pPr>
      <w:r w:rsidRPr="00C93FAB">
        <w:rPr>
          <w:rFonts w:asciiTheme="minorHAnsi" w:hAnsiTheme="minorHAnsi"/>
          <w:b w:val="0"/>
        </w:rPr>
        <w:t>However, t</w:t>
      </w:r>
      <w:r w:rsidR="000C1A80" w:rsidRPr="00C93FAB">
        <w:rPr>
          <w:rFonts w:asciiTheme="minorHAnsi" w:hAnsiTheme="minorHAnsi"/>
          <w:b w:val="0"/>
        </w:rPr>
        <w:t xml:space="preserve">he RIS </w:t>
      </w:r>
      <w:r w:rsidRPr="00C93FAB">
        <w:rPr>
          <w:rFonts w:asciiTheme="minorHAnsi" w:hAnsiTheme="minorHAnsi"/>
          <w:b w:val="0"/>
        </w:rPr>
        <w:t>emphasises</w:t>
      </w:r>
      <w:r w:rsidR="000C1A80" w:rsidRPr="00C93FAB">
        <w:rPr>
          <w:rFonts w:asciiTheme="minorHAnsi" w:hAnsiTheme="minorHAnsi"/>
          <w:b w:val="0"/>
        </w:rPr>
        <w:t xml:space="preserve"> the difficulty of measuring the risk of a mechanical defect causing or contributing to a truck crash, and it accepts assessments which find </w:t>
      </w:r>
      <w:r w:rsidR="00450FC6">
        <w:rPr>
          <w:rFonts w:asciiTheme="minorHAnsi" w:hAnsiTheme="minorHAnsi"/>
          <w:b w:val="0"/>
        </w:rPr>
        <w:t xml:space="preserve">that </w:t>
      </w:r>
      <w:r w:rsidR="000C1A80" w:rsidRPr="00C93FAB">
        <w:rPr>
          <w:rFonts w:asciiTheme="minorHAnsi" w:hAnsiTheme="minorHAnsi"/>
          <w:b w:val="0"/>
        </w:rPr>
        <w:t xml:space="preserve">only one to six per cent of fatal crashes involving heavy vehicles have a defect reported as the primary cause.  </w:t>
      </w:r>
    </w:p>
    <w:p w:rsidR="00FF3324" w:rsidRPr="00601230" w:rsidRDefault="00FF3324" w:rsidP="00857776">
      <w:pPr>
        <w:rPr>
          <w:rFonts w:asciiTheme="minorHAnsi" w:eastAsia="Times New Roman" w:hAnsiTheme="minorHAnsi" w:cs="Arial"/>
        </w:rPr>
      </w:pPr>
    </w:p>
    <w:p w:rsidR="009638B9" w:rsidRDefault="0043584E" w:rsidP="00857776">
      <w:pPr>
        <w:pStyle w:val="Default"/>
        <w:rPr>
          <w:rFonts w:asciiTheme="minorHAnsi" w:eastAsia="Times New Roman" w:hAnsiTheme="minorHAnsi" w:cs="Arial"/>
          <w:color w:val="auto"/>
          <w:sz w:val="22"/>
          <w:szCs w:val="22"/>
          <w:lang w:eastAsia="en-US"/>
        </w:rPr>
      </w:pPr>
      <w:r w:rsidRPr="00857776">
        <w:rPr>
          <w:rFonts w:asciiTheme="minorHAnsi" w:hAnsiTheme="minorHAnsi"/>
          <w:color w:val="auto"/>
          <w:sz w:val="22"/>
          <w:szCs w:val="22"/>
          <w:lang w:eastAsia="en-US"/>
        </w:rPr>
        <w:t>Industry is strongly in favour of nationally uniform enforcement practices</w:t>
      </w:r>
      <w:r w:rsidR="00D814D4" w:rsidRPr="00857776">
        <w:rPr>
          <w:rFonts w:asciiTheme="minorHAnsi" w:hAnsiTheme="minorHAnsi"/>
          <w:color w:val="auto"/>
          <w:sz w:val="22"/>
          <w:szCs w:val="22"/>
          <w:lang w:eastAsia="en-US"/>
        </w:rPr>
        <w:t>,</w:t>
      </w:r>
      <w:r w:rsidR="00601230" w:rsidRPr="00857776">
        <w:rPr>
          <w:rFonts w:asciiTheme="minorHAnsi" w:hAnsiTheme="minorHAnsi"/>
          <w:color w:val="auto"/>
          <w:sz w:val="22"/>
          <w:szCs w:val="22"/>
          <w:lang w:eastAsia="en-US"/>
        </w:rPr>
        <w:t xml:space="preserve"> including standard criteria for</w:t>
      </w:r>
      <w:r w:rsidR="00601230" w:rsidRPr="00601230">
        <w:rPr>
          <w:rFonts w:asciiTheme="minorHAnsi" w:eastAsia="Times New Roman" w:hAnsiTheme="minorHAnsi" w:cs="Arial"/>
          <w:color w:val="auto"/>
          <w:sz w:val="22"/>
          <w:szCs w:val="22"/>
          <w:lang w:eastAsia="en-US"/>
        </w:rPr>
        <w:t xml:space="preserve"> vehicle</w:t>
      </w:r>
      <w:r w:rsidR="009638B9">
        <w:rPr>
          <w:rFonts w:asciiTheme="minorHAnsi" w:eastAsia="Times New Roman" w:hAnsiTheme="minorHAnsi" w:cs="Arial"/>
          <w:color w:val="auto"/>
          <w:sz w:val="22"/>
          <w:szCs w:val="22"/>
          <w:lang w:eastAsia="en-US"/>
        </w:rPr>
        <w:t xml:space="preserve"> inspections</w:t>
      </w:r>
      <w:r w:rsidR="00601230" w:rsidRPr="00601230">
        <w:rPr>
          <w:rFonts w:asciiTheme="minorHAnsi" w:eastAsia="Times New Roman" w:hAnsiTheme="minorHAnsi" w:cs="Arial"/>
          <w:color w:val="auto"/>
          <w:sz w:val="22"/>
          <w:szCs w:val="22"/>
          <w:lang w:eastAsia="en-US"/>
        </w:rPr>
        <w:t xml:space="preserve"> and </w:t>
      </w:r>
      <w:r w:rsidR="00E54948">
        <w:rPr>
          <w:rFonts w:asciiTheme="minorHAnsi" w:eastAsia="Times New Roman" w:hAnsiTheme="minorHAnsi" w:cs="Arial"/>
          <w:color w:val="auto"/>
          <w:sz w:val="22"/>
          <w:szCs w:val="22"/>
          <w:lang w:eastAsia="en-US"/>
        </w:rPr>
        <w:t xml:space="preserve">defect </w:t>
      </w:r>
      <w:r w:rsidR="009638B9">
        <w:rPr>
          <w:rFonts w:asciiTheme="minorHAnsi" w:eastAsia="Times New Roman" w:hAnsiTheme="minorHAnsi" w:cs="Arial"/>
          <w:color w:val="auto"/>
          <w:sz w:val="22"/>
          <w:szCs w:val="22"/>
          <w:lang w:eastAsia="en-US"/>
        </w:rPr>
        <w:t>assessments</w:t>
      </w:r>
      <w:r w:rsidR="00601230" w:rsidRPr="00601230">
        <w:rPr>
          <w:rFonts w:asciiTheme="minorHAnsi" w:eastAsia="Times New Roman" w:hAnsiTheme="minorHAnsi" w:cs="Arial"/>
          <w:color w:val="auto"/>
          <w:sz w:val="22"/>
          <w:szCs w:val="22"/>
          <w:lang w:eastAsia="en-US"/>
        </w:rPr>
        <w:t>.</w:t>
      </w:r>
      <w:r w:rsidR="00601230">
        <w:rPr>
          <w:rFonts w:asciiTheme="minorHAnsi" w:eastAsia="Times New Roman" w:hAnsiTheme="minorHAnsi" w:cs="Arial"/>
          <w:color w:val="auto"/>
          <w:sz w:val="22"/>
          <w:szCs w:val="22"/>
          <w:lang w:eastAsia="en-US"/>
        </w:rPr>
        <w:t xml:space="preserve"> </w:t>
      </w:r>
      <w:r w:rsidRPr="00601230">
        <w:rPr>
          <w:rFonts w:asciiTheme="minorHAnsi" w:eastAsia="Times New Roman" w:hAnsiTheme="minorHAnsi" w:cs="Arial"/>
          <w:color w:val="auto"/>
          <w:sz w:val="22"/>
          <w:szCs w:val="22"/>
          <w:lang w:eastAsia="en-US"/>
        </w:rPr>
        <w:t xml:space="preserve">It is industry’s observation that </w:t>
      </w:r>
      <w:r w:rsidR="00601230">
        <w:rPr>
          <w:rFonts w:asciiTheme="minorHAnsi" w:eastAsia="Times New Roman" w:hAnsiTheme="minorHAnsi" w:cs="Arial"/>
          <w:color w:val="auto"/>
          <w:sz w:val="22"/>
          <w:szCs w:val="22"/>
          <w:lang w:eastAsia="en-US"/>
        </w:rPr>
        <w:t xml:space="preserve">myriad current </w:t>
      </w:r>
      <w:r w:rsidR="008C59C5">
        <w:rPr>
          <w:rFonts w:asciiTheme="minorHAnsi" w:eastAsia="Times New Roman" w:hAnsiTheme="minorHAnsi" w:cs="Arial"/>
          <w:color w:val="auto"/>
          <w:sz w:val="22"/>
          <w:szCs w:val="22"/>
          <w:lang w:eastAsia="en-US"/>
        </w:rPr>
        <w:t xml:space="preserve">roadworthiness </w:t>
      </w:r>
      <w:r w:rsidRPr="00601230">
        <w:rPr>
          <w:rFonts w:asciiTheme="minorHAnsi" w:eastAsia="Times New Roman" w:hAnsiTheme="minorHAnsi" w:cs="Arial"/>
          <w:color w:val="auto"/>
          <w:sz w:val="22"/>
          <w:szCs w:val="22"/>
          <w:lang w:eastAsia="en-US"/>
        </w:rPr>
        <w:t xml:space="preserve">rules </w:t>
      </w:r>
      <w:r w:rsidR="00601230">
        <w:rPr>
          <w:rFonts w:asciiTheme="minorHAnsi" w:eastAsia="Times New Roman" w:hAnsiTheme="minorHAnsi" w:cs="Arial"/>
          <w:color w:val="auto"/>
          <w:sz w:val="22"/>
          <w:szCs w:val="22"/>
          <w:lang w:eastAsia="en-US"/>
        </w:rPr>
        <w:t>are</w:t>
      </w:r>
      <w:r w:rsidR="009638B9">
        <w:rPr>
          <w:rFonts w:asciiTheme="minorHAnsi" w:eastAsia="Times New Roman" w:hAnsiTheme="minorHAnsi" w:cs="Arial"/>
          <w:color w:val="auto"/>
          <w:sz w:val="22"/>
          <w:szCs w:val="22"/>
          <w:lang w:eastAsia="en-US"/>
        </w:rPr>
        <w:t xml:space="preserve"> </w:t>
      </w:r>
      <w:r w:rsidR="006D09FC">
        <w:rPr>
          <w:rFonts w:asciiTheme="minorHAnsi" w:eastAsia="Times New Roman" w:hAnsiTheme="minorHAnsi" w:cs="Arial"/>
          <w:color w:val="auto"/>
          <w:sz w:val="22"/>
          <w:szCs w:val="22"/>
          <w:lang w:eastAsia="en-US"/>
        </w:rPr>
        <w:t>sometimes</w:t>
      </w:r>
      <w:r w:rsidRPr="00601230">
        <w:rPr>
          <w:rFonts w:asciiTheme="minorHAnsi" w:eastAsia="Times New Roman" w:hAnsiTheme="minorHAnsi" w:cs="Arial"/>
          <w:color w:val="auto"/>
          <w:sz w:val="22"/>
          <w:szCs w:val="22"/>
          <w:lang w:eastAsia="en-US"/>
        </w:rPr>
        <w:t xml:space="preserve"> applied haphazardly </w:t>
      </w:r>
      <w:r w:rsidR="00D52CF7">
        <w:rPr>
          <w:rFonts w:asciiTheme="minorHAnsi" w:eastAsia="Times New Roman" w:hAnsiTheme="minorHAnsi" w:cs="Arial"/>
          <w:color w:val="auto"/>
          <w:sz w:val="22"/>
          <w:szCs w:val="22"/>
          <w:lang w:eastAsia="en-US"/>
        </w:rPr>
        <w:t>or</w:t>
      </w:r>
      <w:r w:rsidR="006D09FC">
        <w:rPr>
          <w:rFonts w:asciiTheme="minorHAnsi" w:eastAsia="Times New Roman" w:hAnsiTheme="minorHAnsi" w:cs="Arial"/>
          <w:color w:val="auto"/>
          <w:sz w:val="22"/>
          <w:szCs w:val="22"/>
          <w:lang w:eastAsia="en-US"/>
        </w:rPr>
        <w:t xml:space="preserve"> erroneously </w:t>
      </w:r>
      <w:r w:rsidR="005D2FC9" w:rsidRPr="00601230">
        <w:rPr>
          <w:rFonts w:asciiTheme="minorHAnsi" w:eastAsia="Times New Roman" w:hAnsiTheme="minorHAnsi" w:cs="Arial"/>
          <w:color w:val="auto"/>
          <w:sz w:val="22"/>
          <w:szCs w:val="22"/>
          <w:lang w:eastAsia="en-US"/>
        </w:rPr>
        <w:t>on the roadside</w:t>
      </w:r>
      <w:r w:rsidR="009638B9">
        <w:rPr>
          <w:rFonts w:asciiTheme="minorHAnsi" w:eastAsia="Times New Roman" w:hAnsiTheme="minorHAnsi" w:cs="Arial"/>
          <w:color w:val="auto"/>
          <w:sz w:val="22"/>
          <w:szCs w:val="22"/>
          <w:lang w:eastAsia="en-US"/>
        </w:rPr>
        <w:t xml:space="preserve">. </w:t>
      </w:r>
    </w:p>
    <w:p w:rsidR="00857776" w:rsidRDefault="00857776" w:rsidP="00857776">
      <w:pPr>
        <w:pStyle w:val="Default"/>
        <w:rPr>
          <w:rFonts w:asciiTheme="minorHAnsi" w:eastAsia="Times New Roman" w:hAnsiTheme="minorHAnsi" w:cs="Arial"/>
          <w:color w:val="auto"/>
          <w:sz w:val="22"/>
          <w:szCs w:val="22"/>
          <w:lang w:eastAsia="en-US"/>
        </w:rPr>
      </w:pPr>
    </w:p>
    <w:p w:rsidR="00971D99" w:rsidRDefault="00E2010A" w:rsidP="00857776">
      <w:pPr>
        <w:pStyle w:val="Default"/>
        <w:rPr>
          <w:rFonts w:asciiTheme="minorHAnsi" w:eastAsia="Times New Roman" w:hAnsiTheme="minorHAnsi" w:cs="Arial"/>
          <w:color w:val="auto"/>
          <w:sz w:val="22"/>
          <w:szCs w:val="22"/>
          <w:lang w:eastAsia="en-US"/>
        </w:rPr>
      </w:pPr>
      <w:r>
        <w:rPr>
          <w:rFonts w:asciiTheme="minorHAnsi" w:eastAsia="Times New Roman" w:hAnsiTheme="minorHAnsi" w:cs="Arial"/>
          <w:color w:val="auto"/>
          <w:sz w:val="22"/>
          <w:szCs w:val="22"/>
          <w:lang w:eastAsia="en-US"/>
        </w:rPr>
        <w:t>For example, o</w:t>
      </w:r>
      <w:r w:rsidR="0043584E" w:rsidRPr="009638B9">
        <w:rPr>
          <w:rFonts w:asciiTheme="minorHAnsi" w:eastAsia="Times New Roman" w:hAnsiTheme="minorHAnsi" w:cs="Arial"/>
          <w:color w:val="auto"/>
          <w:sz w:val="22"/>
          <w:szCs w:val="22"/>
          <w:lang w:eastAsia="en-US"/>
        </w:rPr>
        <w:t xml:space="preserve">perators report defect notices </w:t>
      </w:r>
      <w:r w:rsidR="008C59C5">
        <w:rPr>
          <w:rFonts w:asciiTheme="minorHAnsi" w:eastAsia="Times New Roman" w:hAnsiTheme="minorHAnsi" w:cs="Arial"/>
          <w:color w:val="auto"/>
          <w:sz w:val="22"/>
          <w:szCs w:val="22"/>
          <w:lang w:eastAsia="en-US"/>
        </w:rPr>
        <w:t>which</w:t>
      </w:r>
      <w:r w:rsidR="0043584E" w:rsidRPr="009638B9">
        <w:rPr>
          <w:rFonts w:asciiTheme="minorHAnsi" w:eastAsia="Times New Roman" w:hAnsiTheme="minorHAnsi" w:cs="Arial"/>
          <w:color w:val="auto"/>
          <w:sz w:val="22"/>
          <w:szCs w:val="22"/>
          <w:lang w:eastAsia="en-US"/>
        </w:rPr>
        <w:t xml:space="preserve"> are not </w:t>
      </w:r>
      <w:r>
        <w:rPr>
          <w:rFonts w:asciiTheme="minorHAnsi" w:eastAsia="Times New Roman" w:hAnsiTheme="minorHAnsi" w:cs="Arial"/>
          <w:color w:val="auto"/>
          <w:sz w:val="22"/>
          <w:szCs w:val="22"/>
          <w:lang w:eastAsia="en-US"/>
        </w:rPr>
        <w:t xml:space="preserve">always </w:t>
      </w:r>
      <w:r w:rsidR="0043584E" w:rsidRPr="009638B9">
        <w:rPr>
          <w:rFonts w:asciiTheme="minorHAnsi" w:eastAsia="Times New Roman" w:hAnsiTheme="minorHAnsi" w:cs="Arial"/>
          <w:color w:val="auto"/>
          <w:sz w:val="22"/>
          <w:szCs w:val="22"/>
          <w:lang w:eastAsia="en-US"/>
        </w:rPr>
        <w:t xml:space="preserve">cleared </w:t>
      </w:r>
      <w:r w:rsidR="008C59C5">
        <w:rPr>
          <w:rFonts w:asciiTheme="minorHAnsi" w:eastAsia="Times New Roman" w:hAnsiTheme="minorHAnsi" w:cs="Arial"/>
          <w:color w:val="auto"/>
          <w:sz w:val="22"/>
          <w:szCs w:val="22"/>
          <w:lang w:eastAsia="en-US"/>
        </w:rPr>
        <w:t>quickly enough</w:t>
      </w:r>
      <w:r w:rsidR="0043584E" w:rsidRPr="009638B9">
        <w:rPr>
          <w:rFonts w:asciiTheme="minorHAnsi" w:eastAsia="Times New Roman" w:hAnsiTheme="minorHAnsi" w:cs="Arial"/>
          <w:color w:val="auto"/>
          <w:sz w:val="22"/>
          <w:szCs w:val="22"/>
          <w:lang w:eastAsia="en-US"/>
        </w:rPr>
        <w:t xml:space="preserve"> by </w:t>
      </w:r>
      <w:r w:rsidR="005D2FC9" w:rsidRPr="009638B9">
        <w:rPr>
          <w:rFonts w:asciiTheme="minorHAnsi" w:eastAsia="Times New Roman" w:hAnsiTheme="minorHAnsi" w:cs="Arial"/>
          <w:color w:val="auto"/>
          <w:sz w:val="22"/>
          <w:szCs w:val="22"/>
          <w:lang w:eastAsia="en-US"/>
        </w:rPr>
        <w:t>authorities,</w:t>
      </w:r>
      <w:r w:rsidR="0043584E" w:rsidRPr="009638B9">
        <w:rPr>
          <w:rFonts w:asciiTheme="minorHAnsi" w:eastAsia="Times New Roman" w:hAnsiTheme="minorHAnsi" w:cs="Arial"/>
          <w:color w:val="auto"/>
          <w:sz w:val="22"/>
          <w:szCs w:val="22"/>
          <w:lang w:eastAsia="en-US"/>
        </w:rPr>
        <w:t xml:space="preserve"> leading to cross-border confusion and delays for drivers</w:t>
      </w:r>
      <w:r w:rsidR="00971D99" w:rsidRPr="009638B9">
        <w:rPr>
          <w:rFonts w:asciiTheme="minorHAnsi" w:eastAsia="Times New Roman" w:hAnsiTheme="minorHAnsi" w:cs="Arial"/>
          <w:color w:val="auto"/>
          <w:sz w:val="22"/>
          <w:szCs w:val="22"/>
          <w:lang w:eastAsia="en-US"/>
        </w:rPr>
        <w:t xml:space="preserve">. </w:t>
      </w:r>
      <w:r w:rsidR="009638B9">
        <w:rPr>
          <w:rFonts w:asciiTheme="minorHAnsi" w:eastAsia="Times New Roman" w:hAnsiTheme="minorHAnsi" w:cs="Arial"/>
          <w:color w:val="auto"/>
          <w:sz w:val="22"/>
          <w:szCs w:val="22"/>
          <w:lang w:eastAsia="en-US"/>
        </w:rPr>
        <w:t>A</w:t>
      </w:r>
      <w:r w:rsidR="00971D99" w:rsidRPr="009638B9">
        <w:rPr>
          <w:rFonts w:asciiTheme="minorHAnsi" w:eastAsia="Times New Roman" w:hAnsiTheme="minorHAnsi" w:cs="Arial"/>
          <w:color w:val="auto"/>
          <w:sz w:val="22"/>
          <w:szCs w:val="22"/>
          <w:lang w:eastAsia="en-US"/>
        </w:rPr>
        <w:t>dministrative processes (</w:t>
      </w:r>
      <w:r w:rsidR="009638B9">
        <w:rPr>
          <w:rFonts w:asciiTheme="minorHAnsi" w:eastAsia="Times New Roman" w:hAnsiTheme="minorHAnsi" w:cs="Arial"/>
          <w:color w:val="auto"/>
          <w:sz w:val="22"/>
          <w:szCs w:val="22"/>
          <w:lang w:eastAsia="en-US"/>
        </w:rPr>
        <w:t>e.g.</w:t>
      </w:r>
      <w:r w:rsidR="00971D99" w:rsidRPr="009638B9">
        <w:rPr>
          <w:rFonts w:asciiTheme="minorHAnsi" w:eastAsia="Times New Roman" w:hAnsiTheme="minorHAnsi" w:cs="Arial"/>
          <w:color w:val="auto"/>
          <w:sz w:val="22"/>
          <w:szCs w:val="22"/>
          <w:lang w:eastAsia="en-US"/>
        </w:rPr>
        <w:t xml:space="preserve"> defect </w:t>
      </w:r>
      <w:r w:rsidR="009638B9">
        <w:rPr>
          <w:rFonts w:asciiTheme="minorHAnsi" w:eastAsia="Times New Roman" w:hAnsiTheme="minorHAnsi" w:cs="Arial"/>
          <w:color w:val="auto"/>
          <w:sz w:val="22"/>
          <w:szCs w:val="22"/>
          <w:lang w:eastAsia="en-US"/>
        </w:rPr>
        <w:t xml:space="preserve">notice </w:t>
      </w:r>
      <w:r w:rsidR="00971D99" w:rsidRPr="009638B9">
        <w:rPr>
          <w:rFonts w:asciiTheme="minorHAnsi" w:eastAsia="Times New Roman" w:hAnsiTheme="minorHAnsi" w:cs="Arial"/>
          <w:color w:val="auto"/>
          <w:sz w:val="22"/>
          <w:szCs w:val="22"/>
          <w:lang w:eastAsia="en-US"/>
        </w:rPr>
        <w:t>clearance</w:t>
      </w:r>
      <w:r w:rsidR="009638B9">
        <w:rPr>
          <w:rFonts w:asciiTheme="minorHAnsi" w:eastAsia="Times New Roman" w:hAnsiTheme="minorHAnsi" w:cs="Arial"/>
          <w:color w:val="auto"/>
          <w:sz w:val="22"/>
          <w:szCs w:val="22"/>
          <w:lang w:eastAsia="en-US"/>
        </w:rPr>
        <w:t xml:space="preserve"> processes</w:t>
      </w:r>
      <w:r w:rsidR="00971D99" w:rsidRPr="009638B9">
        <w:rPr>
          <w:rFonts w:asciiTheme="minorHAnsi" w:eastAsia="Times New Roman" w:hAnsiTheme="minorHAnsi" w:cs="Arial"/>
          <w:color w:val="auto"/>
          <w:sz w:val="22"/>
          <w:szCs w:val="22"/>
          <w:lang w:eastAsia="en-US"/>
        </w:rPr>
        <w:t xml:space="preserve">) both within and between jurisdictions are </w:t>
      </w:r>
      <w:r>
        <w:rPr>
          <w:rFonts w:asciiTheme="minorHAnsi" w:eastAsia="Times New Roman" w:hAnsiTheme="minorHAnsi" w:cs="Arial"/>
          <w:color w:val="auto"/>
          <w:sz w:val="22"/>
          <w:szCs w:val="22"/>
          <w:lang w:eastAsia="en-US"/>
        </w:rPr>
        <w:t xml:space="preserve">also </w:t>
      </w:r>
      <w:r w:rsidR="009638B9">
        <w:rPr>
          <w:rFonts w:asciiTheme="minorHAnsi" w:eastAsia="Times New Roman" w:hAnsiTheme="minorHAnsi" w:cs="Arial"/>
          <w:color w:val="auto"/>
          <w:sz w:val="22"/>
          <w:szCs w:val="22"/>
          <w:lang w:eastAsia="en-US"/>
        </w:rPr>
        <w:t xml:space="preserve">often </w:t>
      </w:r>
      <w:r w:rsidR="00971D99" w:rsidRPr="009638B9">
        <w:rPr>
          <w:rFonts w:asciiTheme="minorHAnsi" w:eastAsia="Times New Roman" w:hAnsiTheme="minorHAnsi" w:cs="Arial"/>
          <w:color w:val="auto"/>
          <w:sz w:val="22"/>
          <w:szCs w:val="22"/>
          <w:lang w:eastAsia="en-US"/>
        </w:rPr>
        <w:t xml:space="preserve">too slow to support fast-paced </w:t>
      </w:r>
      <w:r>
        <w:rPr>
          <w:rFonts w:asciiTheme="minorHAnsi" w:eastAsia="Times New Roman" w:hAnsiTheme="minorHAnsi" w:cs="Arial"/>
          <w:color w:val="auto"/>
          <w:sz w:val="22"/>
          <w:szCs w:val="22"/>
          <w:lang w:eastAsia="en-US"/>
        </w:rPr>
        <w:t xml:space="preserve">freight </w:t>
      </w:r>
      <w:r w:rsidR="00971D99" w:rsidRPr="009638B9">
        <w:rPr>
          <w:rFonts w:asciiTheme="minorHAnsi" w:eastAsia="Times New Roman" w:hAnsiTheme="minorHAnsi" w:cs="Arial"/>
          <w:color w:val="auto"/>
          <w:sz w:val="22"/>
          <w:szCs w:val="22"/>
          <w:lang w:eastAsia="en-US"/>
        </w:rPr>
        <w:t>transport activity.</w:t>
      </w:r>
    </w:p>
    <w:p w:rsidR="00857776" w:rsidRPr="009638B9" w:rsidRDefault="00857776" w:rsidP="00857776">
      <w:pPr>
        <w:pStyle w:val="Default"/>
        <w:rPr>
          <w:rFonts w:asciiTheme="minorHAnsi" w:eastAsia="Times New Roman" w:hAnsiTheme="minorHAnsi" w:cs="Arial"/>
          <w:color w:val="auto"/>
          <w:sz w:val="22"/>
          <w:szCs w:val="22"/>
          <w:lang w:eastAsia="en-US"/>
        </w:rPr>
      </w:pPr>
    </w:p>
    <w:p w:rsidR="00E54948" w:rsidRDefault="00E54948" w:rsidP="00857776">
      <w:pPr>
        <w:pStyle w:val="BodyText2"/>
        <w:rPr>
          <w:rFonts w:asciiTheme="minorHAnsi" w:hAnsiTheme="minorHAnsi"/>
          <w:b w:val="0"/>
          <w:bCs w:val="0"/>
          <w:szCs w:val="22"/>
        </w:rPr>
      </w:pPr>
      <w:r w:rsidRPr="00E54948">
        <w:rPr>
          <w:rFonts w:asciiTheme="minorHAnsi" w:hAnsiTheme="minorHAnsi"/>
          <w:b w:val="0"/>
          <w:bCs w:val="0"/>
          <w:szCs w:val="22"/>
        </w:rPr>
        <w:t xml:space="preserve">Clear, nationally accepted criteria need to be established for the purposes of declaring a vehicle roadworthy or not, and for issuing and clearing </w:t>
      </w:r>
      <w:r>
        <w:rPr>
          <w:rFonts w:asciiTheme="minorHAnsi" w:hAnsiTheme="minorHAnsi"/>
          <w:b w:val="0"/>
          <w:bCs w:val="0"/>
          <w:szCs w:val="22"/>
        </w:rPr>
        <w:t xml:space="preserve">minor and major </w:t>
      </w:r>
      <w:r w:rsidRPr="00E54948">
        <w:rPr>
          <w:rFonts w:asciiTheme="minorHAnsi" w:hAnsiTheme="minorHAnsi"/>
          <w:b w:val="0"/>
          <w:bCs w:val="0"/>
          <w:szCs w:val="22"/>
        </w:rPr>
        <w:t xml:space="preserve">defect notices. Responsible parties must trained to enforce the HVNL systematically.  Consistent interpretation of </w:t>
      </w:r>
      <w:r>
        <w:rPr>
          <w:rFonts w:asciiTheme="minorHAnsi" w:hAnsiTheme="minorHAnsi"/>
          <w:b w:val="0"/>
          <w:bCs w:val="0"/>
          <w:szCs w:val="22"/>
        </w:rPr>
        <w:t>a</w:t>
      </w:r>
      <w:r w:rsidRPr="00E54948">
        <w:rPr>
          <w:rFonts w:asciiTheme="minorHAnsi" w:hAnsiTheme="minorHAnsi"/>
          <w:b w:val="0"/>
          <w:bCs w:val="0"/>
          <w:szCs w:val="22"/>
        </w:rPr>
        <w:t xml:space="preserve"> national heavy vehicle inspection manual by authorised officers to ensure consistent national treatment of heavy vehicle roadworthiness</w:t>
      </w:r>
      <w:r>
        <w:rPr>
          <w:rFonts w:asciiTheme="minorHAnsi" w:hAnsiTheme="minorHAnsi"/>
          <w:b w:val="0"/>
          <w:bCs w:val="0"/>
          <w:szCs w:val="22"/>
        </w:rPr>
        <w:t xml:space="preserve"> is imperative, and r</w:t>
      </w:r>
      <w:r w:rsidRPr="00E54948">
        <w:rPr>
          <w:rFonts w:asciiTheme="minorHAnsi" w:hAnsiTheme="minorHAnsi"/>
          <w:b w:val="0"/>
          <w:bCs w:val="0"/>
          <w:szCs w:val="22"/>
        </w:rPr>
        <w:t xml:space="preserve">igorous written guidance materials and systematic training </w:t>
      </w:r>
      <w:r>
        <w:rPr>
          <w:rFonts w:asciiTheme="minorHAnsi" w:hAnsiTheme="minorHAnsi"/>
          <w:b w:val="0"/>
          <w:bCs w:val="0"/>
          <w:szCs w:val="22"/>
        </w:rPr>
        <w:t>must</w:t>
      </w:r>
      <w:r w:rsidRPr="00E54948">
        <w:rPr>
          <w:rFonts w:asciiTheme="minorHAnsi" w:hAnsiTheme="minorHAnsi"/>
          <w:b w:val="0"/>
          <w:bCs w:val="0"/>
          <w:szCs w:val="22"/>
        </w:rPr>
        <w:t xml:space="preserve"> be provided to dedicated staff in relation to the exercise of their inspection powers. This will ensure a nationally consistent approach is used to assess</w:t>
      </w:r>
      <w:r>
        <w:rPr>
          <w:rFonts w:asciiTheme="minorHAnsi" w:hAnsiTheme="minorHAnsi"/>
          <w:b w:val="0"/>
          <w:bCs w:val="0"/>
          <w:szCs w:val="22"/>
        </w:rPr>
        <w:t xml:space="preserve"> </w:t>
      </w:r>
      <w:r w:rsidRPr="00E54948">
        <w:rPr>
          <w:rFonts w:asciiTheme="minorHAnsi" w:hAnsiTheme="minorHAnsi"/>
          <w:b w:val="0"/>
          <w:bCs w:val="0"/>
          <w:szCs w:val="22"/>
        </w:rPr>
        <w:t>any vehicle’s roadworthiness condition</w:t>
      </w:r>
      <w:r>
        <w:rPr>
          <w:rFonts w:asciiTheme="minorHAnsi" w:hAnsiTheme="minorHAnsi"/>
          <w:b w:val="0"/>
          <w:bCs w:val="0"/>
          <w:szCs w:val="22"/>
        </w:rPr>
        <w:t xml:space="preserve"> at any time</w:t>
      </w:r>
      <w:r w:rsidRPr="00E54948">
        <w:rPr>
          <w:rFonts w:asciiTheme="minorHAnsi" w:hAnsiTheme="minorHAnsi"/>
          <w:b w:val="0"/>
          <w:bCs w:val="0"/>
          <w:szCs w:val="22"/>
        </w:rPr>
        <w:t>.</w:t>
      </w:r>
    </w:p>
    <w:p w:rsidR="002C7A27" w:rsidRDefault="002C7A27" w:rsidP="0043584E">
      <w:pPr>
        <w:pStyle w:val="BodyText2"/>
        <w:spacing w:line="269" w:lineRule="auto"/>
        <w:rPr>
          <w:rFonts w:asciiTheme="minorHAnsi" w:hAnsiTheme="minorHAnsi"/>
          <w:b w:val="0"/>
          <w:bCs w:val="0"/>
          <w:szCs w:val="22"/>
        </w:rPr>
      </w:pPr>
    </w:p>
    <w:p w:rsidR="002C7A27" w:rsidRDefault="002C7A27" w:rsidP="002C7A27">
      <w:pPr>
        <w:pStyle w:val="BodyText2"/>
        <w:spacing w:line="269" w:lineRule="auto"/>
        <w:rPr>
          <w:rFonts w:asciiTheme="minorHAnsi" w:hAnsiTheme="minorHAnsi"/>
          <w:bCs w:val="0"/>
          <w:szCs w:val="22"/>
        </w:rPr>
      </w:pPr>
      <w:r>
        <w:rPr>
          <w:rFonts w:asciiTheme="minorHAnsi" w:hAnsiTheme="minorHAnsi"/>
          <w:bCs w:val="0"/>
          <w:szCs w:val="22"/>
        </w:rPr>
        <w:t>Recommendation 1</w:t>
      </w:r>
    </w:p>
    <w:p w:rsidR="002C7A27" w:rsidRPr="002C7A27" w:rsidRDefault="002C7A27" w:rsidP="002C7A27">
      <w:pPr>
        <w:pStyle w:val="BodyText2"/>
        <w:spacing w:line="269" w:lineRule="auto"/>
        <w:rPr>
          <w:rFonts w:asciiTheme="minorHAnsi" w:hAnsiTheme="minorHAnsi"/>
          <w:bCs w:val="0"/>
          <w:szCs w:val="22"/>
        </w:rPr>
      </w:pPr>
      <w:r w:rsidRPr="002C7A27">
        <w:rPr>
          <w:rFonts w:asciiTheme="minorHAnsi" w:hAnsiTheme="minorHAnsi"/>
          <w:bCs w:val="0"/>
          <w:szCs w:val="22"/>
        </w:rPr>
        <w:t>The outcome of the national heavy vehicle roadworthiness review must include reforms leading to a uniform and consistent national approach to enforcement.</w:t>
      </w:r>
    </w:p>
    <w:p w:rsidR="00AC78C9" w:rsidRDefault="00AC78C9" w:rsidP="002C7A27">
      <w:pPr>
        <w:pStyle w:val="BodyText2"/>
        <w:spacing w:line="269" w:lineRule="auto"/>
        <w:rPr>
          <w:rFonts w:asciiTheme="minorHAnsi" w:hAnsiTheme="minorHAnsi"/>
          <w:bCs w:val="0"/>
          <w:szCs w:val="22"/>
        </w:rPr>
      </w:pPr>
    </w:p>
    <w:p w:rsidR="00A921B8" w:rsidRPr="002C7A27" w:rsidRDefault="00A921B8" w:rsidP="00A921B8">
      <w:pPr>
        <w:pStyle w:val="BodyText2"/>
        <w:spacing w:line="269" w:lineRule="auto"/>
        <w:rPr>
          <w:rFonts w:asciiTheme="minorHAnsi" w:hAnsiTheme="minorHAnsi"/>
          <w:bCs w:val="0"/>
          <w:szCs w:val="22"/>
        </w:rPr>
      </w:pPr>
      <w:r w:rsidRPr="002C7A27">
        <w:rPr>
          <w:rFonts w:asciiTheme="minorHAnsi" w:hAnsiTheme="minorHAnsi"/>
          <w:bCs w:val="0"/>
          <w:szCs w:val="22"/>
        </w:rPr>
        <w:t xml:space="preserve">Recommendation </w:t>
      </w:r>
      <w:r>
        <w:rPr>
          <w:rFonts w:asciiTheme="minorHAnsi" w:hAnsiTheme="minorHAnsi"/>
          <w:bCs w:val="0"/>
          <w:szCs w:val="22"/>
        </w:rPr>
        <w:t>2</w:t>
      </w:r>
    </w:p>
    <w:p w:rsidR="00A921B8" w:rsidRPr="002C7A27" w:rsidRDefault="00A921B8" w:rsidP="00A921B8">
      <w:pPr>
        <w:pStyle w:val="BodyText2"/>
        <w:spacing w:line="269" w:lineRule="auto"/>
        <w:rPr>
          <w:rFonts w:asciiTheme="minorHAnsi" w:hAnsiTheme="minorHAnsi"/>
          <w:bCs w:val="0"/>
          <w:szCs w:val="22"/>
        </w:rPr>
      </w:pPr>
      <w:r w:rsidRPr="002C7A27">
        <w:rPr>
          <w:rFonts w:asciiTheme="minorHAnsi" w:hAnsiTheme="minorHAnsi"/>
          <w:bCs w:val="0"/>
          <w:szCs w:val="22"/>
        </w:rPr>
        <w:t>The chain of responsibility concept should be extended to vehicle roadworthiness by implementing the recommendations in the ATA submission to the chain of responsibility duties review.</w:t>
      </w:r>
    </w:p>
    <w:p w:rsidR="00A921B8" w:rsidRDefault="00A921B8" w:rsidP="00A921B8">
      <w:pPr>
        <w:pStyle w:val="BodyText2"/>
        <w:spacing w:line="269" w:lineRule="auto"/>
        <w:rPr>
          <w:rFonts w:asciiTheme="minorHAnsi" w:hAnsiTheme="minorHAnsi"/>
          <w:b w:val="0"/>
          <w:bCs w:val="0"/>
          <w:szCs w:val="22"/>
        </w:rPr>
      </w:pPr>
    </w:p>
    <w:p w:rsidR="00FA6111" w:rsidRDefault="008C2EE4" w:rsidP="008C2EE4">
      <w:pPr>
        <w:pStyle w:val="BodyText2"/>
        <w:spacing w:line="269" w:lineRule="auto"/>
        <w:rPr>
          <w:rFonts w:asciiTheme="minorHAnsi" w:hAnsiTheme="minorHAnsi"/>
          <w:b w:val="0"/>
          <w:bCs w:val="0"/>
          <w:szCs w:val="22"/>
        </w:rPr>
      </w:pPr>
      <w:r>
        <w:rPr>
          <w:rFonts w:asciiTheme="minorHAnsi" w:hAnsiTheme="minorHAnsi"/>
          <w:b w:val="0"/>
          <w:bCs w:val="0"/>
          <w:szCs w:val="22"/>
        </w:rPr>
        <w:t>The Australian Trucking Association</w:t>
      </w:r>
      <w:r w:rsidRPr="005629BD">
        <w:rPr>
          <w:rFonts w:asciiTheme="minorHAnsi" w:hAnsiTheme="minorHAnsi"/>
          <w:b w:val="0"/>
          <w:bCs w:val="0"/>
          <w:szCs w:val="22"/>
        </w:rPr>
        <w:t xml:space="preserve"> </w:t>
      </w:r>
      <w:r w:rsidR="000E6C2F">
        <w:rPr>
          <w:rFonts w:asciiTheme="minorHAnsi" w:hAnsiTheme="minorHAnsi"/>
          <w:b w:val="0"/>
          <w:bCs w:val="0"/>
          <w:szCs w:val="22"/>
        </w:rPr>
        <w:t xml:space="preserve">therefore </w:t>
      </w:r>
      <w:r>
        <w:rPr>
          <w:rFonts w:asciiTheme="minorHAnsi" w:hAnsiTheme="minorHAnsi"/>
          <w:b w:val="0"/>
          <w:bCs w:val="0"/>
          <w:szCs w:val="22"/>
        </w:rPr>
        <w:t>proposes a phase</w:t>
      </w:r>
      <w:r w:rsidR="001F52CF">
        <w:rPr>
          <w:rFonts w:asciiTheme="minorHAnsi" w:hAnsiTheme="minorHAnsi"/>
          <w:b w:val="0"/>
          <w:bCs w:val="0"/>
          <w:szCs w:val="22"/>
        </w:rPr>
        <w:t>d</w:t>
      </w:r>
      <w:r>
        <w:rPr>
          <w:rFonts w:asciiTheme="minorHAnsi" w:hAnsiTheme="minorHAnsi"/>
          <w:b w:val="0"/>
          <w:bCs w:val="0"/>
          <w:szCs w:val="22"/>
        </w:rPr>
        <w:t xml:space="preserve"> approach </w:t>
      </w:r>
      <w:r w:rsidR="001F52CF">
        <w:rPr>
          <w:rFonts w:asciiTheme="minorHAnsi" w:hAnsiTheme="minorHAnsi"/>
          <w:b w:val="0"/>
          <w:bCs w:val="0"/>
          <w:szCs w:val="22"/>
        </w:rPr>
        <w:t>to</w:t>
      </w:r>
      <w:r>
        <w:rPr>
          <w:rFonts w:asciiTheme="minorHAnsi" w:hAnsiTheme="minorHAnsi"/>
          <w:b w:val="0"/>
          <w:bCs w:val="0"/>
          <w:szCs w:val="22"/>
        </w:rPr>
        <w:t xml:space="preserve"> </w:t>
      </w:r>
      <w:r w:rsidR="009A2CE1">
        <w:rPr>
          <w:rFonts w:asciiTheme="minorHAnsi" w:hAnsiTheme="minorHAnsi"/>
          <w:b w:val="0"/>
          <w:bCs w:val="0"/>
          <w:szCs w:val="22"/>
        </w:rPr>
        <w:t>this area of policy</w:t>
      </w:r>
      <w:r>
        <w:rPr>
          <w:rFonts w:asciiTheme="minorHAnsi" w:hAnsiTheme="minorHAnsi"/>
          <w:b w:val="0"/>
          <w:bCs w:val="0"/>
          <w:szCs w:val="22"/>
        </w:rPr>
        <w:t xml:space="preserve"> reform based on established principles of evidence-based policy.</w:t>
      </w:r>
      <w:r w:rsidR="00FA6111">
        <w:rPr>
          <w:rStyle w:val="FootnoteReference"/>
          <w:rFonts w:asciiTheme="minorHAnsi" w:hAnsiTheme="minorHAnsi"/>
          <w:b w:val="0"/>
          <w:bCs w:val="0"/>
          <w:szCs w:val="22"/>
        </w:rPr>
        <w:footnoteReference w:id="2"/>
      </w:r>
      <w:r>
        <w:rPr>
          <w:rFonts w:asciiTheme="minorHAnsi" w:hAnsiTheme="minorHAnsi"/>
          <w:b w:val="0"/>
          <w:bCs w:val="0"/>
          <w:szCs w:val="22"/>
        </w:rPr>
        <w:t xml:space="preserve"> To form </w:t>
      </w:r>
      <w:r w:rsidR="009A2CE1">
        <w:rPr>
          <w:rFonts w:asciiTheme="minorHAnsi" w:hAnsiTheme="minorHAnsi"/>
          <w:b w:val="0"/>
          <w:bCs w:val="0"/>
          <w:szCs w:val="22"/>
        </w:rPr>
        <w:t>this</w:t>
      </w:r>
      <w:r>
        <w:rPr>
          <w:rFonts w:asciiTheme="minorHAnsi" w:hAnsiTheme="minorHAnsi"/>
          <w:b w:val="0"/>
          <w:bCs w:val="0"/>
          <w:szCs w:val="22"/>
        </w:rPr>
        <w:t xml:space="preserve"> position, the ATA </w:t>
      </w:r>
      <w:r w:rsidRPr="005629BD">
        <w:rPr>
          <w:rFonts w:asciiTheme="minorHAnsi" w:hAnsiTheme="minorHAnsi"/>
          <w:b w:val="0"/>
          <w:bCs w:val="0"/>
          <w:szCs w:val="22"/>
        </w:rPr>
        <w:t xml:space="preserve">consulted </w:t>
      </w:r>
      <w:r>
        <w:rPr>
          <w:rFonts w:asciiTheme="minorHAnsi" w:hAnsiTheme="minorHAnsi"/>
          <w:b w:val="0"/>
          <w:bCs w:val="0"/>
          <w:szCs w:val="22"/>
        </w:rPr>
        <w:t xml:space="preserve">widely </w:t>
      </w:r>
      <w:r w:rsidRPr="005629BD">
        <w:rPr>
          <w:rFonts w:asciiTheme="minorHAnsi" w:hAnsiTheme="minorHAnsi"/>
          <w:b w:val="0"/>
          <w:bCs w:val="0"/>
          <w:szCs w:val="22"/>
        </w:rPr>
        <w:lastRenderedPageBreak/>
        <w:t xml:space="preserve">with </w:t>
      </w:r>
      <w:r>
        <w:rPr>
          <w:rFonts w:asciiTheme="minorHAnsi" w:hAnsiTheme="minorHAnsi"/>
          <w:b w:val="0"/>
          <w:bCs w:val="0"/>
          <w:szCs w:val="22"/>
        </w:rPr>
        <w:t xml:space="preserve">its Safety Committee, </w:t>
      </w:r>
      <w:r w:rsidRPr="005629BD">
        <w:rPr>
          <w:rFonts w:asciiTheme="minorHAnsi" w:hAnsiTheme="minorHAnsi"/>
          <w:b w:val="0"/>
          <w:bCs w:val="0"/>
          <w:szCs w:val="22"/>
        </w:rPr>
        <w:t>Industry Technical Council</w:t>
      </w:r>
      <w:r>
        <w:rPr>
          <w:rFonts w:asciiTheme="minorHAnsi" w:hAnsiTheme="minorHAnsi"/>
          <w:b w:val="0"/>
          <w:bCs w:val="0"/>
          <w:szCs w:val="22"/>
        </w:rPr>
        <w:t xml:space="preserve"> and governing body, the ATA General Council</w:t>
      </w:r>
      <w:r w:rsidRPr="005629BD">
        <w:rPr>
          <w:rFonts w:asciiTheme="minorHAnsi" w:hAnsiTheme="minorHAnsi"/>
          <w:b w:val="0"/>
          <w:bCs w:val="0"/>
          <w:szCs w:val="22"/>
        </w:rPr>
        <w:t xml:space="preserve">. In this </w:t>
      </w:r>
      <w:r>
        <w:rPr>
          <w:rFonts w:asciiTheme="minorHAnsi" w:hAnsiTheme="minorHAnsi"/>
          <w:b w:val="0"/>
          <w:bCs w:val="0"/>
          <w:szCs w:val="22"/>
        </w:rPr>
        <w:t>context</w:t>
      </w:r>
      <w:r w:rsidRPr="005629BD">
        <w:rPr>
          <w:rFonts w:asciiTheme="minorHAnsi" w:hAnsiTheme="minorHAnsi"/>
          <w:b w:val="0"/>
          <w:bCs w:val="0"/>
          <w:szCs w:val="22"/>
        </w:rPr>
        <w:t xml:space="preserve">, </w:t>
      </w:r>
      <w:r>
        <w:rPr>
          <w:rFonts w:asciiTheme="minorHAnsi" w:hAnsiTheme="minorHAnsi"/>
          <w:b w:val="0"/>
          <w:bCs w:val="0"/>
          <w:szCs w:val="22"/>
        </w:rPr>
        <w:t xml:space="preserve">the </w:t>
      </w:r>
      <w:r w:rsidRPr="005629BD">
        <w:rPr>
          <w:rFonts w:asciiTheme="minorHAnsi" w:hAnsiTheme="minorHAnsi"/>
          <w:b w:val="0"/>
          <w:bCs w:val="0"/>
          <w:szCs w:val="22"/>
        </w:rPr>
        <w:t xml:space="preserve">recommendations reflect </w:t>
      </w:r>
      <w:r>
        <w:rPr>
          <w:rFonts w:asciiTheme="minorHAnsi" w:hAnsiTheme="minorHAnsi"/>
          <w:b w:val="0"/>
          <w:bCs w:val="0"/>
          <w:szCs w:val="22"/>
        </w:rPr>
        <w:t xml:space="preserve">considerable industry debate, and to some extent </w:t>
      </w:r>
      <w:r w:rsidRPr="005629BD">
        <w:rPr>
          <w:rFonts w:asciiTheme="minorHAnsi" w:hAnsiTheme="minorHAnsi"/>
          <w:b w:val="0"/>
          <w:bCs w:val="0"/>
          <w:szCs w:val="22"/>
        </w:rPr>
        <w:t>consensus</w:t>
      </w:r>
      <w:r>
        <w:rPr>
          <w:rFonts w:asciiTheme="minorHAnsi" w:hAnsiTheme="minorHAnsi"/>
          <w:b w:val="0"/>
          <w:bCs w:val="0"/>
          <w:szCs w:val="22"/>
        </w:rPr>
        <w:t>,</w:t>
      </w:r>
      <w:r w:rsidRPr="005629BD">
        <w:rPr>
          <w:rFonts w:asciiTheme="minorHAnsi" w:hAnsiTheme="minorHAnsi"/>
          <w:b w:val="0"/>
          <w:bCs w:val="0"/>
          <w:szCs w:val="22"/>
        </w:rPr>
        <w:t xml:space="preserve"> </w:t>
      </w:r>
      <w:r>
        <w:rPr>
          <w:rFonts w:asciiTheme="minorHAnsi" w:hAnsiTheme="minorHAnsi"/>
          <w:b w:val="0"/>
          <w:bCs w:val="0"/>
          <w:szCs w:val="22"/>
        </w:rPr>
        <w:t>on</w:t>
      </w:r>
      <w:r w:rsidRPr="005629BD">
        <w:rPr>
          <w:rFonts w:asciiTheme="minorHAnsi" w:hAnsiTheme="minorHAnsi"/>
          <w:b w:val="0"/>
          <w:bCs w:val="0"/>
          <w:szCs w:val="22"/>
        </w:rPr>
        <w:t xml:space="preserve"> </w:t>
      </w:r>
      <w:r>
        <w:rPr>
          <w:rFonts w:asciiTheme="minorHAnsi" w:hAnsiTheme="minorHAnsi"/>
          <w:b w:val="0"/>
          <w:bCs w:val="0"/>
          <w:szCs w:val="22"/>
        </w:rPr>
        <w:t>what constitutes a safe</w:t>
      </w:r>
      <w:r w:rsidR="002828F1">
        <w:rPr>
          <w:rFonts w:asciiTheme="minorHAnsi" w:hAnsiTheme="minorHAnsi"/>
          <w:b w:val="0"/>
          <w:bCs w:val="0"/>
          <w:szCs w:val="22"/>
        </w:rPr>
        <w:t xml:space="preserve"> and </w:t>
      </w:r>
      <w:r w:rsidRPr="005629BD">
        <w:rPr>
          <w:rFonts w:asciiTheme="minorHAnsi" w:hAnsiTheme="minorHAnsi"/>
          <w:b w:val="0"/>
          <w:bCs w:val="0"/>
          <w:szCs w:val="22"/>
        </w:rPr>
        <w:t xml:space="preserve">viable </w:t>
      </w:r>
      <w:r>
        <w:rPr>
          <w:rFonts w:asciiTheme="minorHAnsi" w:hAnsiTheme="minorHAnsi"/>
          <w:b w:val="0"/>
          <w:bCs w:val="0"/>
          <w:szCs w:val="22"/>
        </w:rPr>
        <w:t>roadworthiness system</w:t>
      </w:r>
      <w:r w:rsidRPr="005629BD">
        <w:rPr>
          <w:rFonts w:asciiTheme="minorHAnsi" w:hAnsiTheme="minorHAnsi"/>
          <w:b w:val="0"/>
          <w:bCs w:val="0"/>
          <w:szCs w:val="22"/>
        </w:rPr>
        <w:t xml:space="preserve">. </w:t>
      </w:r>
    </w:p>
    <w:p w:rsidR="000E6C2F" w:rsidRDefault="000E6C2F" w:rsidP="000E6C2F">
      <w:pPr>
        <w:pStyle w:val="BodyText2"/>
        <w:spacing w:line="269" w:lineRule="auto"/>
        <w:rPr>
          <w:rFonts w:asciiTheme="minorHAnsi" w:hAnsiTheme="minorHAnsi"/>
          <w:b w:val="0"/>
          <w:bCs w:val="0"/>
          <w:szCs w:val="22"/>
        </w:rPr>
      </w:pPr>
      <w:r>
        <w:rPr>
          <w:rFonts w:asciiTheme="minorHAnsi" w:hAnsiTheme="minorHAnsi"/>
          <w:b w:val="0"/>
          <w:bCs w:val="0"/>
          <w:szCs w:val="22"/>
        </w:rPr>
        <w:t>The ATA recommends the following approach:</w:t>
      </w:r>
    </w:p>
    <w:p w:rsidR="000E6C2F" w:rsidRDefault="000E6C2F" w:rsidP="000E6C2F">
      <w:pPr>
        <w:pStyle w:val="BodyText2"/>
        <w:spacing w:line="269" w:lineRule="auto"/>
        <w:rPr>
          <w:rFonts w:asciiTheme="minorHAnsi" w:hAnsiTheme="minorHAnsi"/>
          <w:b w:val="0"/>
          <w:bCs w:val="0"/>
          <w:szCs w:val="22"/>
        </w:rPr>
      </w:pPr>
    </w:p>
    <w:p w:rsidR="000E6C2F" w:rsidRDefault="000E6C2F" w:rsidP="000E6C2F">
      <w:pPr>
        <w:pStyle w:val="BodyText2"/>
        <w:spacing w:line="269" w:lineRule="auto"/>
        <w:rPr>
          <w:rFonts w:asciiTheme="minorHAnsi" w:hAnsiTheme="minorHAnsi"/>
          <w:b w:val="0"/>
          <w:bCs w:val="0"/>
          <w:szCs w:val="22"/>
        </w:rPr>
      </w:pPr>
      <w:r w:rsidRPr="00251D36">
        <w:rPr>
          <w:rFonts w:asciiTheme="minorHAnsi" w:hAnsiTheme="minorHAnsi"/>
          <w:b w:val="0"/>
          <w:bCs w:val="0"/>
          <w:i/>
          <w:szCs w:val="22"/>
        </w:rPr>
        <w:t xml:space="preserve">Phase 1 </w:t>
      </w:r>
      <w:r>
        <w:rPr>
          <w:rFonts w:asciiTheme="minorHAnsi" w:hAnsiTheme="minorHAnsi"/>
          <w:b w:val="0"/>
          <w:bCs w:val="0"/>
          <w:szCs w:val="22"/>
        </w:rPr>
        <w:t xml:space="preserve">includes the </w:t>
      </w:r>
      <w:r w:rsidR="00DD4296">
        <w:rPr>
          <w:rFonts w:asciiTheme="minorHAnsi" w:hAnsiTheme="minorHAnsi"/>
          <w:b w:val="0"/>
          <w:bCs w:val="0"/>
          <w:szCs w:val="22"/>
        </w:rPr>
        <w:t xml:space="preserve">implementation of </w:t>
      </w:r>
      <w:r>
        <w:rPr>
          <w:rFonts w:asciiTheme="minorHAnsi" w:hAnsiTheme="minorHAnsi"/>
          <w:b w:val="0"/>
          <w:bCs w:val="0"/>
          <w:szCs w:val="22"/>
        </w:rPr>
        <w:t xml:space="preserve">initial reforms where industry is confident that these will lead to positive results. Such results include the establishment of uniform defect processes, the use of chain of responsibility powers, improvements in the transparency and robustness of accreditation schemes and enhanced roadside enforcement efforts </w:t>
      </w:r>
      <w:r w:rsidRPr="00C36799">
        <w:rPr>
          <w:rFonts w:asciiTheme="minorHAnsi" w:hAnsiTheme="minorHAnsi"/>
          <w:b w:val="0"/>
          <w:bCs w:val="0"/>
          <w:szCs w:val="22"/>
        </w:rPr>
        <w:t xml:space="preserve">to </w:t>
      </w:r>
      <w:r>
        <w:rPr>
          <w:rFonts w:asciiTheme="minorHAnsi" w:hAnsiTheme="minorHAnsi"/>
          <w:b w:val="0"/>
          <w:bCs w:val="0"/>
          <w:szCs w:val="22"/>
        </w:rPr>
        <w:t xml:space="preserve">help </w:t>
      </w:r>
      <w:r w:rsidRPr="00C36799">
        <w:rPr>
          <w:rFonts w:asciiTheme="minorHAnsi" w:hAnsiTheme="minorHAnsi"/>
          <w:b w:val="0"/>
          <w:bCs w:val="0"/>
          <w:szCs w:val="22"/>
        </w:rPr>
        <w:t xml:space="preserve">ensure </w:t>
      </w:r>
      <w:r w:rsidR="005A46A1">
        <w:rPr>
          <w:rFonts w:asciiTheme="minorHAnsi" w:hAnsiTheme="minorHAnsi"/>
          <w:b w:val="0"/>
          <w:bCs w:val="0"/>
          <w:szCs w:val="22"/>
        </w:rPr>
        <w:t xml:space="preserve">vehicle </w:t>
      </w:r>
      <w:r w:rsidR="005A46A1" w:rsidRPr="00C36799">
        <w:rPr>
          <w:rFonts w:asciiTheme="minorHAnsi" w:hAnsiTheme="minorHAnsi"/>
          <w:b w:val="0"/>
          <w:bCs w:val="0"/>
          <w:szCs w:val="22"/>
        </w:rPr>
        <w:t xml:space="preserve">roadworthiness </w:t>
      </w:r>
      <w:r w:rsidRPr="00C36799">
        <w:rPr>
          <w:rFonts w:asciiTheme="minorHAnsi" w:hAnsiTheme="minorHAnsi"/>
          <w:b w:val="0"/>
          <w:bCs w:val="0"/>
          <w:szCs w:val="22"/>
        </w:rPr>
        <w:t>365 day</w:t>
      </w:r>
      <w:r w:rsidR="005A46A1">
        <w:rPr>
          <w:rFonts w:asciiTheme="minorHAnsi" w:hAnsiTheme="minorHAnsi"/>
          <w:b w:val="0"/>
          <w:bCs w:val="0"/>
          <w:szCs w:val="22"/>
        </w:rPr>
        <w:t>s</w:t>
      </w:r>
      <w:r w:rsidRPr="00C36799">
        <w:rPr>
          <w:rFonts w:asciiTheme="minorHAnsi" w:hAnsiTheme="minorHAnsi"/>
          <w:b w:val="0"/>
          <w:bCs w:val="0"/>
          <w:szCs w:val="22"/>
        </w:rPr>
        <w:t xml:space="preserve"> a year</w:t>
      </w:r>
      <w:r w:rsidR="005A46A1">
        <w:rPr>
          <w:rFonts w:asciiTheme="minorHAnsi" w:hAnsiTheme="minorHAnsi"/>
          <w:b w:val="0"/>
          <w:bCs w:val="0"/>
          <w:szCs w:val="22"/>
        </w:rPr>
        <w:t>,</w:t>
      </w:r>
      <w:r w:rsidRPr="00C36799">
        <w:rPr>
          <w:rFonts w:asciiTheme="minorHAnsi" w:hAnsiTheme="minorHAnsi"/>
          <w:b w:val="0"/>
          <w:bCs w:val="0"/>
          <w:szCs w:val="22"/>
        </w:rPr>
        <w:t xml:space="preserve"> and </w:t>
      </w:r>
      <w:r w:rsidR="005A46A1">
        <w:rPr>
          <w:rFonts w:asciiTheme="minorHAnsi" w:hAnsiTheme="minorHAnsi"/>
          <w:b w:val="0"/>
          <w:bCs w:val="0"/>
          <w:szCs w:val="22"/>
        </w:rPr>
        <w:t>reduce</w:t>
      </w:r>
      <w:r>
        <w:rPr>
          <w:rFonts w:asciiTheme="minorHAnsi" w:hAnsiTheme="minorHAnsi"/>
          <w:b w:val="0"/>
          <w:bCs w:val="0"/>
          <w:szCs w:val="22"/>
        </w:rPr>
        <w:t xml:space="preserve"> the plethora of </w:t>
      </w:r>
      <w:r w:rsidRPr="00C36799">
        <w:rPr>
          <w:rFonts w:asciiTheme="minorHAnsi" w:hAnsiTheme="minorHAnsi"/>
          <w:b w:val="0"/>
          <w:bCs w:val="0"/>
          <w:szCs w:val="22"/>
        </w:rPr>
        <w:t xml:space="preserve">defects found in </w:t>
      </w:r>
      <w:r w:rsidR="005A46A1">
        <w:rPr>
          <w:rFonts w:asciiTheme="minorHAnsi" w:hAnsiTheme="minorHAnsi"/>
          <w:b w:val="0"/>
          <w:bCs w:val="0"/>
          <w:szCs w:val="22"/>
        </w:rPr>
        <w:t>every</w:t>
      </w:r>
      <w:r w:rsidRPr="00C36799">
        <w:rPr>
          <w:rFonts w:asciiTheme="minorHAnsi" w:hAnsiTheme="minorHAnsi"/>
          <w:b w:val="0"/>
          <w:bCs w:val="0"/>
          <w:szCs w:val="22"/>
        </w:rPr>
        <w:t xml:space="preserve"> broad </w:t>
      </w:r>
      <w:r w:rsidR="005A46A1">
        <w:rPr>
          <w:rFonts w:asciiTheme="minorHAnsi" w:hAnsiTheme="minorHAnsi"/>
          <w:b w:val="0"/>
          <w:bCs w:val="0"/>
          <w:szCs w:val="22"/>
        </w:rPr>
        <w:t xml:space="preserve">roadside </w:t>
      </w:r>
      <w:r>
        <w:rPr>
          <w:rFonts w:asciiTheme="minorHAnsi" w:hAnsiTheme="minorHAnsi"/>
          <w:b w:val="0"/>
          <w:bCs w:val="0"/>
          <w:szCs w:val="22"/>
        </w:rPr>
        <w:t xml:space="preserve">enforcement </w:t>
      </w:r>
      <w:r w:rsidRPr="00C36799">
        <w:rPr>
          <w:rFonts w:asciiTheme="minorHAnsi" w:hAnsiTheme="minorHAnsi"/>
          <w:b w:val="0"/>
          <w:bCs w:val="0"/>
          <w:szCs w:val="22"/>
        </w:rPr>
        <w:t>campaign.</w:t>
      </w:r>
      <w:r w:rsidR="00FA6111">
        <w:rPr>
          <w:rFonts w:asciiTheme="minorHAnsi" w:hAnsiTheme="minorHAnsi"/>
          <w:b w:val="0"/>
          <w:bCs w:val="0"/>
          <w:szCs w:val="22"/>
        </w:rPr>
        <w:t xml:space="preserve"> Phase 1 also includes the establishment of a sound evidence base via a major case control study.</w:t>
      </w:r>
    </w:p>
    <w:p w:rsidR="000E6C2F" w:rsidRDefault="000E6C2F" w:rsidP="000E6C2F">
      <w:pPr>
        <w:pStyle w:val="BodyText2"/>
        <w:spacing w:line="269" w:lineRule="auto"/>
        <w:rPr>
          <w:rFonts w:asciiTheme="minorHAnsi" w:hAnsiTheme="minorHAnsi"/>
          <w:b w:val="0"/>
          <w:bCs w:val="0"/>
          <w:szCs w:val="22"/>
        </w:rPr>
      </w:pPr>
    </w:p>
    <w:p w:rsidR="000E6C2F" w:rsidRDefault="000E6C2F" w:rsidP="000E6C2F">
      <w:pPr>
        <w:pStyle w:val="BodyText2"/>
        <w:spacing w:line="269" w:lineRule="auto"/>
        <w:rPr>
          <w:rFonts w:asciiTheme="minorHAnsi" w:hAnsiTheme="minorHAnsi"/>
          <w:b w:val="0"/>
          <w:bCs w:val="0"/>
          <w:szCs w:val="22"/>
        </w:rPr>
      </w:pPr>
      <w:r w:rsidRPr="00251D36">
        <w:rPr>
          <w:rFonts w:asciiTheme="minorHAnsi" w:hAnsiTheme="minorHAnsi"/>
          <w:b w:val="0"/>
          <w:bCs w:val="0"/>
          <w:i/>
          <w:szCs w:val="22"/>
        </w:rPr>
        <w:t>Phase 2</w:t>
      </w:r>
      <w:r>
        <w:rPr>
          <w:rFonts w:asciiTheme="minorHAnsi" w:hAnsiTheme="minorHAnsi"/>
          <w:b w:val="0"/>
          <w:bCs w:val="0"/>
          <w:szCs w:val="22"/>
        </w:rPr>
        <w:t xml:space="preserve"> includes examination of mandatory periodic inspections and accreditation </w:t>
      </w:r>
      <w:r w:rsidR="00F339D9">
        <w:rPr>
          <w:rFonts w:asciiTheme="minorHAnsi" w:hAnsiTheme="minorHAnsi"/>
          <w:b w:val="0"/>
          <w:bCs w:val="0"/>
          <w:szCs w:val="22"/>
        </w:rPr>
        <w:t>arrangements</w:t>
      </w:r>
      <w:r>
        <w:rPr>
          <w:rFonts w:asciiTheme="minorHAnsi" w:hAnsiTheme="minorHAnsi"/>
          <w:b w:val="0"/>
          <w:bCs w:val="0"/>
          <w:szCs w:val="22"/>
        </w:rPr>
        <w:t>, noting the cost of the former is high and presently has limited evidence to support it.</w:t>
      </w:r>
    </w:p>
    <w:p w:rsidR="008C7191" w:rsidRPr="007F29B2" w:rsidRDefault="008C7191" w:rsidP="005629BD">
      <w:pPr>
        <w:pStyle w:val="BodyText2"/>
        <w:spacing w:line="269" w:lineRule="auto"/>
        <w:rPr>
          <w:rFonts w:asciiTheme="minorHAnsi" w:hAnsiTheme="minorHAnsi"/>
          <w:b w:val="0"/>
          <w:bCs w:val="0"/>
          <w:szCs w:val="22"/>
        </w:rPr>
      </w:pPr>
    </w:p>
    <w:p w:rsidR="007D3E06" w:rsidRPr="005629BD" w:rsidRDefault="00FA6111" w:rsidP="007D3E06">
      <w:pPr>
        <w:pStyle w:val="Heading1"/>
        <w:ind w:left="357" w:hanging="357"/>
        <w:jc w:val="both"/>
        <w:rPr>
          <w:rFonts w:asciiTheme="minorHAnsi" w:hAnsiTheme="minorHAnsi"/>
          <w:sz w:val="24"/>
          <w:szCs w:val="24"/>
        </w:rPr>
      </w:pPr>
      <w:bookmarkStart w:id="5" w:name="_Toc415230140"/>
      <w:r>
        <w:rPr>
          <w:rFonts w:asciiTheme="minorHAnsi" w:hAnsiTheme="minorHAnsi"/>
          <w:sz w:val="24"/>
          <w:szCs w:val="24"/>
        </w:rPr>
        <w:t>Strong Industry Support for Uniformity</w:t>
      </w:r>
      <w:bookmarkEnd w:id="5"/>
    </w:p>
    <w:p w:rsidR="00010840" w:rsidRDefault="00010840" w:rsidP="007F29B2">
      <w:pPr>
        <w:rPr>
          <w:rFonts w:asciiTheme="minorHAnsi" w:hAnsiTheme="minorHAnsi"/>
        </w:rPr>
      </w:pPr>
    </w:p>
    <w:p w:rsidR="007F29B2" w:rsidRDefault="008C7191" w:rsidP="007F29B2">
      <w:pPr>
        <w:rPr>
          <w:rFonts w:cs="Arial"/>
          <w:color w:val="000000"/>
        </w:rPr>
      </w:pPr>
      <w:r w:rsidRPr="007F29B2">
        <w:rPr>
          <w:rFonts w:asciiTheme="minorHAnsi" w:hAnsiTheme="minorHAnsi"/>
        </w:rPr>
        <w:t>The RIS sets out four options</w:t>
      </w:r>
      <w:r w:rsidRPr="007F29B2">
        <w:rPr>
          <w:rFonts w:asciiTheme="minorHAnsi" w:hAnsiTheme="minorHAnsi"/>
          <w:bCs/>
        </w:rPr>
        <w:t xml:space="preserve"> </w:t>
      </w:r>
      <w:r w:rsidR="00CC6C80">
        <w:rPr>
          <w:rFonts w:asciiTheme="minorHAnsi" w:hAnsiTheme="minorHAnsi"/>
          <w:bCs/>
        </w:rPr>
        <w:t xml:space="preserve">or approaches to </w:t>
      </w:r>
      <w:r w:rsidRPr="007F29B2">
        <w:rPr>
          <w:rFonts w:asciiTheme="minorHAnsi" w:hAnsiTheme="minorHAnsi"/>
          <w:bCs/>
        </w:rPr>
        <w:t xml:space="preserve">reform, </w:t>
      </w:r>
      <w:r w:rsidRPr="007F29B2">
        <w:rPr>
          <w:rFonts w:asciiTheme="minorHAnsi" w:hAnsiTheme="minorHAnsi"/>
        </w:rPr>
        <w:t>each contai</w:t>
      </w:r>
      <w:r w:rsidRPr="007F29B2">
        <w:rPr>
          <w:rFonts w:asciiTheme="minorHAnsi" w:hAnsiTheme="minorHAnsi"/>
          <w:bCs/>
        </w:rPr>
        <w:t>ning</w:t>
      </w:r>
      <w:r w:rsidRPr="007F29B2">
        <w:rPr>
          <w:rFonts w:asciiTheme="minorHAnsi" w:hAnsiTheme="minorHAnsi"/>
        </w:rPr>
        <w:t xml:space="preserve"> six elements </w:t>
      </w:r>
      <w:r w:rsidR="00CC6C80">
        <w:rPr>
          <w:rFonts w:asciiTheme="minorHAnsi" w:hAnsiTheme="minorHAnsi"/>
          <w:bCs/>
        </w:rPr>
        <w:t>of</w:t>
      </w:r>
      <w:r w:rsidRPr="007F29B2">
        <w:rPr>
          <w:rFonts w:asciiTheme="minorHAnsi" w:hAnsiTheme="minorHAnsi"/>
          <w:bCs/>
        </w:rPr>
        <w:t xml:space="preserve"> </w:t>
      </w:r>
      <w:r w:rsidRPr="007F29B2">
        <w:rPr>
          <w:rFonts w:asciiTheme="minorHAnsi" w:hAnsiTheme="minorHAnsi"/>
        </w:rPr>
        <w:t xml:space="preserve">a </w:t>
      </w:r>
      <w:r w:rsidRPr="007F29B2">
        <w:rPr>
          <w:rFonts w:asciiTheme="minorHAnsi" w:hAnsiTheme="minorHAnsi"/>
          <w:bCs/>
        </w:rPr>
        <w:t xml:space="preserve">robust </w:t>
      </w:r>
      <w:r w:rsidRPr="007F29B2">
        <w:rPr>
          <w:rFonts w:asciiTheme="minorHAnsi" w:hAnsiTheme="minorHAnsi"/>
        </w:rPr>
        <w:t xml:space="preserve">roadworthiness </w:t>
      </w:r>
      <w:r w:rsidR="00CC6C80">
        <w:rPr>
          <w:rFonts w:asciiTheme="minorHAnsi" w:hAnsiTheme="minorHAnsi"/>
        </w:rPr>
        <w:t>compliance assurance</w:t>
      </w:r>
      <w:r w:rsidRPr="007F29B2">
        <w:rPr>
          <w:rFonts w:asciiTheme="minorHAnsi" w:hAnsiTheme="minorHAnsi"/>
        </w:rPr>
        <w:t xml:space="preserve"> system. </w:t>
      </w:r>
      <w:r w:rsidR="007F29B2" w:rsidRPr="007F29B2">
        <w:rPr>
          <w:rFonts w:cs="Arial"/>
          <w:color w:val="000000"/>
        </w:rPr>
        <w:t>The</w:t>
      </w:r>
      <w:r w:rsidR="00744782">
        <w:rPr>
          <w:rFonts w:cs="Arial"/>
          <w:color w:val="000000"/>
        </w:rPr>
        <w:t xml:space="preserve"> four</w:t>
      </w:r>
      <w:r w:rsidR="007F29B2" w:rsidRPr="007F29B2">
        <w:rPr>
          <w:rFonts w:cs="Arial"/>
          <w:color w:val="000000"/>
        </w:rPr>
        <w:t xml:space="preserve"> options vary in the strength of the coercive changes proposed, ranging from Option 1 (baseline situation); Option 2 (voluntary improvements by industry); Option 3 (a mixture of regulatory/non-regulatory changes) to Option 4 (mandatory reforms via regulation). </w:t>
      </w:r>
    </w:p>
    <w:p w:rsidR="00D0337D" w:rsidRDefault="00D0337D" w:rsidP="007F29B2">
      <w:pPr>
        <w:rPr>
          <w:rFonts w:cs="Arial"/>
          <w:color w:val="000000"/>
        </w:rPr>
      </w:pPr>
    </w:p>
    <w:p w:rsidR="00D0337D" w:rsidRDefault="00D0337D" w:rsidP="00D0337D">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ATA </w:t>
      </w:r>
      <w:r w:rsidR="005D2FC9">
        <w:rPr>
          <w:rFonts w:asciiTheme="minorHAnsi" w:hAnsiTheme="minorHAnsi"/>
          <w:b w:val="0"/>
          <w:bCs w:val="0"/>
          <w:szCs w:val="22"/>
        </w:rPr>
        <w:t>is of the view that</w:t>
      </w:r>
      <w:r>
        <w:rPr>
          <w:rFonts w:asciiTheme="minorHAnsi" w:hAnsiTheme="minorHAnsi"/>
          <w:b w:val="0"/>
          <w:bCs w:val="0"/>
          <w:szCs w:val="22"/>
        </w:rPr>
        <w:t xml:space="preserve"> option 1 (retain the status quo) </w:t>
      </w:r>
      <w:r w:rsidR="00B95DC6">
        <w:rPr>
          <w:rFonts w:asciiTheme="minorHAnsi" w:hAnsiTheme="minorHAnsi"/>
          <w:b w:val="0"/>
          <w:bCs w:val="0"/>
          <w:szCs w:val="22"/>
        </w:rPr>
        <w:t>would</w:t>
      </w:r>
      <w:r w:rsidR="004F2C94">
        <w:rPr>
          <w:rFonts w:asciiTheme="minorHAnsi" w:hAnsiTheme="minorHAnsi"/>
          <w:b w:val="0"/>
          <w:bCs w:val="0"/>
          <w:szCs w:val="22"/>
        </w:rPr>
        <w:t xml:space="preserve"> not</w:t>
      </w:r>
      <w:r>
        <w:rPr>
          <w:rFonts w:asciiTheme="minorHAnsi" w:hAnsiTheme="minorHAnsi"/>
          <w:b w:val="0"/>
          <w:bCs w:val="0"/>
          <w:szCs w:val="22"/>
        </w:rPr>
        <w:t xml:space="preserve"> improv</w:t>
      </w:r>
      <w:r w:rsidR="004F2C94">
        <w:rPr>
          <w:rFonts w:asciiTheme="minorHAnsi" w:hAnsiTheme="minorHAnsi"/>
          <w:b w:val="0"/>
          <w:bCs w:val="0"/>
          <w:szCs w:val="22"/>
        </w:rPr>
        <w:t>e future</w:t>
      </w:r>
      <w:r>
        <w:rPr>
          <w:rFonts w:asciiTheme="minorHAnsi" w:hAnsiTheme="minorHAnsi"/>
          <w:b w:val="0"/>
          <w:bCs w:val="0"/>
          <w:szCs w:val="22"/>
        </w:rPr>
        <w:t xml:space="preserve"> road safety outcomes; option 2 (</w:t>
      </w:r>
      <w:r w:rsidRPr="005629BD">
        <w:rPr>
          <w:rFonts w:asciiTheme="minorHAnsi" w:hAnsiTheme="minorHAnsi"/>
          <w:b w:val="0"/>
          <w:bCs w:val="0"/>
          <w:szCs w:val="22"/>
        </w:rPr>
        <w:t>voluntary industry improvements</w:t>
      </w:r>
      <w:r>
        <w:rPr>
          <w:rFonts w:asciiTheme="minorHAnsi" w:hAnsiTheme="minorHAnsi"/>
          <w:b w:val="0"/>
          <w:bCs w:val="0"/>
          <w:szCs w:val="22"/>
        </w:rPr>
        <w:t xml:space="preserve">) </w:t>
      </w:r>
      <w:r w:rsidR="00601230">
        <w:rPr>
          <w:rFonts w:asciiTheme="minorHAnsi" w:hAnsiTheme="minorHAnsi"/>
          <w:b w:val="0"/>
          <w:bCs w:val="0"/>
          <w:szCs w:val="22"/>
        </w:rPr>
        <w:t>would</w:t>
      </w:r>
      <w:r>
        <w:rPr>
          <w:rFonts w:asciiTheme="minorHAnsi" w:hAnsiTheme="minorHAnsi"/>
          <w:b w:val="0"/>
          <w:bCs w:val="0"/>
          <w:szCs w:val="22"/>
        </w:rPr>
        <w:t xml:space="preserve"> </w:t>
      </w:r>
      <w:r w:rsidR="005A46A1">
        <w:rPr>
          <w:rFonts w:asciiTheme="minorHAnsi" w:hAnsiTheme="minorHAnsi"/>
          <w:b w:val="0"/>
          <w:bCs w:val="0"/>
          <w:szCs w:val="22"/>
        </w:rPr>
        <w:t>not deliver the uniformity sought by industry</w:t>
      </w:r>
      <w:r>
        <w:rPr>
          <w:rFonts w:asciiTheme="minorHAnsi" w:hAnsiTheme="minorHAnsi"/>
          <w:b w:val="0"/>
          <w:bCs w:val="0"/>
          <w:szCs w:val="22"/>
        </w:rPr>
        <w:t xml:space="preserve">; and option 4 (mandatory regulatory reform) </w:t>
      </w:r>
      <w:r w:rsidR="0048236F">
        <w:rPr>
          <w:rFonts w:asciiTheme="minorHAnsi" w:hAnsiTheme="minorHAnsi"/>
          <w:b w:val="0"/>
          <w:bCs w:val="0"/>
          <w:szCs w:val="22"/>
        </w:rPr>
        <w:t>should be</w:t>
      </w:r>
      <w:r>
        <w:rPr>
          <w:rFonts w:asciiTheme="minorHAnsi" w:hAnsiTheme="minorHAnsi"/>
          <w:b w:val="0"/>
          <w:bCs w:val="0"/>
          <w:szCs w:val="22"/>
        </w:rPr>
        <w:t xml:space="preserve"> </w:t>
      </w:r>
      <w:r w:rsidR="000A30F2">
        <w:rPr>
          <w:rFonts w:asciiTheme="minorHAnsi" w:hAnsiTheme="minorHAnsi"/>
          <w:b w:val="0"/>
          <w:bCs w:val="0"/>
          <w:szCs w:val="22"/>
        </w:rPr>
        <w:t>rejected</w:t>
      </w:r>
      <w:r>
        <w:rPr>
          <w:rFonts w:asciiTheme="minorHAnsi" w:hAnsiTheme="minorHAnsi"/>
          <w:b w:val="0"/>
          <w:bCs w:val="0"/>
          <w:szCs w:val="22"/>
        </w:rPr>
        <w:t xml:space="preserve"> due to the absence of any significant evidence </w:t>
      </w:r>
      <w:r w:rsidR="00911F35">
        <w:rPr>
          <w:rFonts w:asciiTheme="minorHAnsi" w:hAnsiTheme="minorHAnsi"/>
          <w:b w:val="0"/>
          <w:bCs w:val="0"/>
          <w:szCs w:val="22"/>
        </w:rPr>
        <w:t>prompting</w:t>
      </w:r>
      <w:r w:rsidR="000A30F2">
        <w:rPr>
          <w:rFonts w:asciiTheme="minorHAnsi" w:hAnsiTheme="minorHAnsi"/>
          <w:b w:val="0"/>
          <w:bCs w:val="0"/>
          <w:szCs w:val="22"/>
        </w:rPr>
        <w:t xml:space="preserve"> radical</w:t>
      </w:r>
      <w:r>
        <w:rPr>
          <w:rFonts w:asciiTheme="minorHAnsi" w:hAnsiTheme="minorHAnsi"/>
          <w:b w:val="0"/>
          <w:bCs w:val="0"/>
          <w:szCs w:val="22"/>
        </w:rPr>
        <w:t xml:space="preserve"> </w:t>
      </w:r>
      <w:r w:rsidR="004F2C94">
        <w:rPr>
          <w:rFonts w:asciiTheme="minorHAnsi" w:hAnsiTheme="minorHAnsi"/>
          <w:b w:val="0"/>
          <w:bCs w:val="0"/>
          <w:szCs w:val="22"/>
        </w:rPr>
        <w:t>policy reform</w:t>
      </w:r>
      <w:r w:rsidRPr="005629BD">
        <w:rPr>
          <w:rFonts w:asciiTheme="minorHAnsi" w:hAnsiTheme="minorHAnsi"/>
          <w:b w:val="0"/>
          <w:bCs w:val="0"/>
          <w:szCs w:val="22"/>
        </w:rPr>
        <w:t>.</w:t>
      </w:r>
    </w:p>
    <w:p w:rsidR="008C7191" w:rsidRDefault="008C7191" w:rsidP="0074161F">
      <w:pPr>
        <w:pStyle w:val="BodyText2"/>
        <w:spacing w:line="269" w:lineRule="auto"/>
        <w:rPr>
          <w:rFonts w:asciiTheme="minorHAnsi" w:hAnsiTheme="minorHAnsi"/>
          <w:b w:val="0"/>
          <w:bCs w:val="0"/>
          <w:szCs w:val="22"/>
        </w:rPr>
      </w:pPr>
    </w:p>
    <w:p w:rsidR="006D49CF" w:rsidRDefault="00B60184" w:rsidP="006D49CF">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ATA </w:t>
      </w:r>
      <w:r w:rsidR="004F2C94">
        <w:rPr>
          <w:rFonts w:asciiTheme="minorHAnsi" w:hAnsiTheme="minorHAnsi"/>
          <w:b w:val="0"/>
          <w:bCs w:val="0"/>
          <w:szCs w:val="22"/>
        </w:rPr>
        <w:t>offers</w:t>
      </w:r>
      <w:r>
        <w:rPr>
          <w:rFonts w:asciiTheme="minorHAnsi" w:hAnsiTheme="minorHAnsi"/>
          <w:b w:val="0"/>
          <w:bCs w:val="0"/>
          <w:szCs w:val="22"/>
        </w:rPr>
        <w:t xml:space="preserve"> support</w:t>
      </w:r>
      <w:r w:rsidR="004F2C94">
        <w:rPr>
          <w:rFonts w:asciiTheme="minorHAnsi" w:hAnsiTheme="minorHAnsi"/>
          <w:b w:val="0"/>
          <w:bCs w:val="0"/>
          <w:szCs w:val="22"/>
        </w:rPr>
        <w:t>,</w:t>
      </w:r>
      <w:r>
        <w:rPr>
          <w:rFonts w:asciiTheme="minorHAnsi" w:hAnsiTheme="minorHAnsi"/>
          <w:b w:val="0"/>
          <w:bCs w:val="0"/>
          <w:szCs w:val="22"/>
        </w:rPr>
        <w:t xml:space="preserve"> </w:t>
      </w:r>
      <w:r w:rsidR="007822B2">
        <w:rPr>
          <w:rFonts w:asciiTheme="minorHAnsi" w:hAnsiTheme="minorHAnsi"/>
          <w:b w:val="0"/>
          <w:bCs w:val="0"/>
          <w:szCs w:val="22"/>
        </w:rPr>
        <w:t>with caveats</w:t>
      </w:r>
      <w:r w:rsidR="004F2C94">
        <w:rPr>
          <w:rFonts w:asciiTheme="minorHAnsi" w:hAnsiTheme="minorHAnsi"/>
          <w:b w:val="0"/>
          <w:bCs w:val="0"/>
          <w:szCs w:val="22"/>
        </w:rPr>
        <w:t>,</w:t>
      </w:r>
      <w:r w:rsidR="007822B2">
        <w:rPr>
          <w:rFonts w:asciiTheme="minorHAnsi" w:hAnsiTheme="minorHAnsi"/>
          <w:b w:val="0"/>
          <w:bCs w:val="0"/>
          <w:szCs w:val="22"/>
        </w:rPr>
        <w:t xml:space="preserve"> </w:t>
      </w:r>
      <w:r>
        <w:rPr>
          <w:rFonts w:asciiTheme="minorHAnsi" w:hAnsiTheme="minorHAnsi"/>
          <w:b w:val="0"/>
          <w:bCs w:val="0"/>
          <w:szCs w:val="22"/>
        </w:rPr>
        <w:t xml:space="preserve">for </w:t>
      </w:r>
      <w:r w:rsidR="007F29B2">
        <w:rPr>
          <w:rFonts w:asciiTheme="minorHAnsi" w:hAnsiTheme="minorHAnsi"/>
          <w:b w:val="0"/>
          <w:bCs w:val="0"/>
          <w:szCs w:val="22"/>
        </w:rPr>
        <w:t>policy</w:t>
      </w:r>
      <w:r w:rsidR="00554D1E">
        <w:rPr>
          <w:rFonts w:asciiTheme="minorHAnsi" w:hAnsiTheme="minorHAnsi"/>
          <w:b w:val="0"/>
          <w:bCs w:val="0"/>
          <w:szCs w:val="22"/>
        </w:rPr>
        <w:t xml:space="preserve"> o</w:t>
      </w:r>
      <w:r>
        <w:rPr>
          <w:rFonts w:asciiTheme="minorHAnsi" w:hAnsiTheme="minorHAnsi"/>
          <w:b w:val="0"/>
          <w:bCs w:val="0"/>
          <w:szCs w:val="22"/>
        </w:rPr>
        <w:t>ption 3</w:t>
      </w:r>
      <w:r w:rsidR="004F2C94">
        <w:rPr>
          <w:rFonts w:asciiTheme="minorHAnsi" w:hAnsiTheme="minorHAnsi"/>
          <w:b w:val="0"/>
          <w:bCs w:val="0"/>
          <w:szCs w:val="22"/>
        </w:rPr>
        <w:t xml:space="preserve"> </w:t>
      </w:r>
      <w:r w:rsidR="007822B2">
        <w:rPr>
          <w:rFonts w:asciiTheme="minorHAnsi" w:hAnsiTheme="minorHAnsi"/>
          <w:b w:val="0"/>
          <w:bCs w:val="0"/>
          <w:szCs w:val="22"/>
        </w:rPr>
        <w:t xml:space="preserve">which is </w:t>
      </w:r>
      <w:r w:rsidR="0074161F">
        <w:rPr>
          <w:rFonts w:asciiTheme="minorHAnsi" w:hAnsiTheme="minorHAnsi"/>
          <w:b w:val="0"/>
          <w:bCs w:val="0"/>
          <w:szCs w:val="22"/>
        </w:rPr>
        <w:t xml:space="preserve">a mixture </w:t>
      </w:r>
      <w:r w:rsidR="007F29B2">
        <w:rPr>
          <w:rFonts w:asciiTheme="minorHAnsi" w:hAnsiTheme="minorHAnsi"/>
          <w:b w:val="0"/>
          <w:bCs w:val="0"/>
          <w:szCs w:val="22"/>
        </w:rPr>
        <w:t xml:space="preserve">of </w:t>
      </w:r>
      <w:r w:rsidR="0074161F" w:rsidRPr="005629BD">
        <w:rPr>
          <w:rFonts w:asciiTheme="minorHAnsi" w:hAnsiTheme="minorHAnsi"/>
          <w:b w:val="0"/>
          <w:bCs w:val="0"/>
          <w:szCs w:val="22"/>
        </w:rPr>
        <w:t>regulatory</w:t>
      </w:r>
      <w:r w:rsidR="0074161F">
        <w:rPr>
          <w:rFonts w:asciiTheme="minorHAnsi" w:hAnsiTheme="minorHAnsi"/>
          <w:b w:val="0"/>
          <w:bCs w:val="0"/>
          <w:szCs w:val="22"/>
        </w:rPr>
        <w:t xml:space="preserve"> and non-regulatory reforms</w:t>
      </w:r>
      <w:r>
        <w:rPr>
          <w:rFonts w:asciiTheme="minorHAnsi" w:hAnsiTheme="minorHAnsi"/>
          <w:b w:val="0"/>
          <w:bCs w:val="0"/>
          <w:szCs w:val="22"/>
        </w:rPr>
        <w:t xml:space="preserve">. </w:t>
      </w:r>
      <w:r w:rsidR="00911F35">
        <w:rPr>
          <w:rFonts w:asciiTheme="minorHAnsi" w:hAnsiTheme="minorHAnsi"/>
          <w:b w:val="0"/>
          <w:bCs w:val="0"/>
          <w:szCs w:val="22"/>
        </w:rPr>
        <w:t xml:space="preserve"> </w:t>
      </w:r>
      <w:r w:rsidR="00306AF6">
        <w:rPr>
          <w:rFonts w:asciiTheme="minorHAnsi" w:hAnsiTheme="minorHAnsi"/>
          <w:b w:val="0"/>
          <w:bCs w:val="0"/>
          <w:szCs w:val="22"/>
        </w:rPr>
        <w:t>Th</w:t>
      </w:r>
      <w:r w:rsidR="00C93FAB">
        <w:rPr>
          <w:rFonts w:asciiTheme="minorHAnsi" w:hAnsiTheme="minorHAnsi"/>
          <w:b w:val="0"/>
          <w:bCs w:val="0"/>
          <w:szCs w:val="22"/>
        </w:rPr>
        <w:t>e</w:t>
      </w:r>
      <w:r w:rsidR="00306AF6">
        <w:rPr>
          <w:rFonts w:asciiTheme="minorHAnsi" w:hAnsiTheme="minorHAnsi"/>
          <w:b w:val="0"/>
          <w:bCs w:val="0"/>
          <w:szCs w:val="22"/>
        </w:rPr>
        <w:t xml:space="preserve"> option’s emphasis on</w:t>
      </w:r>
      <w:r w:rsidR="00744782">
        <w:rPr>
          <w:rFonts w:asciiTheme="minorHAnsi" w:hAnsiTheme="minorHAnsi"/>
          <w:b w:val="0"/>
          <w:bCs w:val="0"/>
          <w:szCs w:val="22"/>
        </w:rPr>
        <w:t xml:space="preserve"> </w:t>
      </w:r>
      <w:r w:rsidR="0074161F">
        <w:rPr>
          <w:rFonts w:asciiTheme="minorHAnsi" w:hAnsiTheme="minorHAnsi"/>
          <w:b w:val="0"/>
          <w:bCs w:val="0"/>
          <w:szCs w:val="22"/>
        </w:rPr>
        <w:t xml:space="preserve">national </w:t>
      </w:r>
      <w:r w:rsidR="007822B2">
        <w:rPr>
          <w:rFonts w:asciiTheme="minorHAnsi" w:hAnsiTheme="minorHAnsi"/>
          <w:b w:val="0"/>
          <w:bCs w:val="0"/>
          <w:szCs w:val="22"/>
        </w:rPr>
        <w:t>consistency</w:t>
      </w:r>
      <w:r w:rsidR="00911F35">
        <w:rPr>
          <w:rFonts w:asciiTheme="minorHAnsi" w:hAnsiTheme="minorHAnsi"/>
          <w:b w:val="0"/>
          <w:bCs w:val="0"/>
          <w:szCs w:val="22"/>
        </w:rPr>
        <w:t xml:space="preserve"> is </w:t>
      </w:r>
      <w:r w:rsidR="00601230">
        <w:rPr>
          <w:rFonts w:asciiTheme="minorHAnsi" w:hAnsiTheme="minorHAnsi"/>
          <w:b w:val="0"/>
          <w:bCs w:val="0"/>
          <w:szCs w:val="22"/>
        </w:rPr>
        <w:t xml:space="preserve">strongly </w:t>
      </w:r>
      <w:r w:rsidR="00911F35">
        <w:rPr>
          <w:rFonts w:asciiTheme="minorHAnsi" w:hAnsiTheme="minorHAnsi"/>
          <w:b w:val="0"/>
          <w:bCs w:val="0"/>
          <w:szCs w:val="22"/>
        </w:rPr>
        <w:t xml:space="preserve">supported </w:t>
      </w:r>
      <w:r w:rsidR="00306AF6">
        <w:rPr>
          <w:rFonts w:asciiTheme="minorHAnsi" w:hAnsiTheme="minorHAnsi"/>
          <w:b w:val="0"/>
          <w:bCs w:val="0"/>
          <w:szCs w:val="22"/>
        </w:rPr>
        <w:t xml:space="preserve">by industry </w:t>
      </w:r>
      <w:r w:rsidR="00BF40B8">
        <w:rPr>
          <w:rFonts w:asciiTheme="minorHAnsi" w:hAnsiTheme="minorHAnsi"/>
          <w:b w:val="0"/>
          <w:bCs w:val="0"/>
          <w:szCs w:val="22"/>
        </w:rPr>
        <w:t>in the areas of</w:t>
      </w:r>
      <w:r w:rsidR="0074161F">
        <w:rPr>
          <w:rFonts w:asciiTheme="minorHAnsi" w:hAnsiTheme="minorHAnsi"/>
          <w:b w:val="0"/>
          <w:bCs w:val="0"/>
          <w:szCs w:val="22"/>
        </w:rPr>
        <w:t xml:space="preserve"> </w:t>
      </w:r>
      <w:r w:rsidR="00C35C03">
        <w:rPr>
          <w:rFonts w:asciiTheme="minorHAnsi" w:hAnsiTheme="minorHAnsi"/>
          <w:b w:val="0"/>
          <w:bCs w:val="0"/>
          <w:szCs w:val="22"/>
        </w:rPr>
        <w:t xml:space="preserve">vehicle </w:t>
      </w:r>
      <w:r w:rsidR="0074161F">
        <w:rPr>
          <w:rFonts w:asciiTheme="minorHAnsi" w:hAnsiTheme="minorHAnsi"/>
          <w:b w:val="0"/>
          <w:bCs w:val="0"/>
          <w:szCs w:val="22"/>
        </w:rPr>
        <w:t>in</w:t>
      </w:r>
      <w:r w:rsidR="006C1128">
        <w:rPr>
          <w:rFonts w:asciiTheme="minorHAnsi" w:hAnsiTheme="minorHAnsi"/>
          <w:b w:val="0"/>
          <w:bCs w:val="0"/>
          <w:szCs w:val="22"/>
        </w:rPr>
        <w:t>spection processes, guidance material</w:t>
      </w:r>
      <w:r w:rsidR="007822B2">
        <w:rPr>
          <w:rFonts w:asciiTheme="minorHAnsi" w:hAnsiTheme="minorHAnsi"/>
          <w:b w:val="0"/>
          <w:bCs w:val="0"/>
          <w:szCs w:val="22"/>
        </w:rPr>
        <w:t xml:space="preserve">s, and </w:t>
      </w:r>
      <w:r w:rsidR="006C1128">
        <w:rPr>
          <w:rFonts w:asciiTheme="minorHAnsi" w:hAnsiTheme="minorHAnsi"/>
          <w:b w:val="0"/>
          <w:bCs w:val="0"/>
          <w:szCs w:val="22"/>
        </w:rPr>
        <w:t xml:space="preserve">defect </w:t>
      </w:r>
      <w:r w:rsidR="0074161F" w:rsidRPr="0074161F">
        <w:rPr>
          <w:rFonts w:asciiTheme="minorHAnsi" w:hAnsiTheme="minorHAnsi"/>
          <w:b w:val="0"/>
          <w:bCs w:val="0"/>
          <w:szCs w:val="22"/>
        </w:rPr>
        <w:t>procedures</w:t>
      </w:r>
      <w:r w:rsidR="007822B2">
        <w:rPr>
          <w:rFonts w:asciiTheme="minorHAnsi" w:hAnsiTheme="minorHAnsi"/>
          <w:b w:val="0"/>
          <w:bCs w:val="0"/>
          <w:szCs w:val="22"/>
        </w:rPr>
        <w:t>;</w:t>
      </w:r>
      <w:r w:rsidR="006C1128">
        <w:rPr>
          <w:rFonts w:asciiTheme="minorHAnsi" w:hAnsiTheme="minorHAnsi"/>
          <w:b w:val="0"/>
          <w:bCs w:val="0"/>
          <w:szCs w:val="22"/>
        </w:rPr>
        <w:t xml:space="preserve"> </w:t>
      </w:r>
      <w:r w:rsidR="007A08F2">
        <w:rPr>
          <w:rFonts w:asciiTheme="minorHAnsi" w:hAnsiTheme="minorHAnsi"/>
          <w:b w:val="0"/>
          <w:bCs w:val="0"/>
          <w:szCs w:val="22"/>
        </w:rPr>
        <w:t>e</w:t>
      </w:r>
      <w:r w:rsidR="0074161F" w:rsidRPr="0074161F">
        <w:rPr>
          <w:rFonts w:asciiTheme="minorHAnsi" w:hAnsiTheme="minorHAnsi"/>
          <w:b w:val="0"/>
          <w:bCs w:val="0"/>
          <w:szCs w:val="22"/>
        </w:rPr>
        <w:t>ducation and training</w:t>
      </w:r>
      <w:r w:rsidR="007A08F2">
        <w:rPr>
          <w:rFonts w:asciiTheme="minorHAnsi" w:hAnsiTheme="minorHAnsi"/>
          <w:b w:val="0"/>
          <w:bCs w:val="0"/>
          <w:szCs w:val="22"/>
        </w:rPr>
        <w:t xml:space="preserve">; </w:t>
      </w:r>
      <w:r w:rsidR="00AE5451">
        <w:rPr>
          <w:rFonts w:asciiTheme="minorHAnsi" w:hAnsiTheme="minorHAnsi"/>
          <w:b w:val="0"/>
          <w:bCs w:val="0"/>
          <w:szCs w:val="22"/>
        </w:rPr>
        <w:t xml:space="preserve">and </w:t>
      </w:r>
      <w:r w:rsidR="007A08F2">
        <w:rPr>
          <w:rFonts w:asciiTheme="minorHAnsi" w:hAnsiTheme="minorHAnsi"/>
          <w:b w:val="0"/>
          <w:bCs w:val="0"/>
          <w:szCs w:val="22"/>
        </w:rPr>
        <w:t>e</w:t>
      </w:r>
      <w:r w:rsidR="0074161F" w:rsidRPr="0074161F">
        <w:rPr>
          <w:rFonts w:asciiTheme="minorHAnsi" w:hAnsiTheme="minorHAnsi"/>
          <w:b w:val="0"/>
          <w:bCs w:val="0"/>
          <w:szCs w:val="22"/>
        </w:rPr>
        <w:t xml:space="preserve">nhanced </w:t>
      </w:r>
      <w:r w:rsidR="00AE5451">
        <w:rPr>
          <w:rFonts w:asciiTheme="minorHAnsi" w:hAnsiTheme="minorHAnsi"/>
          <w:b w:val="0"/>
          <w:bCs w:val="0"/>
          <w:szCs w:val="22"/>
        </w:rPr>
        <w:t xml:space="preserve">risk-based </w:t>
      </w:r>
      <w:r w:rsidR="00306AF6">
        <w:rPr>
          <w:rFonts w:asciiTheme="minorHAnsi" w:hAnsiTheme="minorHAnsi"/>
          <w:b w:val="0"/>
          <w:bCs w:val="0"/>
          <w:szCs w:val="22"/>
        </w:rPr>
        <w:t xml:space="preserve">enforcement </w:t>
      </w:r>
      <w:r w:rsidR="0074161F" w:rsidRPr="0074161F">
        <w:rPr>
          <w:rFonts w:asciiTheme="minorHAnsi" w:hAnsiTheme="minorHAnsi"/>
          <w:b w:val="0"/>
          <w:bCs w:val="0"/>
          <w:szCs w:val="22"/>
        </w:rPr>
        <w:t>targeting capabilities</w:t>
      </w:r>
      <w:r w:rsidR="007A08F2">
        <w:rPr>
          <w:rFonts w:asciiTheme="minorHAnsi" w:hAnsiTheme="minorHAnsi"/>
          <w:b w:val="0"/>
          <w:bCs w:val="0"/>
          <w:szCs w:val="22"/>
        </w:rPr>
        <w:t xml:space="preserve">. </w:t>
      </w:r>
      <w:r w:rsidR="00911F35">
        <w:rPr>
          <w:rFonts w:asciiTheme="minorHAnsi" w:hAnsiTheme="minorHAnsi"/>
          <w:b w:val="0"/>
          <w:bCs w:val="0"/>
          <w:szCs w:val="22"/>
        </w:rPr>
        <w:t xml:space="preserve"> Since</w:t>
      </w:r>
      <w:r w:rsidR="006D49CF">
        <w:rPr>
          <w:rFonts w:asciiTheme="minorHAnsi" w:hAnsiTheme="minorHAnsi"/>
          <w:b w:val="0"/>
          <w:bCs w:val="0"/>
          <w:szCs w:val="22"/>
        </w:rPr>
        <w:t xml:space="preserve"> there is no evidence </w:t>
      </w:r>
      <w:r w:rsidR="004F2C94">
        <w:rPr>
          <w:rFonts w:asciiTheme="minorHAnsi" w:hAnsiTheme="minorHAnsi"/>
          <w:b w:val="0"/>
          <w:bCs w:val="0"/>
          <w:szCs w:val="22"/>
        </w:rPr>
        <w:t>for</w:t>
      </w:r>
      <w:r w:rsidR="006D49CF">
        <w:rPr>
          <w:rFonts w:asciiTheme="minorHAnsi" w:hAnsiTheme="minorHAnsi"/>
          <w:b w:val="0"/>
          <w:bCs w:val="0"/>
          <w:szCs w:val="22"/>
        </w:rPr>
        <w:t xml:space="preserve"> a </w:t>
      </w:r>
      <w:r w:rsidR="00BF40B8">
        <w:rPr>
          <w:rFonts w:asciiTheme="minorHAnsi" w:hAnsiTheme="minorHAnsi"/>
          <w:b w:val="0"/>
          <w:bCs w:val="0"/>
          <w:szCs w:val="22"/>
        </w:rPr>
        <w:t>safety</w:t>
      </w:r>
      <w:r w:rsidR="006D49CF">
        <w:rPr>
          <w:rFonts w:asciiTheme="minorHAnsi" w:hAnsiTheme="minorHAnsi"/>
          <w:b w:val="0"/>
          <w:bCs w:val="0"/>
          <w:szCs w:val="22"/>
        </w:rPr>
        <w:t xml:space="preserve"> crisis in the trucking industry, the ATA believes that </w:t>
      </w:r>
      <w:r w:rsidR="00C35C03">
        <w:rPr>
          <w:rFonts w:asciiTheme="minorHAnsi" w:hAnsiTheme="minorHAnsi"/>
          <w:b w:val="0"/>
          <w:bCs w:val="0"/>
          <w:szCs w:val="22"/>
        </w:rPr>
        <w:t>gains in</w:t>
      </w:r>
      <w:r w:rsidR="006D49CF">
        <w:rPr>
          <w:rFonts w:asciiTheme="minorHAnsi" w:hAnsiTheme="minorHAnsi"/>
          <w:b w:val="0"/>
          <w:bCs w:val="0"/>
          <w:szCs w:val="22"/>
        </w:rPr>
        <w:t xml:space="preserve"> </w:t>
      </w:r>
      <w:r w:rsidR="00BF40B8">
        <w:rPr>
          <w:rFonts w:asciiTheme="minorHAnsi" w:hAnsiTheme="minorHAnsi"/>
          <w:b w:val="0"/>
          <w:bCs w:val="0"/>
          <w:szCs w:val="22"/>
        </w:rPr>
        <w:t xml:space="preserve">heavy vehicle road </w:t>
      </w:r>
      <w:r w:rsidR="004F2C94">
        <w:rPr>
          <w:rFonts w:asciiTheme="minorHAnsi" w:hAnsiTheme="minorHAnsi"/>
          <w:b w:val="0"/>
          <w:bCs w:val="0"/>
          <w:szCs w:val="22"/>
        </w:rPr>
        <w:t>safety</w:t>
      </w:r>
      <w:r w:rsidR="006D49CF">
        <w:rPr>
          <w:rFonts w:asciiTheme="minorHAnsi" w:hAnsiTheme="minorHAnsi"/>
          <w:b w:val="0"/>
          <w:bCs w:val="0"/>
          <w:szCs w:val="22"/>
        </w:rPr>
        <w:t xml:space="preserve"> </w:t>
      </w:r>
      <w:r w:rsidR="00A6771F">
        <w:rPr>
          <w:rFonts w:asciiTheme="minorHAnsi" w:hAnsiTheme="minorHAnsi"/>
          <w:b w:val="0"/>
          <w:bCs w:val="0"/>
          <w:szCs w:val="22"/>
        </w:rPr>
        <w:t>will</w:t>
      </w:r>
      <w:r w:rsidR="006D49CF">
        <w:rPr>
          <w:rFonts w:asciiTheme="minorHAnsi" w:hAnsiTheme="minorHAnsi"/>
          <w:b w:val="0"/>
          <w:bCs w:val="0"/>
          <w:szCs w:val="22"/>
        </w:rPr>
        <w:t xml:space="preserve"> be made if roadworthiness approaches </w:t>
      </w:r>
      <w:r w:rsidR="0049298D">
        <w:rPr>
          <w:rFonts w:asciiTheme="minorHAnsi" w:hAnsiTheme="minorHAnsi"/>
          <w:b w:val="0"/>
          <w:bCs w:val="0"/>
          <w:szCs w:val="22"/>
        </w:rPr>
        <w:t xml:space="preserve">administered by the jurisdictions </w:t>
      </w:r>
      <w:r w:rsidR="006D49CF">
        <w:rPr>
          <w:rFonts w:asciiTheme="minorHAnsi" w:hAnsiTheme="minorHAnsi"/>
          <w:b w:val="0"/>
          <w:bCs w:val="0"/>
          <w:szCs w:val="22"/>
        </w:rPr>
        <w:t>are consistent</w:t>
      </w:r>
      <w:r w:rsidR="0049298D">
        <w:rPr>
          <w:rFonts w:asciiTheme="minorHAnsi" w:hAnsiTheme="minorHAnsi"/>
          <w:b w:val="0"/>
          <w:bCs w:val="0"/>
          <w:szCs w:val="22"/>
        </w:rPr>
        <w:t xml:space="preserve"> in </w:t>
      </w:r>
      <w:r w:rsidR="00BF40B8">
        <w:rPr>
          <w:rFonts w:asciiTheme="minorHAnsi" w:hAnsiTheme="minorHAnsi"/>
          <w:b w:val="0"/>
          <w:bCs w:val="0"/>
          <w:szCs w:val="22"/>
        </w:rPr>
        <w:t>both</w:t>
      </w:r>
      <w:r w:rsidR="0049298D">
        <w:rPr>
          <w:rFonts w:asciiTheme="minorHAnsi" w:hAnsiTheme="minorHAnsi"/>
          <w:b w:val="0"/>
          <w:bCs w:val="0"/>
          <w:szCs w:val="22"/>
        </w:rPr>
        <w:t xml:space="preserve"> </w:t>
      </w:r>
      <w:r w:rsidR="00744782">
        <w:rPr>
          <w:rFonts w:asciiTheme="minorHAnsi" w:hAnsiTheme="minorHAnsi"/>
          <w:b w:val="0"/>
          <w:bCs w:val="0"/>
          <w:szCs w:val="22"/>
        </w:rPr>
        <w:t xml:space="preserve">design and </w:t>
      </w:r>
      <w:r w:rsidR="0049298D">
        <w:rPr>
          <w:rFonts w:asciiTheme="minorHAnsi" w:hAnsiTheme="minorHAnsi"/>
          <w:b w:val="0"/>
          <w:bCs w:val="0"/>
          <w:szCs w:val="22"/>
        </w:rPr>
        <w:t>application</w:t>
      </w:r>
      <w:r w:rsidR="006D49CF">
        <w:rPr>
          <w:rFonts w:asciiTheme="minorHAnsi" w:hAnsiTheme="minorHAnsi"/>
          <w:b w:val="0"/>
          <w:bCs w:val="0"/>
          <w:szCs w:val="22"/>
        </w:rPr>
        <w:t xml:space="preserve">. </w:t>
      </w:r>
    </w:p>
    <w:p w:rsidR="006D49CF" w:rsidRDefault="006D49CF" w:rsidP="0074161F">
      <w:pPr>
        <w:pStyle w:val="BodyText2"/>
        <w:spacing w:line="269" w:lineRule="auto"/>
        <w:rPr>
          <w:rFonts w:asciiTheme="minorHAnsi" w:hAnsiTheme="minorHAnsi"/>
          <w:b w:val="0"/>
          <w:bCs w:val="0"/>
          <w:szCs w:val="22"/>
        </w:rPr>
      </w:pPr>
    </w:p>
    <w:p w:rsidR="007A08F2" w:rsidRDefault="007A08F2" w:rsidP="0074161F">
      <w:pPr>
        <w:pStyle w:val="BodyText2"/>
        <w:spacing w:line="269" w:lineRule="auto"/>
        <w:rPr>
          <w:rFonts w:asciiTheme="minorHAnsi" w:hAnsiTheme="minorHAnsi"/>
          <w:b w:val="0"/>
          <w:bCs w:val="0"/>
          <w:szCs w:val="22"/>
        </w:rPr>
      </w:pPr>
      <w:r>
        <w:rPr>
          <w:rFonts w:asciiTheme="minorHAnsi" w:hAnsiTheme="minorHAnsi"/>
          <w:b w:val="0"/>
          <w:bCs w:val="0"/>
          <w:szCs w:val="22"/>
        </w:rPr>
        <w:t>The c</w:t>
      </w:r>
      <w:r w:rsidRPr="005629BD">
        <w:rPr>
          <w:rFonts w:asciiTheme="minorHAnsi" w:hAnsiTheme="minorHAnsi"/>
          <w:b w:val="0"/>
          <w:bCs w:val="0"/>
          <w:szCs w:val="22"/>
        </w:rPr>
        <w:t xml:space="preserve">hain of responsibility </w:t>
      </w:r>
      <w:r>
        <w:rPr>
          <w:rFonts w:asciiTheme="minorHAnsi" w:hAnsiTheme="minorHAnsi"/>
          <w:b w:val="0"/>
          <w:bCs w:val="0"/>
          <w:szCs w:val="22"/>
        </w:rPr>
        <w:t xml:space="preserve">element in </w:t>
      </w:r>
      <w:r w:rsidR="0049298D">
        <w:rPr>
          <w:rFonts w:asciiTheme="minorHAnsi" w:hAnsiTheme="minorHAnsi"/>
          <w:b w:val="0"/>
          <w:bCs w:val="0"/>
          <w:szCs w:val="22"/>
        </w:rPr>
        <w:t>o</w:t>
      </w:r>
      <w:r>
        <w:rPr>
          <w:rFonts w:asciiTheme="minorHAnsi" w:hAnsiTheme="minorHAnsi"/>
          <w:b w:val="0"/>
          <w:bCs w:val="0"/>
          <w:szCs w:val="22"/>
        </w:rPr>
        <w:t>ption 3 is</w:t>
      </w:r>
      <w:r w:rsidRPr="005629BD">
        <w:rPr>
          <w:rFonts w:asciiTheme="minorHAnsi" w:hAnsiTheme="minorHAnsi"/>
          <w:b w:val="0"/>
          <w:bCs w:val="0"/>
          <w:szCs w:val="22"/>
        </w:rPr>
        <w:t xml:space="preserve"> </w:t>
      </w:r>
      <w:r w:rsidR="00A6771F">
        <w:rPr>
          <w:rFonts w:asciiTheme="minorHAnsi" w:hAnsiTheme="minorHAnsi"/>
          <w:b w:val="0"/>
          <w:bCs w:val="0"/>
          <w:szCs w:val="22"/>
        </w:rPr>
        <w:t xml:space="preserve">also </w:t>
      </w:r>
      <w:r w:rsidRPr="005629BD">
        <w:rPr>
          <w:rFonts w:asciiTheme="minorHAnsi" w:hAnsiTheme="minorHAnsi"/>
          <w:b w:val="0"/>
          <w:bCs w:val="0"/>
          <w:szCs w:val="22"/>
        </w:rPr>
        <w:t>supported</w:t>
      </w:r>
      <w:r w:rsidR="00E3475D">
        <w:rPr>
          <w:rFonts w:asciiTheme="minorHAnsi" w:hAnsiTheme="minorHAnsi"/>
          <w:b w:val="0"/>
          <w:bCs w:val="0"/>
          <w:szCs w:val="22"/>
        </w:rPr>
        <w:t>,</w:t>
      </w:r>
      <w:r>
        <w:rPr>
          <w:rFonts w:asciiTheme="minorHAnsi" w:hAnsiTheme="minorHAnsi"/>
          <w:b w:val="0"/>
          <w:bCs w:val="0"/>
          <w:szCs w:val="22"/>
        </w:rPr>
        <w:t xml:space="preserve"> but</w:t>
      </w:r>
      <w:r w:rsidR="00FC3B37">
        <w:rPr>
          <w:rFonts w:asciiTheme="minorHAnsi" w:hAnsiTheme="minorHAnsi"/>
          <w:b w:val="0"/>
          <w:bCs w:val="0"/>
          <w:szCs w:val="22"/>
        </w:rPr>
        <w:t xml:space="preserve"> only</w:t>
      </w:r>
      <w:r>
        <w:rPr>
          <w:rFonts w:asciiTheme="minorHAnsi" w:hAnsiTheme="minorHAnsi"/>
          <w:b w:val="0"/>
          <w:bCs w:val="0"/>
          <w:szCs w:val="22"/>
        </w:rPr>
        <w:t xml:space="preserve"> in the context of </w:t>
      </w:r>
      <w:r w:rsidR="00E3475D">
        <w:rPr>
          <w:rFonts w:asciiTheme="minorHAnsi" w:hAnsiTheme="minorHAnsi"/>
          <w:b w:val="0"/>
          <w:bCs w:val="0"/>
          <w:szCs w:val="22"/>
        </w:rPr>
        <w:t xml:space="preserve">the </w:t>
      </w:r>
      <w:r>
        <w:rPr>
          <w:rFonts w:asciiTheme="minorHAnsi" w:hAnsiTheme="minorHAnsi"/>
          <w:b w:val="0"/>
          <w:bCs w:val="0"/>
          <w:szCs w:val="22"/>
        </w:rPr>
        <w:t>earlier ATA proposal for a significant restructure and clarification of heavy vehicle national law (HVNL) provisions</w:t>
      </w:r>
      <w:r w:rsidRPr="005629BD">
        <w:rPr>
          <w:rFonts w:asciiTheme="minorHAnsi" w:hAnsiTheme="minorHAnsi"/>
          <w:b w:val="0"/>
          <w:bCs w:val="0"/>
          <w:szCs w:val="22"/>
        </w:rPr>
        <w:t>.</w:t>
      </w:r>
    </w:p>
    <w:p w:rsidR="007A08F2" w:rsidRDefault="007A08F2" w:rsidP="0074161F">
      <w:pPr>
        <w:pStyle w:val="BodyText2"/>
        <w:spacing w:line="269" w:lineRule="auto"/>
        <w:rPr>
          <w:rFonts w:asciiTheme="minorHAnsi" w:hAnsiTheme="minorHAnsi"/>
          <w:b w:val="0"/>
          <w:bCs w:val="0"/>
          <w:szCs w:val="22"/>
        </w:rPr>
      </w:pPr>
    </w:p>
    <w:p w:rsidR="00645476" w:rsidRDefault="007A08F2" w:rsidP="00923F4B">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ATA does </w:t>
      </w:r>
      <w:r w:rsidRPr="008348A3">
        <w:rPr>
          <w:rFonts w:asciiTheme="minorHAnsi" w:hAnsiTheme="minorHAnsi"/>
          <w:b w:val="0"/>
          <w:bCs w:val="0"/>
          <w:szCs w:val="22"/>
          <w:u w:val="single"/>
        </w:rPr>
        <w:t>not</w:t>
      </w:r>
      <w:r>
        <w:rPr>
          <w:rFonts w:asciiTheme="minorHAnsi" w:hAnsiTheme="minorHAnsi"/>
          <w:b w:val="0"/>
          <w:bCs w:val="0"/>
          <w:szCs w:val="22"/>
        </w:rPr>
        <w:t xml:space="preserve"> support </w:t>
      </w:r>
      <w:r w:rsidR="007D3E06" w:rsidRPr="007A08F2">
        <w:rPr>
          <w:rFonts w:asciiTheme="minorHAnsi" w:hAnsiTheme="minorHAnsi"/>
          <w:b w:val="0"/>
          <w:bCs w:val="0"/>
          <w:i/>
          <w:szCs w:val="22"/>
        </w:rPr>
        <w:t>mandatory accreditation</w:t>
      </w:r>
      <w:r w:rsidR="007D3E06">
        <w:rPr>
          <w:rFonts w:asciiTheme="minorHAnsi" w:hAnsiTheme="minorHAnsi"/>
          <w:b w:val="0"/>
          <w:bCs w:val="0"/>
          <w:szCs w:val="22"/>
        </w:rPr>
        <w:t xml:space="preserve"> </w:t>
      </w:r>
      <w:r w:rsidR="00B316CC">
        <w:rPr>
          <w:rFonts w:asciiTheme="minorHAnsi" w:hAnsiTheme="minorHAnsi"/>
          <w:b w:val="0"/>
          <w:bCs w:val="0"/>
          <w:szCs w:val="22"/>
        </w:rPr>
        <w:t xml:space="preserve">for industry as set out </w:t>
      </w:r>
      <w:r w:rsidR="00645476">
        <w:rPr>
          <w:rFonts w:asciiTheme="minorHAnsi" w:hAnsiTheme="minorHAnsi"/>
          <w:b w:val="0"/>
          <w:bCs w:val="0"/>
          <w:szCs w:val="22"/>
        </w:rPr>
        <w:t>in option 3</w:t>
      </w:r>
      <w:r w:rsidR="00393471">
        <w:rPr>
          <w:rFonts w:asciiTheme="minorHAnsi" w:hAnsiTheme="minorHAnsi"/>
          <w:b w:val="0"/>
          <w:bCs w:val="0"/>
          <w:szCs w:val="22"/>
        </w:rPr>
        <w:t xml:space="preserve"> largely</w:t>
      </w:r>
      <w:r w:rsidR="00645476">
        <w:rPr>
          <w:rFonts w:asciiTheme="minorHAnsi" w:hAnsiTheme="minorHAnsi"/>
          <w:b w:val="0"/>
          <w:bCs w:val="0"/>
          <w:szCs w:val="22"/>
        </w:rPr>
        <w:t xml:space="preserve"> because there is no evidence </w:t>
      </w:r>
      <w:r w:rsidR="00393471">
        <w:rPr>
          <w:rFonts w:asciiTheme="minorHAnsi" w:hAnsiTheme="minorHAnsi"/>
          <w:b w:val="0"/>
          <w:bCs w:val="0"/>
          <w:szCs w:val="22"/>
        </w:rPr>
        <w:t>that enrolment in the</w:t>
      </w:r>
      <w:r w:rsidR="00645476">
        <w:rPr>
          <w:rFonts w:asciiTheme="minorHAnsi" w:hAnsiTheme="minorHAnsi"/>
          <w:b w:val="0"/>
          <w:bCs w:val="0"/>
          <w:szCs w:val="22"/>
        </w:rPr>
        <w:t xml:space="preserve"> </w:t>
      </w:r>
      <w:r w:rsidR="00165E9E">
        <w:rPr>
          <w:rFonts w:asciiTheme="minorHAnsi" w:hAnsiTheme="minorHAnsi"/>
          <w:b w:val="0"/>
          <w:bCs w:val="0"/>
          <w:szCs w:val="22"/>
        </w:rPr>
        <w:t xml:space="preserve">current </w:t>
      </w:r>
      <w:r w:rsidR="00393471">
        <w:rPr>
          <w:rFonts w:asciiTheme="minorHAnsi" w:hAnsiTheme="minorHAnsi"/>
          <w:b w:val="0"/>
          <w:bCs w:val="0"/>
          <w:szCs w:val="22"/>
        </w:rPr>
        <w:t xml:space="preserve">NHVAS creates better road safety outcomes. On the other hand, TruckSafe® is a high-quality private sector compliance assurance management system which builds a </w:t>
      </w:r>
      <w:r w:rsidR="00E22F46">
        <w:rPr>
          <w:rFonts w:asciiTheme="minorHAnsi" w:hAnsiTheme="minorHAnsi"/>
          <w:b w:val="0"/>
          <w:bCs w:val="0"/>
          <w:szCs w:val="22"/>
        </w:rPr>
        <w:t>robust</w:t>
      </w:r>
      <w:r w:rsidR="001F53BF">
        <w:rPr>
          <w:rFonts w:asciiTheme="minorHAnsi" w:hAnsiTheme="minorHAnsi"/>
          <w:b w:val="0"/>
          <w:bCs w:val="0"/>
          <w:szCs w:val="22"/>
        </w:rPr>
        <w:t xml:space="preserve"> </w:t>
      </w:r>
      <w:r w:rsidR="00393471">
        <w:rPr>
          <w:rFonts w:asciiTheme="minorHAnsi" w:hAnsiTheme="minorHAnsi"/>
          <w:b w:val="0"/>
          <w:bCs w:val="0"/>
          <w:szCs w:val="22"/>
        </w:rPr>
        <w:t xml:space="preserve">safety </w:t>
      </w:r>
      <w:r w:rsidR="000E5E6F">
        <w:rPr>
          <w:rFonts w:asciiTheme="minorHAnsi" w:hAnsiTheme="minorHAnsi"/>
          <w:b w:val="0"/>
          <w:bCs w:val="0"/>
          <w:szCs w:val="22"/>
        </w:rPr>
        <w:t xml:space="preserve">system and </w:t>
      </w:r>
      <w:r w:rsidR="00393471">
        <w:rPr>
          <w:rFonts w:asciiTheme="minorHAnsi" w:hAnsiTheme="minorHAnsi"/>
          <w:b w:val="0"/>
          <w:bCs w:val="0"/>
          <w:szCs w:val="22"/>
        </w:rPr>
        <w:t xml:space="preserve">culture </w:t>
      </w:r>
      <w:r w:rsidR="00165E9E">
        <w:rPr>
          <w:rFonts w:asciiTheme="minorHAnsi" w:hAnsiTheme="minorHAnsi"/>
          <w:b w:val="0"/>
          <w:bCs w:val="0"/>
          <w:szCs w:val="22"/>
        </w:rPr>
        <w:t>for</w:t>
      </w:r>
      <w:r w:rsidR="00393471">
        <w:rPr>
          <w:rFonts w:asciiTheme="minorHAnsi" w:hAnsiTheme="minorHAnsi"/>
          <w:b w:val="0"/>
          <w:bCs w:val="0"/>
          <w:szCs w:val="22"/>
        </w:rPr>
        <w:t xml:space="preserve"> </w:t>
      </w:r>
      <w:r w:rsidR="00165E9E">
        <w:rPr>
          <w:rFonts w:asciiTheme="minorHAnsi" w:hAnsiTheme="minorHAnsi"/>
          <w:b w:val="0"/>
          <w:bCs w:val="0"/>
          <w:szCs w:val="22"/>
        </w:rPr>
        <w:t xml:space="preserve">voluntary </w:t>
      </w:r>
      <w:r w:rsidR="00393471">
        <w:rPr>
          <w:rFonts w:asciiTheme="minorHAnsi" w:hAnsiTheme="minorHAnsi"/>
          <w:b w:val="0"/>
          <w:bCs w:val="0"/>
          <w:szCs w:val="22"/>
        </w:rPr>
        <w:t>participants</w:t>
      </w:r>
      <w:r w:rsidR="000E5E6F">
        <w:rPr>
          <w:rFonts w:asciiTheme="minorHAnsi" w:hAnsiTheme="minorHAnsi"/>
          <w:b w:val="0"/>
          <w:bCs w:val="0"/>
          <w:szCs w:val="22"/>
        </w:rPr>
        <w:t xml:space="preserve"> with a high degree of commitment to road safety</w:t>
      </w:r>
      <w:r w:rsidR="00165E9E">
        <w:rPr>
          <w:rFonts w:asciiTheme="minorHAnsi" w:hAnsiTheme="minorHAnsi"/>
          <w:b w:val="0"/>
          <w:bCs w:val="0"/>
          <w:szCs w:val="22"/>
        </w:rPr>
        <w:t>. This</w:t>
      </w:r>
      <w:r w:rsidR="00393471">
        <w:rPr>
          <w:rFonts w:asciiTheme="minorHAnsi" w:hAnsiTheme="minorHAnsi"/>
          <w:b w:val="0"/>
          <w:bCs w:val="0"/>
          <w:szCs w:val="22"/>
        </w:rPr>
        <w:t xml:space="preserve"> </w:t>
      </w:r>
      <w:r w:rsidR="000E5E6F">
        <w:rPr>
          <w:rFonts w:asciiTheme="minorHAnsi" w:hAnsiTheme="minorHAnsi"/>
          <w:b w:val="0"/>
          <w:bCs w:val="0"/>
          <w:szCs w:val="22"/>
        </w:rPr>
        <w:t>will</w:t>
      </w:r>
      <w:r w:rsidR="00393471">
        <w:rPr>
          <w:rFonts w:asciiTheme="minorHAnsi" w:hAnsiTheme="minorHAnsi"/>
          <w:b w:val="0"/>
          <w:bCs w:val="0"/>
          <w:szCs w:val="22"/>
        </w:rPr>
        <w:t xml:space="preserve"> not be </w:t>
      </w:r>
      <w:r w:rsidR="000E5E6F">
        <w:rPr>
          <w:rFonts w:asciiTheme="minorHAnsi" w:hAnsiTheme="minorHAnsi"/>
          <w:b w:val="0"/>
          <w:bCs w:val="0"/>
          <w:szCs w:val="22"/>
        </w:rPr>
        <w:t>a</w:t>
      </w:r>
      <w:r w:rsidR="00165E9E">
        <w:rPr>
          <w:rFonts w:asciiTheme="minorHAnsi" w:hAnsiTheme="minorHAnsi"/>
          <w:b w:val="0"/>
          <w:bCs w:val="0"/>
          <w:szCs w:val="22"/>
        </w:rPr>
        <w:t xml:space="preserve"> </w:t>
      </w:r>
      <w:r w:rsidR="000E5E6F">
        <w:rPr>
          <w:rFonts w:asciiTheme="minorHAnsi" w:hAnsiTheme="minorHAnsi"/>
          <w:b w:val="0"/>
          <w:bCs w:val="0"/>
          <w:szCs w:val="22"/>
        </w:rPr>
        <w:t>long-lasting outcome</w:t>
      </w:r>
      <w:r w:rsidR="00165E9E">
        <w:rPr>
          <w:rFonts w:asciiTheme="minorHAnsi" w:hAnsiTheme="minorHAnsi"/>
          <w:b w:val="0"/>
          <w:bCs w:val="0"/>
          <w:szCs w:val="22"/>
        </w:rPr>
        <w:t xml:space="preserve"> if </w:t>
      </w:r>
      <w:r w:rsidR="001F53BF">
        <w:rPr>
          <w:rFonts w:asciiTheme="minorHAnsi" w:hAnsiTheme="minorHAnsi"/>
          <w:b w:val="0"/>
          <w:bCs w:val="0"/>
          <w:szCs w:val="22"/>
        </w:rPr>
        <w:t xml:space="preserve">TruckSafe® </w:t>
      </w:r>
      <w:r w:rsidR="00165E9E">
        <w:rPr>
          <w:rFonts w:asciiTheme="minorHAnsi" w:hAnsiTheme="minorHAnsi"/>
          <w:b w:val="0"/>
          <w:bCs w:val="0"/>
          <w:szCs w:val="22"/>
        </w:rPr>
        <w:t>is</w:t>
      </w:r>
      <w:r w:rsidR="001F53BF">
        <w:rPr>
          <w:rFonts w:asciiTheme="minorHAnsi" w:hAnsiTheme="minorHAnsi"/>
          <w:b w:val="0"/>
          <w:bCs w:val="0"/>
          <w:szCs w:val="22"/>
        </w:rPr>
        <w:t xml:space="preserve"> </w:t>
      </w:r>
      <w:r w:rsidR="00165E9E">
        <w:rPr>
          <w:rFonts w:asciiTheme="minorHAnsi" w:hAnsiTheme="minorHAnsi"/>
          <w:b w:val="0"/>
          <w:bCs w:val="0"/>
          <w:szCs w:val="22"/>
        </w:rPr>
        <w:t xml:space="preserve">required to accept </w:t>
      </w:r>
      <w:r w:rsidR="000E5E6F">
        <w:rPr>
          <w:rFonts w:asciiTheme="minorHAnsi" w:hAnsiTheme="minorHAnsi"/>
          <w:b w:val="0"/>
          <w:bCs w:val="0"/>
          <w:szCs w:val="22"/>
        </w:rPr>
        <w:t xml:space="preserve">resistant </w:t>
      </w:r>
      <w:r w:rsidR="001F53BF">
        <w:rPr>
          <w:rFonts w:asciiTheme="minorHAnsi" w:hAnsiTheme="minorHAnsi"/>
          <w:b w:val="0"/>
          <w:bCs w:val="0"/>
          <w:szCs w:val="22"/>
        </w:rPr>
        <w:t xml:space="preserve">operators </w:t>
      </w:r>
      <w:r w:rsidR="00165E9E">
        <w:rPr>
          <w:rFonts w:asciiTheme="minorHAnsi" w:hAnsiTheme="minorHAnsi"/>
          <w:b w:val="0"/>
          <w:bCs w:val="0"/>
          <w:szCs w:val="22"/>
        </w:rPr>
        <w:t xml:space="preserve">who </w:t>
      </w:r>
      <w:r w:rsidR="000E5E6F">
        <w:rPr>
          <w:rFonts w:asciiTheme="minorHAnsi" w:hAnsiTheme="minorHAnsi"/>
          <w:b w:val="0"/>
          <w:bCs w:val="0"/>
          <w:szCs w:val="22"/>
        </w:rPr>
        <w:t>have been</w:t>
      </w:r>
      <w:r w:rsidR="00393471">
        <w:rPr>
          <w:rFonts w:asciiTheme="minorHAnsi" w:hAnsiTheme="minorHAnsi"/>
          <w:b w:val="0"/>
          <w:bCs w:val="0"/>
          <w:szCs w:val="22"/>
        </w:rPr>
        <w:t xml:space="preserve"> forced </w:t>
      </w:r>
      <w:r w:rsidR="000E5E6F">
        <w:rPr>
          <w:rFonts w:asciiTheme="minorHAnsi" w:hAnsiTheme="minorHAnsi"/>
          <w:b w:val="0"/>
          <w:bCs w:val="0"/>
          <w:szCs w:val="22"/>
        </w:rPr>
        <w:t xml:space="preserve">reluctantly </w:t>
      </w:r>
      <w:r w:rsidR="00393471">
        <w:rPr>
          <w:rFonts w:asciiTheme="minorHAnsi" w:hAnsiTheme="minorHAnsi"/>
          <w:b w:val="0"/>
          <w:bCs w:val="0"/>
          <w:szCs w:val="22"/>
        </w:rPr>
        <w:t>to join a scheme.</w:t>
      </w:r>
    </w:p>
    <w:p w:rsidR="005A46A1" w:rsidRDefault="005A46A1" w:rsidP="00923F4B">
      <w:pPr>
        <w:pStyle w:val="BodyText2"/>
        <w:spacing w:line="269" w:lineRule="auto"/>
        <w:rPr>
          <w:rFonts w:asciiTheme="minorHAnsi" w:hAnsiTheme="minorHAnsi"/>
          <w:b w:val="0"/>
          <w:bCs w:val="0"/>
          <w:szCs w:val="22"/>
        </w:rPr>
      </w:pPr>
    </w:p>
    <w:p w:rsidR="00923F4B" w:rsidRPr="007D3E06" w:rsidRDefault="000065AF" w:rsidP="00923F4B">
      <w:pPr>
        <w:pStyle w:val="Heading1"/>
        <w:ind w:left="357" w:hanging="357"/>
        <w:jc w:val="both"/>
        <w:rPr>
          <w:rFonts w:asciiTheme="minorHAnsi" w:hAnsiTheme="minorHAnsi"/>
          <w:sz w:val="24"/>
          <w:szCs w:val="24"/>
        </w:rPr>
      </w:pPr>
      <w:bookmarkStart w:id="6" w:name="_Toc415230141"/>
      <w:r w:rsidRPr="007D3E06">
        <w:rPr>
          <w:rFonts w:asciiTheme="minorHAnsi" w:hAnsiTheme="minorHAnsi"/>
          <w:sz w:val="22"/>
          <w:szCs w:val="22"/>
        </w:rPr>
        <w:t xml:space="preserve">Significant Evidence Is </w:t>
      </w:r>
      <w:r>
        <w:rPr>
          <w:rFonts w:asciiTheme="minorHAnsi" w:hAnsiTheme="minorHAnsi"/>
          <w:sz w:val="22"/>
          <w:szCs w:val="22"/>
        </w:rPr>
        <w:t>Required</w:t>
      </w:r>
      <w:r w:rsidRPr="007D3E06">
        <w:rPr>
          <w:rFonts w:asciiTheme="minorHAnsi" w:hAnsiTheme="minorHAnsi"/>
          <w:sz w:val="22"/>
          <w:szCs w:val="22"/>
        </w:rPr>
        <w:t xml:space="preserve"> For </w:t>
      </w:r>
      <w:r>
        <w:rPr>
          <w:rFonts w:asciiTheme="minorHAnsi" w:hAnsiTheme="minorHAnsi"/>
          <w:sz w:val="22"/>
          <w:szCs w:val="22"/>
        </w:rPr>
        <w:t>Reforms To Periodic Inspections</w:t>
      </w:r>
      <w:bookmarkEnd w:id="6"/>
    </w:p>
    <w:p w:rsidR="00444979" w:rsidRPr="00444979" w:rsidRDefault="00444979" w:rsidP="00444979"/>
    <w:p w:rsidR="00E6299E" w:rsidRDefault="00E6299E" w:rsidP="00E6299E">
      <w:pPr>
        <w:pStyle w:val="BodyText2"/>
        <w:spacing w:line="269" w:lineRule="auto"/>
        <w:rPr>
          <w:rFonts w:asciiTheme="minorHAnsi" w:hAnsiTheme="minorHAnsi"/>
          <w:b w:val="0"/>
          <w:bCs w:val="0"/>
          <w:szCs w:val="22"/>
        </w:rPr>
      </w:pPr>
      <w:r w:rsidRPr="005629BD">
        <w:rPr>
          <w:rFonts w:asciiTheme="minorHAnsi" w:hAnsiTheme="minorHAnsi"/>
          <w:b w:val="0"/>
          <w:bCs w:val="0"/>
          <w:szCs w:val="22"/>
        </w:rPr>
        <w:t xml:space="preserve">The RIS notes </w:t>
      </w:r>
      <w:r>
        <w:rPr>
          <w:rFonts w:asciiTheme="minorHAnsi" w:hAnsiTheme="minorHAnsi"/>
          <w:b w:val="0"/>
          <w:bCs w:val="0"/>
          <w:szCs w:val="22"/>
        </w:rPr>
        <w:t>the term</w:t>
      </w:r>
      <w:r w:rsidRPr="005629BD">
        <w:rPr>
          <w:rFonts w:asciiTheme="minorHAnsi" w:hAnsiTheme="minorHAnsi"/>
          <w:b w:val="0"/>
          <w:bCs w:val="0"/>
          <w:szCs w:val="22"/>
        </w:rPr>
        <w:t xml:space="preserve"> ‘roadworthiness’ is not defined in the HVNL</w:t>
      </w:r>
      <w:r>
        <w:rPr>
          <w:rFonts w:asciiTheme="minorHAnsi" w:hAnsiTheme="minorHAnsi"/>
          <w:b w:val="0"/>
          <w:bCs w:val="0"/>
          <w:szCs w:val="22"/>
        </w:rPr>
        <w:t>, but nevertheless describes</w:t>
      </w:r>
      <w:r w:rsidRPr="005629BD">
        <w:rPr>
          <w:rFonts w:asciiTheme="minorHAnsi" w:hAnsiTheme="minorHAnsi"/>
          <w:b w:val="0"/>
          <w:bCs w:val="0"/>
          <w:szCs w:val="22"/>
        </w:rPr>
        <w:t xml:space="preserve"> a roadworthy vehicle as a ‘vehicle that has no safety-related defects</w:t>
      </w:r>
      <w:r>
        <w:rPr>
          <w:rFonts w:asciiTheme="minorHAnsi" w:hAnsiTheme="minorHAnsi"/>
          <w:b w:val="0"/>
          <w:bCs w:val="0"/>
          <w:szCs w:val="22"/>
        </w:rPr>
        <w:t xml:space="preserve"> at a particular point in time’.</w:t>
      </w:r>
      <w:r w:rsidRPr="005629BD">
        <w:rPr>
          <w:rFonts w:asciiTheme="minorHAnsi" w:hAnsiTheme="minorHAnsi"/>
          <w:b w:val="0"/>
          <w:bCs w:val="0"/>
          <w:szCs w:val="22"/>
        </w:rPr>
        <w:t xml:space="preserve">  </w:t>
      </w:r>
    </w:p>
    <w:p w:rsidR="00E6299E" w:rsidRDefault="00E6299E" w:rsidP="00E6299E">
      <w:pPr>
        <w:pStyle w:val="BodyText2"/>
        <w:spacing w:line="269" w:lineRule="auto"/>
        <w:rPr>
          <w:rFonts w:asciiTheme="minorHAnsi" w:hAnsiTheme="minorHAnsi"/>
          <w:b w:val="0"/>
          <w:bCs w:val="0"/>
          <w:szCs w:val="22"/>
        </w:rPr>
      </w:pPr>
    </w:p>
    <w:p w:rsidR="00E6299E" w:rsidRDefault="00E6299E" w:rsidP="00E6299E">
      <w:pPr>
        <w:pStyle w:val="BodyText2"/>
        <w:spacing w:line="269" w:lineRule="auto"/>
        <w:rPr>
          <w:rFonts w:asciiTheme="minorHAnsi" w:hAnsiTheme="minorHAnsi"/>
          <w:b w:val="0"/>
          <w:bCs w:val="0"/>
          <w:szCs w:val="22"/>
        </w:rPr>
      </w:pPr>
      <w:r>
        <w:rPr>
          <w:rFonts w:asciiTheme="minorHAnsi" w:hAnsiTheme="minorHAnsi"/>
          <w:b w:val="0"/>
          <w:bCs w:val="0"/>
          <w:szCs w:val="22"/>
        </w:rPr>
        <w:lastRenderedPageBreak/>
        <w:t>Most notably</w:t>
      </w:r>
      <w:r w:rsidRPr="005629BD">
        <w:rPr>
          <w:rFonts w:asciiTheme="minorHAnsi" w:hAnsiTheme="minorHAnsi"/>
          <w:b w:val="0"/>
          <w:bCs w:val="0"/>
          <w:szCs w:val="22"/>
        </w:rPr>
        <w:t xml:space="preserve">, the RIS does not </w:t>
      </w:r>
      <w:r>
        <w:rPr>
          <w:rFonts w:asciiTheme="minorHAnsi" w:hAnsiTheme="minorHAnsi"/>
          <w:b w:val="0"/>
          <w:bCs w:val="0"/>
          <w:szCs w:val="22"/>
        </w:rPr>
        <w:t>identify</w:t>
      </w:r>
      <w:r w:rsidRPr="005629BD">
        <w:rPr>
          <w:rFonts w:asciiTheme="minorHAnsi" w:hAnsiTheme="minorHAnsi"/>
          <w:b w:val="0"/>
          <w:bCs w:val="0"/>
          <w:szCs w:val="22"/>
        </w:rPr>
        <w:t xml:space="preserve"> evidence for:</w:t>
      </w:r>
    </w:p>
    <w:p w:rsidR="00E6299E" w:rsidRPr="005629BD" w:rsidRDefault="00E6299E" w:rsidP="00E6299E">
      <w:pPr>
        <w:pStyle w:val="BodyText2"/>
        <w:spacing w:line="269" w:lineRule="auto"/>
        <w:rPr>
          <w:rFonts w:asciiTheme="minorHAnsi" w:hAnsiTheme="minorHAnsi"/>
          <w:b w:val="0"/>
          <w:bCs w:val="0"/>
          <w:szCs w:val="22"/>
        </w:rPr>
      </w:pPr>
    </w:p>
    <w:p w:rsidR="00E6299E" w:rsidRPr="005629BD" w:rsidRDefault="00E6299E" w:rsidP="00E6299E">
      <w:pPr>
        <w:pStyle w:val="BodyText2"/>
        <w:spacing w:line="269" w:lineRule="auto"/>
        <w:rPr>
          <w:rFonts w:asciiTheme="minorHAnsi" w:hAnsiTheme="minorHAnsi"/>
          <w:b w:val="0"/>
          <w:bCs w:val="0"/>
          <w:szCs w:val="22"/>
        </w:rPr>
      </w:pPr>
      <w:r w:rsidRPr="005629BD">
        <w:rPr>
          <w:rFonts w:asciiTheme="minorHAnsi" w:hAnsiTheme="minorHAnsi"/>
          <w:b w:val="0"/>
          <w:bCs w:val="0"/>
          <w:szCs w:val="22"/>
        </w:rPr>
        <w:t>•</w:t>
      </w:r>
      <w:r w:rsidRPr="005629BD">
        <w:rPr>
          <w:rFonts w:asciiTheme="minorHAnsi" w:hAnsiTheme="minorHAnsi"/>
          <w:b w:val="0"/>
          <w:bCs w:val="0"/>
          <w:szCs w:val="22"/>
        </w:rPr>
        <w:tab/>
        <w:t>The effect of inspection on roadworthiness;</w:t>
      </w:r>
    </w:p>
    <w:p w:rsidR="00E6299E" w:rsidRPr="005629BD" w:rsidRDefault="00E6299E" w:rsidP="00E6299E">
      <w:pPr>
        <w:pStyle w:val="BodyText2"/>
        <w:spacing w:line="269" w:lineRule="auto"/>
        <w:rPr>
          <w:rFonts w:asciiTheme="minorHAnsi" w:hAnsiTheme="minorHAnsi"/>
          <w:b w:val="0"/>
          <w:bCs w:val="0"/>
          <w:szCs w:val="22"/>
        </w:rPr>
      </w:pPr>
      <w:r w:rsidRPr="005629BD">
        <w:rPr>
          <w:rFonts w:asciiTheme="minorHAnsi" w:hAnsiTheme="minorHAnsi"/>
          <w:b w:val="0"/>
          <w:bCs w:val="0"/>
          <w:szCs w:val="22"/>
        </w:rPr>
        <w:t>•</w:t>
      </w:r>
      <w:r w:rsidRPr="005629BD">
        <w:rPr>
          <w:rFonts w:asciiTheme="minorHAnsi" w:hAnsiTheme="minorHAnsi"/>
          <w:b w:val="0"/>
          <w:bCs w:val="0"/>
          <w:szCs w:val="22"/>
        </w:rPr>
        <w:tab/>
        <w:t>The effect of enforcement on risks of defects; or</w:t>
      </w:r>
    </w:p>
    <w:p w:rsidR="00E6299E" w:rsidRDefault="00E6299E" w:rsidP="00E6299E">
      <w:pPr>
        <w:pStyle w:val="BodyText2"/>
        <w:spacing w:line="269" w:lineRule="auto"/>
        <w:rPr>
          <w:rFonts w:asciiTheme="minorHAnsi" w:hAnsiTheme="minorHAnsi"/>
          <w:b w:val="0"/>
          <w:bCs w:val="0"/>
          <w:szCs w:val="22"/>
        </w:rPr>
      </w:pPr>
      <w:r w:rsidRPr="005629BD">
        <w:rPr>
          <w:rFonts w:asciiTheme="minorHAnsi" w:hAnsiTheme="minorHAnsi"/>
          <w:b w:val="0"/>
          <w:bCs w:val="0"/>
          <w:szCs w:val="22"/>
        </w:rPr>
        <w:t>•</w:t>
      </w:r>
      <w:r w:rsidRPr="005629BD">
        <w:rPr>
          <w:rFonts w:asciiTheme="minorHAnsi" w:hAnsiTheme="minorHAnsi"/>
          <w:b w:val="0"/>
          <w:bCs w:val="0"/>
          <w:szCs w:val="22"/>
        </w:rPr>
        <w:tab/>
        <w:t>If differences between RIS options will lead to more or less risk in relation to the baseline.</w:t>
      </w:r>
    </w:p>
    <w:p w:rsidR="00E6299E" w:rsidRDefault="00E6299E" w:rsidP="00601230">
      <w:pPr>
        <w:pStyle w:val="BodyText2"/>
        <w:spacing w:line="269" w:lineRule="auto"/>
        <w:rPr>
          <w:rFonts w:asciiTheme="minorHAnsi" w:hAnsiTheme="minorHAnsi"/>
          <w:b w:val="0"/>
          <w:bCs w:val="0"/>
          <w:szCs w:val="22"/>
        </w:rPr>
      </w:pPr>
    </w:p>
    <w:p w:rsidR="00601230" w:rsidRDefault="00601230" w:rsidP="003528F0">
      <w:pPr>
        <w:pStyle w:val="BodyText2"/>
        <w:rPr>
          <w:rFonts w:asciiTheme="minorHAnsi" w:hAnsiTheme="minorHAnsi"/>
          <w:b w:val="0"/>
          <w:bCs w:val="0"/>
          <w:szCs w:val="22"/>
        </w:rPr>
      </w:pPr>
      <w:r>
        <w:rPr>
          <w:rFonts w:asciiTheme="minorHAnsi" w:hAnsiTheme="minorHAnsi"/>
          <w:b w:val="0"/>
          <w:bCs w:val="0"/>
          <w:szCs w:val="22"/>
        </w:rPr>
        <w:t xml:space="preserve">The ATA cannot support major changes to periodic scheduled </w:t>
      </w:r>
      <w:r w:rsidRPr="0074161F">
        <w:rPr>
          <w:rFonts w:asciiTheme="minorHAnsi" w:hAnsiTheme="minorHAnsi"/>
          <w:b w:val="0"/>
          <w:bCs w:val="0"/>
          <w:szCs w:val="22"/>
        </w:rPr>
        <w:t>inspection</w:t>
      </w:r>
      <w:r>
        <w:rPr>
          <w:rFonts w:asciiTheme="minorHAnsi" w:hAnsiTheme="minorHAnsi"/>
          <w:b w:val="0"/>
          <w:bCs w:val="0"/>
          <w:szCs w:val="22"/>
        </w:rPr>
        <w:t xml:space="preserve">s as currently undertaken (or not) by jurisdictions because there is insufficient evidence for the role these inspections play in keeping heavy vehicles roadworthy and safe. </w:t>
      </w:r>
    </w:p>
    <w:p w:rsidR="007F538F" w:rsidRDefault="007F538F" w:rsidP="003528F0">
      <w:pPr>
        <w:pStyle w:val="BodyText2"/>
        <w:rPr>
          <w:rFonts w:asciiTheme="minorHAnsi" w:hAnsiTheme="minorHAnsi"/>
          <w:b w:val="0"/>
          <w:bCs w:val="0"/>
          <w:szCs w:val="22"/>
        </w:rPr>
      </w:pPr>
    </w:p>
    <w:p w:rsidR="007F538F" w:rsidRDefault="007F538F" w:rsidP="003528F0">
      <w:pPr>
        <w:pStyle w:val="BodyText2"/>
        <w:rPr>
          <w:rFonts w:asciiTheme="minorHAnsi" w:hAnsiTheme="minorHAnsi"/>
          <w:b w:val="0"/>
          <w:bCs w:val="0"/>
          <w:szCs w:val="22"/>
        </w:rPr>
      </w:pPr>
      <w:r>
        <w:rPr>
          <w:rFonts w:asciiTheme="minorHAnsi" w:hAnsiTheme="minorHAnsi"/>
          <w:b w:val="0"/>
          <w:bCs w:val="0"/>
          <w:szCs w:val="22"/>
        </w:rPr>
        <w:t>As the Productivity Commission notes</w:t>
      </w:r>
      <w:r w:rsidR="002C42FF">
        <w:rPr>
          <w:rFonts w:asciiTheme="minorHAnsi" w:hAnsiTheme="minorHAnsi"/>
          <w:b w:val="0"/>
          <w:bCs w:val="0"/>
          <w:szCs w:val="22"/>
        </w:rPr>
        <w:t>:</w:t>
      </w:r>
      <w:r>
        <w:rPr>
          <w:rFonts w:asciiTheme="minorHAnsi" w:hAnsiTheme="minorHAnsi"/>
          <w:b w:val="0"/>
          <w:bCs w:val="0"/>
          <w:szCs w:val="22"/>
        </w:rPr>
        <w:t xml:space="preserve"> </w:t>
      </w:r>
    </w:p>
    <w:p w:rsidR="003528F0" w:rsidRDefault="003528F0" w:rsidP="003528F0">
      <w:pPr>
        <w:pStyle w:val="BodyText2"/>
        <w:rPr>
          <w:rFonts w:asciiTheme="minorHAnsi" w:hAnsiTheme="minorHAnsi"/>
          <w:b w:val="0"/>
          <w:bCs w:val="0"/>
          <w:szCs w:val="22"/>
        </w:rPr>
      </w:pPr>
    </w:p>
    <w:p w:rsidR="00484655" w:rsidRPr="00063AC7" w:rsidRDefault="00484655" w:rsidP="003528F0">
      <w:pPr>
        <w:pStyle w:val="Default"/>
        <w:jc w:val="both"/>
        <w:rPr>
          <w:rFonts w:asciiTheme="minorHAnsi" w:hAnsiTheme="minorHAnsi"/>
          <w:sz w:val="22"/>
          <w:szCs w:val="22"/>
        </w:rPr>
      </w:pPr>
      <w:r w:rsidRPr="00063AC7">
        <w:rPr>
          <w:rFonts w:asciiTheme="minorHAnsi" w:hAnsiTheme="minorHAnsi"/>
          <w:i/>
          <w:sz w:val="22"/>
          <w:szCs w:val="22"/>
        </w:rPr>
        <w:t>Fundamentally, evidence-based policy is about assessing whether a policy improves community wellbeing…</w:t>
      </w:r>
      <w:r w:rsidRPr="00063AC7">
        <w:rPr>
          <w:i/>
        </w:rPr>
        <w:t xml:space="preserve"> </w:t>
      </w:r>
      <w:r w:rsidRPr="00063AC7">
        <w:rPr>
          <w:rFonts w:asciiTheme="minorHAnsi" w:hAnsiTheme="minorHAnsi"/>
          <w:i/>
          <w:sz w:val="22"/>
          <w:szCs w:val="22"/>
        </w:rPr>
        <w:t>There is often considerable debate about whether government action has actually</w:t>
      </w:r>
      <w:r w:rsidR="00ED5AB9">
        <w:rPr>
          <w:rFonts w:asciiTheme="minorHAnsi" w:hAnsiTheme="minorHAnsi"/>
          <w:i/>
          <w:sz w:val="22"/>
          <w:szCs w:val="22"/>
        </w:rPr>
        <w:t xml:space="preserve"> </w:t>
      </w:r>
      <w:r w:rsidRPr="00063AC7">
        <w:rPr>
          <w:rFonts w:asciiTheme="minorHAnsi" w:hAnsiTheme="minorHAnsi"/>
          <w:i/>
          <w:sz w:val="22"/>
          <w:szCs w:val="22"/>
        </w:rPr>
        <w:t>led to an improvement and, if so, the extent of the gains. An evidence-based approach to policymaking is one way to improve policy development. It is built around the belief that better quality decisions will be made if the process is informed by robust evidence.</w:t>
      </w:r>
      <w:r>
        <w:rPr>
          <w:rStyle w:val="FootnoteReference"/>
          <w:rFonts w:asciiTheme="minorHAnsi" w:hAnsiTheme="minorHAnsi"/>
          <w:i/>
          <w:sz w:val="22"/>
          <w:szCs w:val="22"/>
        </w:rPr>
        <w:footnoteReference w:id="3"/>
      </w:r>
    </w:p>
    <w:p w:rsidR="003528F0" w:rsidRDefault="003528F0" w:rsidP="003528F0">
      <w:pPr>
        <w:pStyle w:val="BodyText2"/>
        <w:rPr>
          <w:rFonts w:asciiTheme="minorHAnsi" w:hAnsiTheme="minorHAnsi"/>
          <w:b w:val="0"/>
          <w:bCs w:val="0"/>
          <w:szCs w:val="22"/>
        </w:rPr>
      </w:pPr>
    </w:p>
    <w:p w:rsidR="00217205" w:rsidRDefault="00484655" w:rsidP="003528F0">
      <w:pPr>
        <w:pStyle w:val="BodyText2"/>
        <w:rPr>
          <w:rFonts w:asciiTheme="minorHAnsi" w:hAnsiTheme="minorHAnsi"/>
          <w:b w:val="0"/>
          <w:bCs w:val="0"/>
          <w:szCs w:val="22"/>
        </w:rPr>
      </w:pPr>
      <w:r w:rsidRPr="005629BD">
        <w:rPr>
          <w:rFonts w:asciiTheme="minorHAnsi" w:hAnsiTheme="minorHAnsi"/>
          <w:b w:val="0"/>
          <w:bCs w:val="0"/>
          <w:szCs w:val="22"/>
        </w:rPr>
        <w:t>The</w:t>
      </w:r>
      <w:r>
        <w:rPr>
          <w:rFonts w:asciiTheme="minorHAnsi" w:hAnsiTheme="minorHAnsi"/>
          <w:b w:val="0"/>
          <w:bCs w:val="0"/>
          <w:szCs w:val="22"/>
        </w:rPr>
        <w:t xml:space="preserve"> RIS acknowledges </w:t>
      </w:r>
      <w:r w:rsidR="008A403B">
        <w:rPr>
          <w:rFonts w:asciiTheme="minorHAnsi" w:hAnsiTheme="minorHAnsi"/>
          <w:b w:val="0"/>
          <w:bCs w:val="0"/>
          <w:szCs w:val="22"/>
        </w:rPr>
        <w:t xml:space="preserve">that there is </w:t>
      </w:r>
      <w:r w:rsidR="005521DA">
        <w:rPr>
          <w:rFonts w:asciiTheme="minorHAnsi" w:hAnsiTheme="minorHAnsi"/>
          <w:b w:val="0"/>
          <w:bCs w:val="0"/>
          <w:szCs w:val="22"/>
        </w:rPr>
        <w:t>a grossly</w:t>
      </w:r>
      <w:r>
        <w:rPr>
          <w:rFonts w:asciiTheme="minorHAnsi" w:hAnsiTheme="minorHAnsi"/>
          <w:b w:val="0"/>
          <w:bCs w:val="0"/>
          <w:szCs w:val="22"/>
        </w:rPr>
        <w:t xml:space="preserve"> inadequate evidence base (and often conflicting </w:t>
      </w:r>
      <w:r w:rsidR="00FF3324">
        <w:rPr>
          <w:rFonts w:asciiTheme="minorHAnsi" w:hAnsiTheme="minorHAnsi"/>
          <w:b w:val="0"/>
          <w:bCs w:val="0"/>
          <w:szCs w:val="22"/>
        </w:rPr>
        <w:t>information</w:t>
      </w:r>
      <w:r>
        <w:rPr>
          <w:rFonts w:asciiTheme="minorHAnsi" w:hAnsiTheme="minorHAnsi"/>
          <w:b w:val="0"/>
          <w:bCs w:val="0"/>
          <w:szCs w:val="22"/>
        </w:rPr>
        <w:t xml:space="preserve"> where it is available)</w:t>
      </w:r>
      <w:r w:rsidR="005521DA">
        <w:rPr>
          <w:rFonts w:asciiTheme="minorHAnsi" w:hAnsiTheme="minorHAnsi"/>
          <w:b w:val="0"/>
          <w:bCs w:val="0"/>
          <w:szCs w:val="22"/>
        </w:rPr>
        <w:t xml:space="preserve"> </w:t>
      </w:r>
      <w:r w:rsidR="0026268E">
        <w:rPr>
          <w:rFonts w:asciiTheme="minorHAnsi" w:hAnsiTheme="minorHAnsi"/>
          <w:b w:val="0"/>
          <w:bCs w:val="0"/>
          <w:szCs w:val="22"/>
        </w:rPr>
        <w:t xml:space="preserve">for robust </w:t>
      </w:r>
      <w:r w:rsidR="00FF3324" w:rsidRPr="005629BD">
        <w:rPr>
          <w:rFonts w:asciiTheme="minorHAnsi" w:hAnsiTheme="minorHAnsi"/>
          <w:b w:val="0"/>
          <w:bCs w:val="0"/>
          <w:szCs w:val="22"/>
        </w:rPr>
        <w:t>roadworthiness</w:t>
      </w:r>
      <w:r w:rsidR="005521DA">
        <w:rPr>
          <w:rFonts w:asciiTheme="minorHAnsi" w:hAnsiTheme="minorHAnsi"/>
          <w:b w:val="0"/>
          <w:bCs w:val="0"/>
          <w:szCs w:val="22"/>
        </w:rPr>
        <w:t xml:space="preserve"> policies</w:t>
      </w:r>
      <w:r w:rsidR="00FF3324">
        <w:rPr>
          <w:rFonts w:asciiTheme="minorHAnsi" w:hAnsiTheme="minorHAnsi"/>
          <w:b w:val="0"/>
          <w:bCs w:val="0"/>
          <w:szCs w:val="22"/>
        </w:rPr>
        <w:t xml:space="preserve"> in general</w:t>
      </w:r>
      <w:r w:rsidR="005521DA">
        <w:rPr>
          <w:rFonts w:asciiTheme="minorHAnsi" w:hAnsiTheme="minorHAnsi"/>
          <w:b w:val="0"/>
          <w:bCs w:val="0"/>
          <w:szCs w:val="22"/>
        </w:rPr>
        <w:t>,</w:t>
      </w:r>
      <w:r w:rsidR="00FF3324">
        <w:rPr>
          <w:rFonts w:asciiTheme="minorHAnsi" w:hAnsiTheme="minorHAnsi"/>
          <w:b w:val="0"/>
          <w:bCs w:val="0"/>
          <w:szCs w:val="22"/>
        </w:rPr>
        <w:t xml:space="preserve"> and</w:t>
      </w:r>
      <w:r w:rsidR="005521DA">
        <w:rPr>
          <w:rFonts w:asciiTheme="minorHAnsi" w:hAnsiTheme="minorHAnsi"/>
          <w:b w:val="0"/>
          <w:bCs w:val="0"/>
          <w:szCs w:val="22"/>
        </w:rPr>
        <w:t xml:space="preserve"> </w:t>
      </w:r>
      <w:r w:rsidR="0026268E">
        <w:rPr>
          <w:rFonts w:asciiTheme="minorHAnsi" w:hAnsiTheme="minorHAnsi"/>
          <w:b w:val="0"/>
          <w:bCs w:val="0"/>
          <w:szCs w:val="22"/>
        </w:rPr>
        <w:t>for</w:t>
      </w:r>
      <w:r w:rsidR="005521DA">
        <w:rPr>
          <w:rFonts w:asciiTheme="minorHAnsi" w:hAnsiTheme="minorHAnsi"/>
          <w:b w:val="0"/>
          <w:bCs w:val="0"/>
          <w:szCs w:val="22"/>
        </w:rPr>
        <w:t xml:space="preserve"> </w:t>
      </w:r>
      <w:r w:rsidR="00FF3324">
        <w:rPr>
          <w:rFonts w:asciiTheme="minorHAnsi" w:hAnsiTheme="minorHAnsi"/>
          <w:b w:val="0"/>
          <w:bCs w:val="0"/>
          <w:szCs w:val="22"/>
        </w:rPr>
        <w:t xml:space="preserve">periodic </w:t>
      </w:r>
      <w:r w:rsidR="008A403B">
        <w:rPr>
          <w:rFonts w:asciiTheme="minorHAnsi" w:hAnsiTheme="minorHAnsi"/>
          <w:b w:val="0"/>
          <w:bCs w:val="0"/>
          <w:szCs w:val="22"/>
        </w:rPr>
        <w:t xml:space="preserve">scheduled </w:t>
      </w:r>
      <w:r w:rsidR="00FF3324">
        <w:rPr>
          <w:rFonts w:asciiTheme="minorHAnsi" w:hAnsiTheme="minorHAnsi"/>
          <w:b w:val="0"/>
          <w:bCs w:val="0"/>
          <w:szCs w:val="22"/>
        </w:rPr>
        <w:t>inspections in particular</w:t>
      </w:r>
      <w:r w:rsidRPr="005629BD">
        <w:rPr>
          <w:rFonts w:asciiTheme="minorHAnsi" w:hAnsiTheme="minorHAnsi"/>
          <w:b w:val="0"/>
          <w:bCs w:val="0"/>
          <w:szCs w:val="22"/>
        </w:rPr>
        <w:t xml:space="preserve">. </w:t>
      </w:r>
    </w:p>
    <w:p w:rsidR="00217205" w:rsidRDefault="00217205" w:rsidP="003528F0">
      <w:pPr>
        <w:pStyle w:val="BodyText2"/>
        <w:rPr>
          <w:rFonts w:asciiTheme="minorHAnsi" w:hAnsiTheme="minorHAnsi"/>
          <w:b w:val="0"/>
          <w:bCs w:val="0"/>
          <w:szCs w:val="22"/>
        </w:rPr>
      </w:pPr>
    </w:p>
    <w:p w:rsidR="00217205" w:rsidRDefault="00217205" w:rsidP="003528F0">
      <w:pPr>
        <w:pStyle w:val="BodyText2"/>
        <w:rPr>
          <w:rFonts w:asciiTheme="minorHAnsi" w:hAnsiTheme="minorHAnsi"/>
          <w:b w:val="0"/>
          <w:bCs w:val="0"/>
          <w:szCs w:val="22"/>
        </w:rPr>
      </w:pPr>
      <w:r w:rsidRPr="00C93FAB">
        <w:rPr>
          <w:rFonts w:asciiTheme="minorHAnsi" w:hAnsiTheme="minorHAnsi"/>
          <w:b w:val="0"/>
          <w:bCs w:val="0"/>
          <w:szCs w:val="22"/>
        </w:rPr>
        <w:t xml:space="preserve">Scheduled inspections are </w:t>
      </w:r>
      <w:r>
        <w:rPr>
          <w:rFonts w:asciiTheme="minorHAnsi" w:hAnsiTheme="minorHAnsi"/>
          <w:b w:val="0"/>
          <w:bCs w:val="0"/>
          <w:szCs w:val="22"/>
        </w:rPr>
        <w:t>a</w:t>
      </w:r>
      <w:r w:rsidRPr="00C93FAB">
        <w:rPr>
          <w:rFonts w:asciiTheme="minorHAnsi" w:hAnsiTheme="minorHAnsi"/>
          <w:b w:val="0"/>
          <w:bCs w:val="0"/>
          <w:szCs w:val="22"/>
        </w:rPr>
        <w:t xml:space="preserve"> rigid, high-cost enforcement </w:t>
      </w:r>
      <w:r>
        <w:rPr>
          <w:rFonts w:asciiTheme="minorHAnsi" w:hAnsiTheme="minorHAnsi"/>
          <w:b w:val="0"/>
          <w:bCs w:val="0"/>
          <w:szCs w:val="22"/>
        </w:rPr>
        <w:t>tool</w:t>
      </w:r>
      <w:r w:rsidRPr="00C93FAB">
        <w:rPr>
          <w:rFonts w:asciiTheme="minorHAnsi" w:hAnsiTheme="minorHAnsi"/>
          <w:b w:val="0"/>
          <w:bCs w:val="0"/>
          <w:szCs w:val="22"/>
        </w:rPr>
        <w:t xml:space="preserve"> which do not act to keep trucks roadworthy on any day of the year but inspection day.  Not only is there no data or other evidence to support the introduction of annual inspections in jurisdictions where they are not currently undertaken, there is no evidence to support their removal in places where they are currently undertaken.</w:t>
      </w:r>
    </w:p>
    <w:p w:rsidR="00217205" w:rsidRDefault="00217205" w:rsidP="003528F0">
      <w:pPr>
        <w:pStyle w:val="BodyText2"/>
        <w:rPr>
          <w:rFonts w:asciiTheme="minorHAnsi" w:hAnsiTheme="minorHAnsi"/>
          <w:b w:val="0"/>
          <w:bCs w:val="0"/>
          <w:szCs w:val="22"/>
        </w:rPr>
      </w:pPr>
    </w:p>
    <w:p w:rsidR="00217205" w:rsidRDefault="00217205" w:rsidP="00217205">
      <w:pPr>
        <w:pStyle w:val="BodyText2"/>
        <w:spacing w:line="269" w:lineRule="auto"/>
        <w:rPr>
          <w:rFonts w:asciiTheme="minorHAnsi" w:hAnsiTheme="minorHAnsi"/>
          <w:b w:val="0"/>
          <w:bCs w:val="0"/>
          <w:szCs w:val="22"/>
        </w:rPr>
      </w:pPr>
      <w:r w:rsidRPr="005629BD">
        <w:rPr>
          <w:rFonts w:asciiTheme="minorHAnsi" w:hAnsiTheme="minorHAnsi"/>
          <w:b w:val="0"/>
          <w:bCs w:val="0"/>
          <w:szCs w:val="22"/>
        </w:rPr>
        <w:t xml:space="preserve">Given the lack of evidence </w:t>
      </w:r>
      <w:r w:rsidRPr="007822B2">
        <w:rPr>
          <w:rFonts w:asciiTheme="minorHAnsi" w:hAnsiTheme="minorHAnsi"/>
          <w:b w:val="0"/>
          <w:bCs w:val="0"/>
          <w:i/>
          <w:szCs w:val="22"/>
        </w:rPr>
        <w:t>for or against</w:t>
      </w:r>
      <w:r w:rsidRPr="005629BD">
        <w:rPr>
          <w:rFonts w:asciiTheme="minorHAnsi" w:hAnsiTheme="minorHAnsi"/>
          <w:b w:val="0"/>
          <w:bCs w:val="0"/>
          <w:szCs w:val="22"/>
        </w:rPr>
        <w:t xml:space="preserve"> scheduled inspections, </w:t>
      </w:r>
      <w:r>
        <w:rPr>
          <w:rFonts w:asciiTheme="minorHAnsi" w:hAnsiTheme="minorHAnsi"/>
          <w:b w:val="0"/>
          <w:bCs w:val="0"/>
          <w:szCs w:val="22"/>
        </w:rPr>
        <w:t xml:space="preserve">and in line with the principles of evidence-based policy, </w:t>
      </w:r>
      <w:r w:rsidRPr="005629BD">
        <w:rPr>
          <w:rFonts w:asciiTheme="minorHAnsi" w:hAnsiTheme="minorHAnsi"/>
          <w:b w:val="0"/>
          <w:bCs w:val="0"/>
          <w:szCs w:val="22"/>
        </w:rPr>
        <w:t xml:space="preserve">it </w:t>
      </w:r>
      <w:r>
        <w:rPr>
          <w:rFonts w:asciiTheme="minorHAnsi" w:hAnsiTheme="minorHAnsi"/>
          <w:b w:val="0"/>
          <w:bCs w:val="0"/>
          <w:szCs w:val="22"/>
        </w:rPr>
        <w:t xml:space="preserve">seems </w:t>
      </w:r>
      <w:r w:rsidRPr="005629BD">
        <w:rPr>
          <w:rFonts w:asciiTheme="minorHAnsi" w:hAnsiTheme="minorHAnsi"/>
          <w:b w:val="0"/>
          <w:bCs w:val="0"/>
          <w:szCs w:val="22"/>
        </w:rPr>
        <w:t xml:space="preserve">prudent to </w:t>
      </w:r>
      <w:r>
        <w:rPr>
          <w:rFonts w:asciiTheme="minorHAnsi" w:hAnsiTheme="minorHAnsi"/>
          <w:b w:val="0"/>
          <w:bCs w:val="0"/>
          <w:szCs w:val="22"/>
        </w:rPr>
        <w:t>avoid</w:t>
      </w:r>
      <w:r w:rsidRPr="005629BD">
        <w:rPr>
          <w:rFonts w:asciiTheme="minorHAnsi" w:hAnsiTheme="minorHAnsi"/>
          <w:b w:val="0"/>
          <w:bCs w:val="0"/>
          <w:szCs w:val="22"/>
        </w:rPr>
        <w:t xml:space="preserve"> </w:t>
      </w:r>
      <w:r>
        <w:rPr>
          <w:rFonts w:asciiTheme="minorHAnsi" w:hAnsiTheme="minorHAnsi"/>
          <w:b w:val="0"/>
          <w:bCs w:val="0"/>
          <w:szCs w:val="22"/>
        </w:rPr>
        <w:t xml:space="preserve">major and potentially costly policy </w:t>
      </w:r>
      <w:r w:rsidRPr="005629BD">
        <w:rPr>
          <w:rFonts w:asciiTheme="minorHAnsi" w:hAnsiTheme="minorHAnsi"/>
          <w:b w:val="0"/>
          <w:bCs w:val="0"/>
          <w:szCs w:val="22"/>
        </w:rPr>
        <w:t>decisions about th</w:t>
      </w:r>
      <w:r>
        <w:rPr>
          <w:rFonts w:asciiTheme="minorHAnsi" w:hAnsiTheme="minorHAnsi"/>
          <w:b w:val="0"/>
          <w:bCs w:val="0"/>
          <w:szCs w:val="22"/>
        </w:rPr>
        <w:t>e</w:t>
      </w:r>
      <w:r w:rsidRPr="005629BD">
        <w:rPr>
          <w:rFonts w:asciiTheme="minorHAnsi" w:hAnsiTheme="minorHAnsi"/>
          <w:b w:val="0"/>
          <w:bCs w:val="0"/>
          <w:szCs w:val="22"/>
        </w:rPr>
        <w:t xml:space="preserve"> issue</w:t>
      </w:r>
      <w:r>
        <w:rPr>
          <w:rFonts w:asciiTheme="minorHAnsi" w:hAnsiTheme="minorHAnsi"/>
          <w:b w:val="0"/>
          <w:bCs w:val="0"/>
          <w:szCs w:val="22"/>
        </w:rPr>
        <w:t xml:space="preserve"> </w:t>
      </w:r>
      <w:r w:rsidRPr="005629BD">
        <w:rPr>
          <w:rFonts w:asciiTheme="minorHAnsi" w:hAnsiTheme="minorHAnsi"/>
          <w:b w:val="0"/>
          <w:bCs w:val="0"/>
          <w:szCs w:val="22"/>
        </w:rPr>
        <w:t>until there is more</w:t>
      </w:r>
      <w:r>
        <w:rPr>
          <w:rFonts w:asciiTheme="minorHAnsi" w:hAnsiTheme="minorHAnsi"/>
          <w:b w:val="0"/>
          <w:bCs w:val="0"/>
          <w:szCs w:val="22"/>
        </w:rPr>
        <w:t xml:space="preserve"> </w:t>
      </w:r>
      <w:r w:rsidRPr="005629BD">
        <w:rPr>
          <w:rFonts w:asciiTheme="minorHAnsi" w:hAnsiTheme="minorHAnsi"/>
          <w:b w:val="0"/>
          <w:bCs w:val="0"/>
          <w:szCs w:val="22"/>
        </w:rPr>
        <w:t xml:space="preserve">evidence to support </w:t>
      </w:r>
      <w:r>
        <w:rPr>
          <w:rFonts w:asciiTheme="minorHAnsi" w:hAnsiTheme="minorHAnsi"/>
          <w:b w:val="0"/>
          <w:bCs w:val="0"/>
          <w:szCs w:val="22"/>
        </w:rPr>
        <w:t>a sound</w:t>
      </w:r>
      <w:r w:rsidRPr="005629BD">
        <w:rPr>
          <w:rFonts w:asciiTheme="minorHAnsi" w:hAnsiTheme="minorHAnsi"/>
          <w:b w:val="0"/>
          <w:bCs w:val="0"/>
          <w:szCs w:val="22"/>
        </w:rPr>
        <w:t xml:space="preserve"> decision.</w:t>
      </w:r>
    </w:p>
    <w:p w:rsidR="00217205" w:rsidRDefault="00217205" w:rsidP="00484655">
      <w:pPr>
        <w:pStyle w:val="BodyText2"/>
        <w:spacing w:line="269" w:lineRule="auto"/>
        <w:rPr>
          <w:rFonts w:asciiTheme="minorHAnsi" w:hAnsiTheme="minorHAnsi"/>
          <w:b w:val="0"/>
          <w:bCs w:val="0"/>
          <w:szCs w:val="22"/>
        </w:rPr>
      </w:pPr>
    </w:p>
    <w:p w:rsidR="00484655" w:rsidRDefault="00FF3324" w:rsidP="00484655">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w:t>
      </w:r>
      <w:r w:rsidR="00484655" w:rsidRPr="005629BD">
        <w:rPr>
          <w:rFonts w:asciiTheme="minorHAnsi" w:hAnsiTheme="minorHAnsi"/>
          <w:b w:val="0"/>
          <w:bCs w:val="0"/>
          <w:szCs w:val="22"/>
        </w:rPr>
        <w:t>ATA</w:t>
      </w:r>
      <w:r>
        <w:rPr>
          <w:rFonts w:asciiTheme="minorHAnsi" w:hAnsiTheme="minorHAnsi"/>
          <w:b w:val="0"/>
          <w:bCs w:val="0"/>
          <w:szCs w:val="22"/>
        </w:rPr>
        <w:t>’s</w:t>
      </w:r>
      <w:r w:rsidR="00484655" w:rsidRPr="005629BD">
        <w:rPr>
          <w:rFonts w:asciiTheme="minorHAnsi" w:hAnsiTheme="minorHAnsi"/>
          <w:b w:val="0"/>
          <w:bCs w:val="0"/>
          <w:szCs w:val="22"/>
        </w:rPr>
        <w:t xml:space="preserve"> </w:t>
      </w:r>
      <w:r w:rsidR="005521DA">
        <w:rPr>
          <w:rFonts w:asciiTheme="minorHAnsi" w:hAnsiTheme="minorHAnsi"/>
          <w:b w:val="0"/>
          <w:bCs w:val="0"/>
          <w:szCs w:val="22"/>
        </w:rPr>
        <w:t>proposal in this submission</w:t>
      </w:r>
      <w:r>
        <w:rPr>
          <w:rFonts w:asciiTheme="minorHAnsi" w:hAnsiTheme="minorHAnsi"/>
          <w:b w:val="0"/>
          <w:bCs w:val="0"/>
          <w:szCs w:val="22"/>
        </w:rPr>
        <w:t xml:space="preserve"> </w:t>
      </w:r>
      <w:r w:rsidR="005521DA">
        <w:rPr>
          <w:rFonts w:asciiTheme="minorHAnsi" w:hAnsiTheme="minorHAnsi"/>
          <w:b w:val="0"/>
          <w:bCs w:val="0"/>
          <w:szCs w:val="22"/>
        </w:rPr>
        <w:t>amounts to</w:t>
      </w:r>
      <w:r>
        <w:rPr>
          <w:rFonts w:asciiTheme="minorHAnsi" w:hAnsiTheme="minorHAnsi"/>
          <w:b w:val="0"/>
          <w:bCs w:val="0"/>
          <w:szCs w:val="22"/>
        </w:rPr>
        <w:t xml:space="preserve"> a two phase approach</w:t>
      </w:r>
      <w:r w:rsidR="00484655" w:rsidRPr="005629BD">
        <w:rPr>
          <w:rFonts w:asciiTheme="minorHAnsi" w:hAnsiTheme="minorHAnsi"/>
          <w:b w:val="0"/>
          <w:bCs w:val="0"/>
          <w:szCs w:val="22"/>
        </w:rPr>
        <w:t xml:space="preserve"> </w:t>
      </w:r>
      <w:r>
        <w:rPr>
          <w:rFonts w:asciiTheme="minorHAnsi" w:hAnsiTheme="minorHAnsi"/>
          <w:b w:val="0"/>
          <w:bCs w:val="0"/>
          <w:szCs w:val="22"/>
        </w:rPr>
        <w:t>to reform</w:t>
      </w:r>
      <w:r w:rsidR="005521DA">
        <w:rPr>
          <w:rFonts w:asciiTheme="minorHAnsi" w:hAnsiTheme="minorHAnsi"/>
          <w:b w:val="0"/>
          <w:bCs w:val="0"/>
          <w:szCs w:val="22"/>
        </w:rPr>
        <w:t>s in this policy area</w:t>
      </w:r>
      <w:r>
        <w:rPr>
          <w:rFonts w:asciiTheme="minorHAnsi" w:hAnsiTheme="minorHAnsi"/>
          <w:b w:val="0"/>
          <w:bCs w:val="0"/>
          <w:szCs w:val="22"/>
        </w:rPr>
        <w:t>, of which the first phase is information-seeking</w:t>
      </w:r>
      <w:r w:rsidR="005521DA">
        <w:rPr>
          <w:rFonts w:asciiTheme="minorHAnsi" w:hAnsiTheme="minorHAnsi"/>
          <w:b w:val="0"/>
          <w:bCs w:val="0"/>
          <w:szCs w:val="22"/>
        </w:rPr>
        <w:t xml:space="preserve">, in an </w:t>
      </w:r>
      <w:r>
        <w:rPr>
          <w:rFonts w:asciiTheme="minorHAnsi" w:hAnsiTheme="minorHAnsi"/>
          <w:b w:val="0"/>
          <w:bCs w:val="0"/>
          <w:szCs w:val="22"/>
        </w:rPr>
        <w:t>attempt</w:t>
      </w:r>
      <w:r w:rsidR="00484655" w:rsidRPr="005629BD">
        <w:rPr>
          <w:rFonts w:asciiTheme="minorHAnsi" w:hAnsiTheme="minorHAnsi"/>
          <w:b w:val="0"/>
          <w:bCs w:val="0"/>
          <w:szCs w:val="22"/>
        </w:rPr>
        <w:t xml:space="preserve"> to </w:t>
      </w:r>
      <w:r w:rsidR="005521DA">
        <w:rPr>
          <w:rFonts w:asciiTheme="minorHAnsi" w:hAnsiTheme="minorHAnsi"/>
          <w:b w:val="0"/>
          <w:bCs w:val="0"/>
          <w:szCs w:val="22"/>
        </w:rPr>
        <w:t>close</w:t>
      </w:r>
      <w:r w:rsidR="00484655" w:rsidRPr="005629BD">
        <w:rPr>
          <w:rFonts w:asciiTheme="minorHAnsi" w:hAnsiTheme="minorHAnsi"/>
          <w:b w:val="0"/>
          <w:bCs w:val="0"/>
          <w:szCs w:val="22"/>
        </w:rPr>
        <w:t xml:space="preserve"> th</w:t>
      </w:r>
      <w:r w:rsidR="005521DA">
        <w:rPr>
          <w:rFonts w:asciiTheme="minorHAnsi" w:hAnsiTheme="minorHAnsi"/>
          <w:b w:val="0"/>
          <w:bCs w:val="0"/>
          <w:szCs w:val="22"/>
        </w:rPr>
        <w:t>is</w:t>
      </w:r>
      <w:r w:rsidR="00484655" w:rsidRPr="005629BD">
        <w:rPr>
          <w:rFonts w:asciiTheme="minorHAnsi" w:hAnsiTheme="minorHAnsi"/>
          <w:b w:val="0"/>
          <w:bCs w:val="0"/>
          <w:szCs w:val="22"/>
        </w:rPr>
        <w:t xml:space="preserve"> </w:t>
      </w:r>
      <w:r w:rsidR="008A403B">
        <w:rPr>
          <w:rFonts w:asciiTheme="minorHAnsi" w:hAnsiTheme="minorHAnsi"/>
          <w:b w:val="0"/>
          <w:bCs w:val="0"/>
          <w:szCs w:val="22"/>
        </w:rPr>
        <w:t>evidence gap</w:t>
      </w:r>
      <w:r w:rsidR="00484655" w:rsidRPr="005629BD">
        <w:rPr>
          <w:rFonts w:asciiTheme="minorHAnsi" w:hAnsiTheme="minorHAnsi"/>
          <w:b w:val="0"/>
          <w:bCs w:val="0"/>
          <w:szCs w:val="22"/>
        </w:rPr>
        <w:t xml:space="preserve">. </w:t>
      </w:r>
    </w:p>
    <w:p w:rsidR="008A403B" w:rsidRDefault="008A403B" w:rsidP="00484655">
      <w:pPr>
        <w:pStyle w:val="BodyText2"/>
        <w:spacing w:line="269" w:lineRule="auto"/>
        <w:rPr>
          <w:rFonts w:asciiTheme="minorHAnsi" w:hAnsiTheme="minorHAnsi"/>
          <w:b w:val="0"/>
          <w:bCs w:val="0"/>
          <w:szCs w:val="22"/>
        </w:rPr>
      </w:pPr>
    </w:p>
    <w:p w:rsidR="0066327D" w:rsidRDefault="0066327D" w:rsidP="0066327D">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first </w:t>
      </w:r>
      <w:r w:rsidR="00E6299E">
        <w:rPr>
          <w:rFonts w:asciiTheme="minorHAnsi" w:hAnsiTheme="minorHAnsi"/>
          <w:b w:val="0"/>
          <w:bCs w:val="0"/>
          <w:szCs w:val="22"/>
        </w:rPr>
        <w:t xml:space="preserve">recommended </w:t>
      </w:r>
      <w:r>
        <w:rPr>
          <w:rFonts w:asciiTheme="minorHAnsi" w:hAnsiTheme="minorHAnsi"/>
          <w:b w:val="0"/>
          <w:bCs w:val="0"/>
          <w:szCs w:val="22"/>
        </w:rPr>
        <w:t xml:space="preserve">reform phase (see Recommendation </w:t>
      </w:r>
      <w:r w:rsidR="00E6299E">
        <w:rPr>
          <w:rFonts w:asciiTheme="minorHAnsi" w:hAnsiTheme="minorHAnsi"/>
          <w:b w:val="0"/>
          <w:bCs w:val="0"/>
          <w:szCs w:val="22"/>
        </w:rPr>
        <w:t>3</w:t>
      </w:r>
      <w:r>
        <w:rPr>
          <w:rFonts w:asciiTheme="minorHAnsi" w:hAnsiTheme="minorHAnsi"/>
          <w:b w:val="0"/>
          <w:bCs w:val="0"/>
          <w:szCs w:val="22"/>
        </w:rPr>
        <w:t xml:space="preserve"> – major case control study) proposes the establishment of an evidence base through </w:t>
      </w:r>
      <w:r w:rsidR="007F538F">
        <w:rPr>
          <w:rFonts w:asciiTheme="minorHAnsi" w:hAnsiTheme="minorHAnsi"/>
          <w:b w:val="0"/>
          <w:bCs w:val="0"/>
          <w:szCs w:val="22"/>
        </w:rPr>
        <w:t xml:space="preserve">the funding by government of </w:t>
      </w:r>
      <w:r>
        <w:rPr>
          <w:rFonts w:asciiTheme="minorHAnsi" w:hAnsiTheme="minorHAnsi"/>
          <w:b w:val="0"/>
          <w:bCs w:val="0"/>
          <w:szCs w:val="22"/>
        </w:rPr>
        <w:t xml:space="preserve">a robust </w:t>
      </w:r>
      <w:r w:rsidR="00905111">
        <w:rPr>
          <w:rFonts w:asciiTheme="minorHAnsi" w:hAnsiTheme="minorHAnsi"/>
          <w:b w:val="0"/>
          <w:bCs w:val="0"/>
          <w:szCs w:val="22"/>
        </w:rPr>
        <w:t xml:space="preserve">case </w:t>
      </w:r>
      <w:r>
        <w:rPr>
          <w:rFonts w:asciiTheme="minorHAnsi" w:hAnsiTheme="minorHAnsi"/>
          <w:b w:val="0"/>
          <w:bCs w:val="0"/>
          <w:szCs w:val="22"/>
        </w:rPr>
        <w:t xml:space="preserve">study. </w:t>
      </w:r>
    </w:p>
    <w:p w:rsidR="002C7A27" w:rsidRDefault="002C7A27" w:rsidP="0066327D">
      <w:pPr>
        <w:pStyle w:val="BodyText2"/>
        <w:spacing w:line="269" w:lineRule="auto"/>
        <w:rPr>
          <w:rFonts w:asciiTheme="minorHAnsi" w:hAnsiTheme="minorHAnsi"/>
          <w:b w:val="0"/>
          <w:bCs w:val="0"/>
          <w:szCs w:val="22"/>
        </w:rPr>
      </w:pPr>
    </w:p>
    <w:p w:rsidR="0066327D" w:rsidRDefault="00E6299E" w:rsidP="0066327D">
      <w:pPr>
        <w:pStyle w:val="BodyText2"/>
        <w:spacing w:line="269" w:lineRule="auto"/>
        <w:rPr>
          <w:rFonts w:asciiTheme="minorHAnsi" w:hAnsiTheme="minorHAnsi"/>
          <w:b w:val="0"/>
          <w:bCs w:val="0"/>
          <w:szCs w:val="22"/>
        </w:rPr>
      </w:pPr>
      <w:r>
        <w:rPr>
          <w:rFonts w:asciiTheme="minorHAnsi" w:hAnsiTheme="minorHAnsi"/>
          <w:b w:val="0"/>
          <w:bCs w:val="0"/>
          <w:szCs w:val="22"/>
        </w:rPr>
        <w:t>According to the</w:t>
      </w:r>
      <w:r w:rsidR="0066327D">
        <w:rPr>
          <w:rFonts w:asciiTheme="minorHAnsi" w:hAnsiTheme="minorHAnsi"/>
          <w:b w:val="0"/>
          <w:bCs w:val="0"/>
          <w:szCs w:val="22"/>
        </w:rPr>
        <w:t xml:space="preserve"> Productivity Commission</w:t>
      </w:r>
      <w:r w:rsidR="0066327D">
        <w:rPr>
          <w:rStyle w:val="FootnoteReference"/>
          <w:rFonts w:asciiTheme="minorHAnsi" w:hAnsiTheme="minorHAnsi"/>
          <w:b w:val="0"/>
          <w:bCs w:val="0"/>
          <w:szCs w:val="22"/>
        </w:rPr>
        <w:footnoteReference w:id="4"/>
      </w:r>
      <w:r w:rsidR="0066327D">
        <w:rPr>
          <w:rFonts w:asciiTheme="minorHAnsi" w:hAnsiTheme="minorHAnsi"/>
          <w:b w:val="0"/>
          <w:bCs w:val="0"/>
          <w:szCs w:val="22"/>
        </w:rPr>
        <w:t xml:space="preserve">, the types of evidence needed to form </w:t>
      </w:r>
      <w:r>
        <w:rPr>
          <w:rFonts w:asciiTheme="minorHAnsi" w:hAnsiTheme="minorHAnsi"/>
          <w:b w:val="0"/>
          <w:bCs w:val="0"/>
          <w:szCs w:val="22"/>
        </w:rPr>
        <w:t>such an</w:t>
      </w:r>
      <w:r w:rsidR="0066327D">
        <w:rPr>
          <w:rFonts w:asciiTheme="minorHAnsi" w:hAnsiTheme="minorHAnsi"/>
          <w:b w:val="0"/>
          <w:bCs w:val="0"/>
          <w:szCs w:val="22"/>
        </w:rPr>
        <w:t xml:space="preserve"> evidence base include q</w:t>
      </w:r>
      <w:r w:rsidR="0066327D" w:rsidRPr="008A403B">
        <w:rPr>
          <w:rFonts w:asciiTheme="minorHAnsi" w:hAnsiTheme="minorHAnsi"/>
          <w:b w:val="0"/>
          <w:bCs w:val="0"/>
          <w:szCs w:val="22"/>
        </w:rPr>
        <w:t xml:space="preserve">uantitative evidence </w:t>
      </w:r>
      <w:r w:rsidR="0066327D">
        <w:rPr>
          <w:rFonts w:asciiTheme="minorHAnsi" w:hAnsiTheme="minorHAnsi"/>
          <w:b w:val="0"/>
          <w:bCs w:val="0"/>
          <w:szCs w:val="22"/>
        </w:rPr>
        <w:t>(</w:t>
      </w:r>
      <w:r w:rsidR="0066327D" w:rsidRPr="008A403B">
        <w:rPr>
          <w:rFonts w:asciiTheme="minorHAnsi" w:hAnsiTheme="minorHAnsi"/>
          <w:b w:val="0"/>
          <w:bCs w:val="0"/>
          <w:szCs w:val="22"/>
        </w:rPr>
        <w:t>e.g. cost-benefit-analysis, modelling, statistics, surveys, performance measures</w:t>
      </w:r>
      <w:r w:rsidR="0066327D">
        <w:rPr>
          <w:rFonts w:asciiTheme="minorHAnsi" w:hAnsiTheme="minorHAnsi"/>
          <w:b w:val="0"/>
          <w:bCs w:val="0"/>
          <w:szCs w:val="22"/>
        </w:rPr>
        <w:t>); q</w:t>
      </w:r>
      <w:r w:rsidR="0066327D" w:rsidRPr="0026268E">
        <w:rPr>
          <w:rFonts w:asciiTheme="minorHAnsi" w:hAnsiTheme="minorHAnsi"/>
          <w:b w:val="0"/>
          <w:bCs w:val="0"/>
          <w:szCs w:val="22"/>
        </w:rPr>
        <w:t xml:space="preserve">ualitative evidence </w:t>
      </w:r>
      <w:r w:rsidR="0066327D">
        <w:rPr>
          <w:rFonts w:asciiTheme="minorHAnsi" w:hAnsiTheme="minorHAnsi"/>
          <w:b w:val="0"/>
          <w:bCs w:val="0"/>
          <w:szCs w:val="22"/>
        </w:rPr>
        <w:t>(</w:t>
      </w:r>
      <w:r w:rsidR="0066327D" w:rsidRPr="0026268E">
        <w:rPr>
          <w:rFonts w:asciiTheme="minorHAnsi" w:hAnsiTheme="minorHAnsi"/>
          <w:b w:val="0"/>
          <w:bCs w:val="0"/>
          <w:szCs w:val="22"/>
        </w:rPr>
        <w:t>e.g.</w:t>
      </w:r>
      <w:r w:rsidR="0066327D">
        <w:rPr>
          <w:rFonts w:asciiTheme="minorHAnsi" w:hAnsiTheme="minorHAnsi"/>
          <w:b w:val="0"/>
          <w:bCs w:val="0"/>
          <w:szCs w:val="22"/>
        </w:rPr>
        <w:t xml:space="preserve"> </w:t>
      </w:r>
      <w:r w:rsidR="0066327D" w:rsidRPr="0026268E">
        <w:rPr>
          <w:rFonts w:asciiTheme="minorHAnsi" w:hAnsiTheme="minorHAnsi"/>
          <w:b w:val="0"/>
          <w:bCs w:val="0"/>
          <w:szCs w:val="22"/>
        </w:rPr>
        <w:t>qualitative research,</w:t>
      </w:r>
      <w:r w:rsidR="0066327D">
        <w:rPr>
          <w:rFonts w:asciiTheme="minorHAnsi" w:hAnsiTheme="minorHAnsi"/>
          <w:b w:val="0"/>
          <w:bCs w:val="0"/>
          <w:szCs w:val="22"/>
        </w:rPr>
        <w:t xml:space="preserve"> </w:t>
      </w:r>
      <w:r w:rsidR="0066327D" w:rsidRPr="0026268E">
        <w:rPr>
          <w:rFonts w:asciiTheme="minorHAnsi" w:hAnsiTheme="minorHAnsi"/>
          <w:b w:val="0"/>
          <w:bCs w:val="0"/>
          <w:szCs w:val="22"/>
        </w:rPr>
        <w:t>observational studies</w:t>
      </w:r>
      <w:r w:rsidR="0066327D">
        <w:rPr>
          <w:rFonts w:asciiTheme="minorHAnsi" w:hAnsiTheme="minorHAnsi"/>
          <w:b w:val="0"/>
          <w:bCs w:val="0"/>
          <w:szCs w:val="22"/>
        </w:rPr>
        <w:t>); e</w:t>
      </w:r>
      <w:r w:rsidR="0066327D" w:rsidRPr="0026268E">
        <w:rPr>
          <w:rFonts w:asciiTheme="minorHAnsi" w:hAnsiTheme="minorHAnsi"/>
          <w:b w:val="0"/>
          <w:bCs w:val="0"/>
          <w:szCs w:val="22"/>
        </w:rPr>
        <w:t xml:space="preserve">xperimental evidence </w:t>
      </w:r>
      <w:r w:rsidR="0066327D">
        <w:rPr>
          <w:rFonts w:asciiTheme="minorHAnsi" w:hAnsiTheme="minorHAnsi"/>
          <w:b w:val="0"/>
          <w:bCs w:val="0"/>
          <w:szCs w:val="22"/>
        </w:rPr>
        <w:t>(</w:t>
      </w:r>
      <w:r w:rsidR="0066327D" w:rsidRPr="0026268E">
        <w:rPr>
          <w:rFonts w:asciiTheme="minorHAnsi" w:hAnsiTheme="minorHAnsi"/>
          <w:b w:val="0"/>
          <w:bCs w:val="0"/>
          <w:szCs w:val="22"/>
        </w:rPr>
        <w:t>e.g.</w:t>
      </w:r>
      <w:r w:rsidR="0066327D">
        <w:rPr>
          <w:rFonts w:asciiTheme="minorHAnsi" w:hAnsiTheme="minorHAnsi"/>
          <w:b w:val="0"/>
          <w:bCs w:val="0"/>
          <w:szCs w:val="22"/>
        </w:rPr>
        <w:t xml:space="preserve"> </w:t>
      </w:r>
      <w:r w:rsidR="0066327D" w:rsidRPr="0026268E">
        <w:rPr>
          <w:rFonts w:asciiTheme="minorHAnsi" w:hAnsiTheme="minorHAnsi"/>
          <w:b w:val="0"/>
          <w:bCs w:val="0"/>
          <w:szCs w:val="22"/>
        </w:rPr>
        <w:t>randomised policy trials</w:t>
      </w:r>
      <w:r w:rsidR="0066327D">
        <w:rPr>
          <w:rFonts w:asciiTheme="minorHAnsi" w:hAnsiTheme="minorHAnsi"/>
          <w:b w:val="0"/>
          <w:bCs w:val="0"/>
          <w:szCs w:val="22"/>
        </w:rPr>
        <w:t>) as well as various weaker but nevertheless useful forms of evidence including d</w:t>
      </w:r>
      <w:r w:rsidR="0066327D" w:rsidRPr="0026268E">
        <w:rPr>
          <w:rFonts w:asciiTheme="minorHAnsi" w:hAnsiTheme="minorHAnsi"/>
          <w:b w:val="0"/>
          <w:bCs w:val="0"/>
          <w:szCs w:val="22"/>
        </w:rPr>
        <w:t xml:space="preserve">escriptive evidence </w:t>
      </w:r>
      <w:r w:rsidR="0066327D">
        <w:rPr>
          <w:rFonts w:asciiTheme="minorHAnsi" w:hAnsiTheme="minorHAnsi"/>
          <w:b w:val="0"/>
          <w:bCs w:val="0"/>
          <w:szCs w:val="22"/>
        </w:rPr>
        <w:t>(</w:t>
      </w:r>
      <w:r w:rsidR="0066327D" w:rsidRPr="0026268E">
        <w:rPr>
          <w:rFonts w:asciiTheme="minorHAnsi" w:hAnsiTheme="minorHAnsi"/>
          <w:b w:val="0"/>
          <w:bCs w:val="0"/>
          <w:szCs w:val="22"/>
        </w:rPr>
        <w:t>e.g.</w:t>
      </w:r>
      <w:r w:rsidR="0066327D">
        <w:rPr>
          <w:rFonts w:asciiTheme="minorHAnsi" w:hAnsiTheme="minorHAnsi"/>
          <w:b w:val="0"/>
          <w:bCs w:val="0"/>
          <w:szCs w:val="22"/>
        </w:rPr>
        <w:t xml:space="preserve"> </w:t>
      </w:r>
      <w:r w:rsidR="0066327D" w:rsidRPr="0026268E">
        <w:rPr>
          <w:rFonts w:asciiTheme="minorHAnsi" w:hAnsiTheme="minorHAnsi"/>
          <w:b w:val="0"/>
          <w:bCs w:val="0"/>
          <w:szCs w:val="22"/>
        </w:rPr>
        <w:t>expert opinion, anecdote</w:t>
      </w:r>
      <w:r w:rsidR="0066327D">
        <w:rPr>
          <w:rFonts w:asciiTheme="minorHAnsi" w:hAnsiTheme="minorHAnsi"/>
          <w:b w:val="0"/>
          <w:bCs w:val="0"/>
          <w:szCs w:val="22"/>
        </w:rPr>
        <w:t>) as well as e</w:t>
      </w:r>
      <w:r w:rsidR="0066327D" w:rsidRPr="0026268E">
        <w:rPr>
          <w:rFonts w:asciiTheme="minorHAnsi" w:hAnsiTheme="minorHAnsi"/>
          <w:b w:val="0"/>
          <w:bCs w:val="0"/>
          <w:szCs w:val="22"/>
        </w:rPr>
        <w:t xml:space="preserve">xisting evidence </w:t>
      </w:r>
      <w:r w:rsidR="0066327D">
        <w:rPr>
          <w:rFonts w:asciiTheme="minorHAnsi" w:hAnsiTheme="minorHAnsi"/>
          <w:b w:val="0"/>
          <w:bCs w:val="0"/>
          <w:szCs w:val="22"/>
        </w:rPr>
        <w:t xml:space="preserve">and </w:t>
      </w:r>
      <w:r w:rsidR="0066327D" w:rsidRPr="0026268E">
        <w:rPr>
          <w:rFonts w:asciiTheme="minorHAnsi" w:hAnsiTheme="minorHAnsi"/>
          <w:b w:val="0"/>
          <w:bCs w:val="0"/>
          <w:szCs w:val="22"/>
        </w:rPr>
        <w:t>theo</w:t>
      </w:r>
      <w:r w:rsidR="0066327D">
        <w:rPr>
          <w:rFonts w:asciiTheme="minorHAnsi" w:hAnsiTheme="minorHAnsi"/>
          <w:b w:val="0"/>
          <w:bCs w:val="0"/>
          <w:szCs w:val="22"/>
        </w:rPr>
        <w:t>ry.</w:t>
      </w:r>
    </w:p>
    <w:p w:rsidR="002C7A27" w:rsidRDefault="002C7A27" w:rsidP="002C7A27">
      <w:pPr>
        <w:pStyle w:val="BodyText2"/>
        <w:spacing w:line="269" w:lineRule="auto"/>
        <w:rPr>
          <w:rFonts w:asciiTheme="minorHAnsi" w:hAnsiTheme="minorHAnsi"/>
          <w:b w:val="0"/>
          <w:bCs w:val="0"/>
          <w:szCs w:val="22"/>
        </w:rPr>
      </w:pPr>
    </w:p>
    <w:p w:rsidR="002C7A27" w:rsidRDefault="002C7A27" w:rsidP="002C7A27">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E6299E">
        <w:rPr>
          <w:rFonts w:asciiTheme="minorHAnsi" w:hAnsiTheme="minorHAnsi"/>
          <w:bCs w:val="0"/>
          <w:szCs w:val="22"/>
        </w:rPr>
        <w:t>3</w:t>
      </w:r>
    </w:p>
    <w:p w:rsidR="002C7A27" w:rsidRPr="002C7A27" w:rsidRDefault="002C7A27" w:rsidP="002C7A27">
      <w:pPr>
        <w:pStyle w:val="BodyText2"/>
        <w:spacing w:line="269" w:lineRule="auto"/>
        <w:rPr>
          <w:rFonts w:asciiTheme="minorHAnsi" w:hAnsiTheme="minorHAnsi"/>
          <w:bCs w:val="0"/>
          <w:szCs w:val="22"/>
        </w:rPr>
      </w:pPr>
      <w:r w:rsidRPr="002C7A27">
        <w:rPr>
          <w:rFonts w:asciiTheme="minorHAnsi" w:hAnsiTheme="minorHAnsi"/>
          <w:bCs w:val="0"/>
          <w:szCs w:val="22"/>
        </w:rPr>
        <w:t>Governments should fund a major case-control study to provide more information about the links between vehicle inspections, vehicle roadworthiness and accidents, to inform future decisions about the effectiveness of mandatory scheduled inspections.</w:t>
      </w:r>
    </w:p>
    <w:p w:rsidR="005D6813" w:rsidRDefault="005D6813" w:rsidP="0066327D">
      <w:pPr>
        <w:pStyle w:val="BodyText2"/>
        <w:spacing w:line="269" w:lineRule="auto"/>
        <w:rPr>
          <w:rFonts w:asciiTheme="minorHAnsi" w:hAnsiTheme="minorHAnsi"/>
          <w:b w:val="0"/>
          <w:bCs w:val="0"/>
          <w:szCs w:val="22"/>
        </w:rPr>
      </w:pPr>
    </w:p>
    <w:p w:rsidR="00C01855" w:rsidRDefault="00C01855" w:rsidP="00C93FAB">
      <w:pPr>
        <w:pStyle w:val="BodyText2"/>
        <w:spacing w:line="269" w:lineRule="auto"/>
        <w:rPr>
          <w:rFonts w:asciiTheme="minorHAnsi" w:hAnsiTheme="minorHAnsi"/>
          <w:b w:val="0"/>
          <w:bCs w:val="0"/>
          <w:szCs w:val="22"/>
        </w:rPr>
      </w:pPr>
    </w:p>
    <w:p w:rsidR="00C93FAB" w:rsidRDefault="00C92E83" w:rsidP="00C93FAB">
      <w:pPr>
        <w:pStyle w:val="BodyText2"/>
        <w:spacing w:line="269" w:lineRule="auto"/>
        <w:rPr>
          <w:rFonts w:asciiTheme="minorHAnsi" w:hAnsiTheme="minorHAnsi"/>
          <w:b w:val="0"/>
          <w:bCs w:val="0"/>
          <w:szCs w:val="22"/>
        </w:rPr>
      </w:pPr>
      <w:r>
        <w:rPr>
          <w:rFonts w:asciiTheme="minorHAnsi" w:hAnsiTheme="minorHAnsi"/>
          <w:b w:val="0"/>
          <w:bCs w:val="0"/>
          <w:szCs w:val="22"/>
        </w:rPr>
        <w:t xml:space="preserve">Sophisticated risk-based targeting of heavy vehicles using high-quality data to select them is </w:t>
      </w:r>
      <w:r w:rsidR="0066327D">
        <w:rPr>
          <w:rFonts w:asciiTheme="minorHAnsi" w:hAnsiTheme="minorHAnsi"/>
          <w:b w:val="0"/>
          <w:bCs w:val="0"/>
          <w:szCs w:val="22"/>
        </w:rPr>
        <w:t xml:space="preserve">also </w:t>
      </w:r>
      <w:r>
        <w:rPr>
          <w:rFonts w:asciiTheme="minorHAnsi" w:hAnsiTheme="minorHAnsi"/>
          <w:b w:val="0"/>
          <w:bCs w:val="0"/>
          <w:szCs w:val="22"/>
        </w:rPr>
        <w:t xml:space="preserve">supported by the ATA.  Australian trucks are subjected to radically different operating conditions across the country and sheer distance travelled is not the sole indicator of how hard a truck may be working. That is, the fact that a truck has travelled many kilometres in one year does not give sufficient information about the wear and tear exacted on that vehicle from its operation. </w:t>
      </w:r>
      <w:r w:rsidR="00E652A4">
        <w:rPr>
          <w:rFonts w:asciiTheme="minorHAnsi" w:hAnsiTheme="minorHAnsi"/>
          <w:b w:val="0"/>
          <w:bCs w:val="0"/>
          <w:szCs w:val="22"/>
        </w:rPr>
        <w:t>Thus</w:t>
      </w:r>
      <w:r>
        <w:rPr>
          <w:rFonts w:asciiTheme="minorHAnsi" w:hAnsiTheme="minorHAnsi"/>
          <w:b w:val="0"/>
          <w:bCs w:val="0"/>
          <w:szCs w:val="22"/>
        </w:rPr>
        <w:t>,</w:t>
      </w:r>
      <w:r w:rsidRPr="005629BD">
        <w:rPr>
          <w:rFonts w:asciiTheme="minorHAnsi" w:hAnsiTheme="minorHAnsi"/>
          <w:b w:val="0"/>
          <w:bCs w:val="0"/>
          <w:szCs w:val="22"/>
        </w:rPr>
        <w:t xml:space="preserve"> stakeholders </w:t>
      </w:r>
      <w:r>
        <w:rPr>
          <w:rFonts w:asciiTheme="minorHAnsi" w:hAnsiTheme="minorHAnsi"/>
          <w:b w:val="0"/>
          <w:bCs w:val="0"/>
          <w:szCs w:val="22"/>
        </w:rPr>
        <w:t>disagree about the</w:t>
      </w:r>
      <w:r w:rsidRPr="005629BD">
        <w:rPr>
          <w:rFonts w:asciiTheme="minorHAnsi" w:hAnsiTheme="minorHAnsi"/>
          <w:b w:val="0"/>
          <w:bCs w:val="0"/>
          <w:szCs w:val="22"/>
        </w:rPr>
        <w:t xml:space="preserve"> </w:t>
      </w:r>
      <w:r w:rsidRPr="00A70609">
        <w:rPr>
          <w:rFonts w:asciiTheme="minorHAnsi" w:hAnsiTheme="minorHAnsi"/>
          <w:b w:val="0"/>
          <w:bCs w:val="0"/>
          <w:i/>
          <w:szCs w:val="22"/>
        </w:rPr>
        <w:t>optimum</w:t>
      </w:r>
      <w:r w:rsidRPr="005629BD">
        <w:rPr>
          <w:rFonts w:asciiTheme="minorHAnsi" w:hAnsiTheme="minorHAnsi"/>
          <w:b w:val="0"/>
          <w:bCs w:val="0"/>
          <w:szCs w:val="22"/>
        </w:rPr>
        <w:t xml:space="preserve"> </w:t>
      </w:r>
      <w:r w:rsidRPr="000E4CD3">
        <w:rPr>
          <w:rFonts w:asciiTheme="minorHAnsi" w:hAnsiTheme="minorHAnsi"/>
          <w:b w:val="0"/>
          <w:bCs w:val="0"/>
          <w:i/>
          <w:szCs w:val="22"/>
        </w:rPr>
        <w:t>length</w:t>
      </w:r>
      <w:r w:rsidRPr="005629BD">
        <w:rPr>
          <w:rFonts w:asciiTheme="minorHAnsi" w:hAnsiTheme="minorHAnsi"/>
          <w:b w:val="0"/>
          <w:bCs w:val="0"/>
          <w:szCs w:val="22"/>
        </w:rPr>
        <w:t xml:space="preserve"> </w:t>
      </w:r>
      <w:r w:rsidRPr="00450F05">
        <w:rPr>
          <w:rFonts w:asciiTheme="minorHAnsi" w:hAnsiTheme="minorHAnsi"/>
          <w:b w:val="0"/>
          <w:bCs w:val="0"/>
          <w:i/>
          <w:szCs w:val="22"/>
        </w:rPr>
        <w:t>of interval</w:t>
      </w:r>
      <w:r w:rsidRPr="005629BD">
        <w:rPr>
          <w:rFonts w:asciiTheme="minorHAnsi" w:hAnsiTheme="minorHAnsi"/>
          <w:b w:val="0"/>
          <w:bCs w:val="0"/>
          <w:szCs w:val="22"/>
        </w:rPr>
        <w:t xml:space="preserve"> between inspections</w:t>
      </w:r>
      <w:r w:rsidR="00450F05">
        <w:rPr>
          <w:rFonts w:asciiTheme="minorHAnsi" w:hAnsiTheme="minorHAnsi"/>
          <w:b w:val="0"/>
          <w:bCs w:val="0"/>
          <w:szCs w:val="22"/>
        </w:rPr>
        <w:t>,</w:t>
      </w:r>
      <w:r w:rsidRPr="005629BD">
        <w:rPr>
          <w:rFonts w:asciiTheme="minorHAnsi" w:hAnsiTheme="minorHAnsi"/>
          <w:b w:val="0"/>
          <w:bCs w:val="0"/>
          <w:szCs w:val="22"/>
        </w:rPr>
        <w:t xml:space="preserve"> </w:t>
      </w:r>
      <w:r>
        <w:rPr>
          <w:rFonts w:asciiTheme="minorHAnsi" w:hAnsiTheme="minorHAnsi"/>
          <w:b w:val="0"/>
          <w:bCs w:val="0"/>
          <w:szCs w:val="22"/>
        </w:rPr>
        <w:t xml:space="preserve">or which </w:t>
      </w:r>
      <w:r w:rsidR="00E652A4">
        <w:rPr>
          <w:rFonts w:asciiTheme="minorHAnsi" w:hAnsiTheme="minorHAnsi"/>
          <w:b w:val="0"/>
          <w:bCs w:val="0"/>
          <w:szCs w:val="22"/>
        </w:rPr>
        <w:t xml:space="preserve">vehicle </w:t>
      </w:r>
      <w:r>
        <w:rPr>
          <w:rFonts w:asciiTheme="minorHAnsi" w:hAnsiTheme="minorHAnsi"/>
          <w:b w:val="0"/>
          <w:bCs w:val="0"/>
          <w:szCs w:val="22"/>
        </w:rPr>
        <w:t>parts such</w:t>
      </w:r>
      <w:r w:rsidRPr="005629BD">
        <w:rPr>
          <w:rFonts w:asciiTheme="minorHAnsi" w:hAnsiTheme="minorHAnsi"/>
          <w:b w:val="0"/>
          <w:bCs w:val="0"/>
          <w:szCs w:val="22"/>
        </w:rPr>
        <w:t xml:space="preserve"> inspections</w:t>
      </w:r>
      <w:r>
        <w:rPr>
          <w:rFonts w:asciiTheme="minorHAnsi" w:hAnsiTheme="minorHAnsi"/>
          <w:b w:val="0"/>
          <w:bCs w:val="0"/>
          <w:szCs w:val="22"/>
        </w:rPr>
        <w:t xml:space="preserve"> should prioritise as safety-critical</w:t>
      </w:r>
      <w:r w:rsidRPr="005629BD">
        <w:rPr>
          <w:rFonts w:asciiTheme="minorHAnsi" w:hAnsiTheme="minorHAnsi"/>
          <w:b w:val="0"/>
          <w:bCs w:val="0"/>
          <w:szCs w:val="22"/>
        </w:rPr>
        <w:t xml:space="preserve">. </w:t>
      </w:r>
    </w:p>
    <w:p w:rsidR="002017D0" w:rsidRDefault="002017D0" w:rsidP="00C93FAB">
      <w:pPr>
        <w:pStyle w:val="BodyText2"/>
        <w:spacing w:line="269" w:lineRule="auto"/>
        <w:rPr>
          <w:rFonts w:asciiTheme="minorHAnsi" w:hAnsiTheme="minorHAnsi"/>
          <w:b w:val="0"/>
          <w:bCs w:val="0"/>
          <w:szCs w:val="22"/>
        </w:rPr>
      </w:pPr>
    </w:p>
    <w:p w:rsidR="002017D0" w:rsidRPr="00217205" w:rsidRDefault="002017D0" w:rsidP="002017D0">
      <w:pPr>
        <w:pStyle w:val="BodyText2"/>
        <w:spacing w:line="269" w:lineRule="auto"/>
        <w:rPr>
          <w:rFonts w:asciiTheme="minorHAnsi" w:hAnsiTheme="minorHAnsi"/>
          <w:bCs w:val="0"/>
          <w:szCs w:val="22"/>
        </w:rPr>
      </w:pPr>
      <w:r w:rsidRPr="00217205">
        <w:rPr>
          <w:rFonts w:asciiTheme="minorHAnsi" w:hAnsiTheme="minorHAnsi"/>
          <w:bCs w:val="0"/>
          <w:szCs w:val="22"/>
        </w:rPr>
        <w:t xml:space="preserve">Recommendation </w:t>
      </w:r>
      <w:r>
        <w:rPr>
          <w:rFonts w:asciiTheme="minorHAnsi" w:hAnsiTheme="minorHAnsi"/>
          <w:bCs w:val="0"/>
          <w:szCs w:val="22"/>
        </w:rPr>
        <w:t>4</w:t>
      </w:r>
    </w:p>
    <w:p w:rsidR="002017D0" w:rsidRPr="00217205" w:rsidRDefault="002017D0" w:rsidP="002017D0">
      <w:pPr>
        <w:pStyle w:val="BodyText2"/>
        <w:spacing w:line="269" w:lineRule="auto"/>
        <w:rPr>
          <w:rFonts w:asciiTheme="minorHAnsi" w:hAnsiTheme="minorHAnsi"/>
          <w:bCs w:val="0"/>
          <w:szCs w:val="22"/>
        </w:rPr>
      </w:pPr>
      <w:r w:rsidRPr="00217205">
        <w:rPr>
          <w:rFonts w:asciiTheme="minorHAnsi" w:hAnsiTheme="minorHAnsi"/>
          <w:bCs w:val="0"/>
          <w:szCs w:val="22"/>
        </w:rPr>
        <w:t>The NHVR should focus on establishing better systems for targeting operators through on-road and other enforcement measures to ensure vehicle roadworthiness 365 days a year, and to address the high level of defects found in broad industry enforcement campaigns.</w:t>
      </w:r>
    </w:p>
    <w:p w:rsidR="002017D0" w:rsidRDefault="002017D0" w:rsidP="00C93FAB">
      <w:pPr>
        <w:pStyle w:val="BodyText2"/>
        <w:spacing w:line="269" w:lineRule="auto"/>
        <w:rPr>
          <w:rFonts w:asciiTheme="minorHAnsi" w:hAnsiTheme="minorHAnsi"/>
          <w:b w:val="0"/>
          <w:bCs w:val="0"/>
          <w:szCs w:val="22"/>
        </w:rPr>
      </w:pPr>
    </w:p>
    <w:p w:rsidR="002017D0" w:rsidRDefault="002017D0" w:rsidP="00C92E83">
      <w:pPr>
        <w:pStyle w:val="BodyText2"/>
        <w:spacing w:line="268" w:lineRule="auto"/>
        <w:rPr>
          <w:rFonts w:asciiTheme="minorHAnsi" w:hAnsiTheme="minorHAnsi"/>
          <w:b w:val="0"/>
          <w:bCs w:val="0"/>
          <w:szCs w:val="22"/>
        </w:rPr>
      </w:pPr>
      <w:r>
        <w:rPr>
          <w:rFonts w:asciiTheme="minorHAnsi" w:hAnsiTheme="minorHAnsi"/>
          <w:b w:val="0"/>
          <w:bCs w:val="0"/>
          <w:szCs w:val="22"/>
        </w:rPr>
        <w:t xml:space="preserve">RIS </w:t>
      </w:r>
      <w:r w:rsidR="00BC73B3">
        <w:rPr>
          <w:rFonts w:asciiTheme="minorHAnsi" w:hAnsiTheme="minorHAnsi"/>
          <w:b w:val="0"/>
          <w:bCs w:val="0"/>
          <w:szCs w:val="22"/>
        </w:rPr>
        <w:t xml:space="preserve">option 3 (sub-option </w:t>
      </w:r>
      <w:r w:rsidR="004D2192">
        <w:rPr>
          <w:rFonts w:asciiTheme="minorHAnsi" w:hAnsiTheme="minorHAnsi"/>
          <w:b w:val="0"/>
          <w:bCs w:val="0"/>
          <w:szCs w:val="22"/>
        </w:rPr>
        <w:t>c</w:t>
      </w:r>
      <w:r w:rsidR="00BC73B3">
        <w:rPr>
          <w:rFonts w:asciiTheme="minorHAnsi" w:hAnsiTheme="minorHAnsi"/>
          <w:b w:val="0"/>
          <w:bCs w:val="0"/>
          <w:szCs w:val="22"/>
        </w:rPr>
        <w:t xml:space="preserve">) </w:t>
      </w:r>
      <w:r>
        <w:rPr>
          <w:rFonts w:asciiTheme="minorHAnsi" w:hAnsiTheme="minorHAnsi"/>
          <w:b w:val="0"/>
          <w:bCs w:val="0"/>
          <w:szCs w:val="22"/>
        </w:rPr>
        <w:t>contains a proposal to exempt new vehicles</w:t>
      </w:r>
      <w:r w:rsidR="0098780C">
        <w:rPr>
          <w:rFonts w:asciiTheme="minorHAnsi" w:hAnsiTheme="minorHAnsi"/>
          <w:b w:val="0"/>
          <w:bCs w:val="0"/>
          <w:szCs w:val="22"/>
        </w:rPr>
        <w:t xml:space="preserve"> under OEM contract maintenance arrangements </w:t>
      </w:r>
      <w:r>
        <w:rPr>
          <w:rFonts w:asciiTheme="minorHAnsi" w:hAnsiTheme="minorHAnsi"/>
          <w:b w:val="0"/>
          <w:bCs w:val="0"/>
          <w:szCs w:val="22"/>
        </w:rPr>
        <w:t xml:space="preserve">from </w:t>
      </w:r>
      <w:r w:rsidR="003F57E8">
        <w:rPr>
          <w:rFonts w:asciiTheme="minorHAnsi" w:hAnsiTheme="minorHAnsi"/>
          <w:b w:val="0"/>
          <w:bCs w:val="0"/>
          <w:szCs w:val="22"/>
        </w:rPr>
        <w:t xml:space="preserve">regular </w:t>
      </w:r>
      <w:r>
        <w:rPr>
          <w:rFonts w:asciiTheme="minorHAnsi" w:hAnsiTheme="minorHAnsi"/>
          <w:b w:val="0"/>
          <w:bCs w:val="0"/>
          <w:szCs w:val="22"/>
        </w:rPr>
        <w:t>inspection</w:t>
      </w:r>
      <w:r w:rsidR="0098780C">
        <w:rPr>
          <w:rFonts w:asciiTheme="minorHAnsi" w:hAnsiTheme="minorHAnsi"/>
          <w:b w:val="0"/>
          <w:bCs w:val="0"/>
          <w:szCs w:val="22"/>
        </w:rPr>
        <w:t>s</w:t>
      </w:r>
      <w:r>
        <w:rPr>
          <w:rFonts w:asciiTheme="minorHAnsi" w:hAnsiTheme="minorHAnsi"/>
          <w:b w:val="0"/>
          <w:bCs w:val="0"/>
          <w:szCs w:val="22"/>
        </w:rPr>
        <w:t>.</w:t>
      </w:r>
    </w:p>
    <w:p w:rsidR="002017D0" w:rsidRDefault="002017D0" w:rsidP="00C92E83">
      <w:pPr>
        <w:pStyle w:val="BodyText2"/>
        <w:spacing w:line="268" w:lineRule="auto"/>
        <w:rPr>
          <w:rFonts w:asciiTheme="minorHAnsi" w:hAnsiTheme="minorHAnsi"/>
          <w:b w:val="0"/>
          <w:bCs w:val="0"/>
          <w:szCs w:val="22"/>
        </w:rPr>
      </w:pPr>
    </w:p>
    <w:p w:rsidR="00C92E83" w:rsidRDefault="00C92E83" w:rsidP="00C92E83">
      <w:pPr>
        <w:pStyle w:val="BodyText2"/>
        <w:spacing w:line="268" w:lineRule="auto"/>
        <w:rPr>
          <w:rFonts w:asciiTheme="minorHAnsi" w:hAnsiTheme="minorHAnsi"/>
          <w:b w:val="0"/>
          <w:bCs w:val="0"/>
          <w:szCs w:val="22"/>
        </w:rPr>
      </w:pPr>
      <w:r>
        <w:rPr>
          <w:rFonts w:asciiTheme="minorHAnsi" w:hAnsiTheme="minorHAnsi"/>
          <w:b w:val="0"/>
          <w:bCs w:val="0"/>
          <w:szCs w:val="22"/>
        </w:rPr>
        <w:t>Since the release of the RIS, the ATA has conducted research into contract maintenance systems offered by leading heavy vehicle manufacturers (</w:t>
      </w:r>
      <w:r w:rsidR="00E22F46">
        <w:rPr>
          <w:rFonts w:asciiTheme="minorHAnsi" w:hAnsiTheme="minorHAnsi"/>
          <w:b w:val="0"/>
          <w:bCs w:val="0"/>
          <w:szCs w:val="22"/>
        </w:rPr>
        <w:t>as per the confidential</w:t>
      </w:r>
      <w:r>
        <w:rPr>
          <w:rFonts w:asciiTheme="minorHAnsi" w:hAnsiTheme="minorHAnsi"/>
          <w:b w:val="0"/>
          <w:bCs w:val="0"/>
          <w:szCs w:val="22"/>
        </w:rPr>
        <w:t xml:space="preserve"> attachment to this submission</w:t>
      </w:r>
      <w:r w:rsidR="00E22F46">
        <w:rPr>
          <w:rFonts w:asciiTheme="minorHAnsi" w:hAnsiTheme="minorHAnsi"/>
          <w:b w:val="0"/>
          <w:bCs w:val="0"/>
          <w:szCs w:val="22"/>
        </w:rPr>
        <w:t xml:space="preserve"> which is provided separately</w:t>
      </w:r>
      <w:r>
        <w:rPr>
          <w:rFonts w:asciiTheme="minorHAnsi" w:hAnsiTheme="minorHAnsi"/>
          <w:b w:val="0"/>
          <w:bCs w:val="0"/>
          <w:szCs w:val="22"/>
        </w:rPr>
        <w:t xml:space="preserve">). The ATA concludes that most of these arrangements (except tailored maintenance packages) are not currently a sufficient alternative either to inspections or robust accreditation schemes for meeting roadworthiness requirements. </w:t>
      </w:r>
    </w:p>
    <w:p w:rsidR="00C92E83" w:rsidRDefault="00C92E83" w:rsidP="00C92E83">
      <w:pPr>
        <w:pStyle w:val="BodyText2"/>
        <w:spacing w:line="268" w:lineRule="auto"/>
        <w:rPr>
          <w:rFonts w:asciiTheme="minorHAnsi" w:hAnsiTheme="minorHAnsi"/>
          <w:b w:val="0"/>
          <w:bCs w:val="0"/>
          <w:szCs w:val="22"/>
        </w:rPr>
      </w:pPr>
    </w:p>
    <w:p w:rsidR="002C7A27" w:rsidRDefault="00C92E83" w:rsidP="00C92E83">
      <w:pPr>
        <w:pStyle w:val="BodyText2"/>
        <w:spacing w:line="268" w:lineRule="auto"/>
        <w:rPr>
          <w:rFonts w:asciiTheme="minorHAnsi" w:hAnsiTheme="minorHAnsi"/>
          <w:b w:val="0"/>
          <w:bCs w:val="0"/>
          <w:szCs w:val="22"/>
        </w:rPr>
      </w:pPr>
      <w:r>
        <w:rPr>
          <w:rFonts w:asciiTheme="minorHAnsi" w:hAnsiTheme="minorHAnsi"/>
          <w:b w:val="0"/>
          <w:bCs w:val="0"/>
          <w:szCs w:val="22"/>
        </w:rPr>
        <w:t xml:space="preserve">It is the ATA’s conclusion that OEM contract maintenance </w:t>
      </w:r>
      <w:r w:rsidR="00DC5BA6">
        <w:rPr>
          <w:rFonts w:asciiTheme="minorHAnsi" w:hAnsiTheme="minorHAnsi"/>
          <w:b w:val="0"/>
          <w:bCs w:val="0"/>
          <w:szCs w:val="22"/>
        </w:rPr>
        <w:t>is</w:t>
      </w:r>
      <w:r>
        <w:rPr>
          <w:rFonts w:asciiTheme="minorHAnsi" w:hAnsiTheme="minorHAnsi"/>
          <w:b w:val="0"/>
          <w:bCs w:val="0"/>
          <w:szCs w:val="22"/>
        </w:rPr>
        <w:t xml:space="preserve"> directed towards warranty work and keeping the vehicle fit for purpose. Any additional items needing repair or replacement </w:t>
      </w:r>
      <w:r w:rsidR="0023578F">
        <w:rPr>
          <w:rFonts w:asciiTheme="minorHAnsi" w:hAnsiTheme="minorHAnsi"/>
          <w:b w:val="0"/>
          <w:bCs w:val="0"/>
          <w:szCs w:val="22"/>
        </w:rPr>
        <w:t>are</w:t>
      </w:r>
      <w:r>
        <w:rPr>
          <w:rFonts w:asciiTheme="minorHAnsi" w:hAnsiTheme="minorHAnsi"/>
          <w:b w:val="0"/>
          <w:bCs w:val="0"/>
          <w:szCs w:val="22"/>
        </w:rPr>
        <w:t xml:space="preserve"> </w:t>
      </w:r>
      <w:r w:rsidR="00D757C9">
        <w:rPr>
          <w:rFonts w:asciiTheme="minorHAnsi" w:hAnsiTheme="minorHAnsi"/>
          <w:b w:val="0"/>
          <w:bCs w:val="0"/>
          <w:szCs w:val="22"/>
        </w:rPr>
        <w:t>priced</w:t>
      </w:r>
      <w:r>
        <w:rPr>
          <w:rFonts w:asciiTheme="minorHAnsi" w:hAnsiTheme="minorHAnsi"/>
          <w:b w:val="0"/>
          <w:bCs w:val="0"/>
          <w:szCs w:val="22"/>
        </w:rPr>
        <w:t xml:space="preserve"> at a premium and delivered only if the vehicle owner/operator requests it. This means</w:t>
      </w:r>
      <w:r w:rsidR="0023578F">
        <w:rPr>
          <w:rFonts w:asciiTheme="minorHAnsi" w:hAnsiTheme="minorHAnsi"/>
          <w:b w:val="0"/>
          <w:bCs w:val="0"/>
          <w:szCs w:val="22"/>
        </w:rPr>
        <w:t>,</w:t>
      </w:r>
      <w:r>
        <w:rPr>
          <w:rFonts w:asciiTheme="minorHAnsi" w:hAnsiTheme="minorHAnsi"/>
          <w:b w:val="0"/>
          <w:bCs w:val="0"/>
          <w:szCs w:val="22"/>
        </w:rPr>
        <w:t xml:space="preserve"> </w:t>
      </w:r>
      <w:r w:rsidR="005D6813">
        <w:rPr>
          <w:rFonts w:asciiTheme="minorHAnsi" w:hAnsiTheme="minorHAnsi"/>
          <w:b w:val="0"/>
          <w:bCs w:val="0"/>
          <w:szCs w:val="22"/>
        </w:rPr>
        <w:t>for example</w:t>
      </w:r>
      <w:r w:rsidR="0023578F">
        <w:rPr>
          <w:rFonts w:asciiTheme="minorHAnsi" w:hAnsiTheme="minorHAnsi"/>
          <w:b w:val="0"/>
          <w:bCs w:val="0"/>
          <w:szCs w:val="22"/>
        </w:rPr>
        <w:t>,</w:t>
      </w:r>
      <w:r w:rsidR="005D6813">
        <w:rPr>
          <w:rFonts w:asciiTheme="minorHAnsi" w:hAnsiTheme="minorHAnsi"/>
          <w:b w:val="0"/>
          <w:bCs w:val="0"/>
          <w:szCs w:val="22"/>
        </w:rPr>
        <w:t xml:space="preserve"> </w:t>
      </w:r>
      <w:r>
        <w:rPr>
          <w:rFonts w:asciiTheme="minorHAnsi" w:hAnsiTheme="minorHAnsi"/>
          <w:b w:val="0"/>
          <w:bCs w:val="0"/>
          <w:szCs w:val="22"/>
        </w:rPr>
        <w:t>that maintenance of aftermarket modifications to the vehicle may not be covered in the package.</w:t>
      </w:r>
    </w:p>
    <w:p w:rsidR="002017D0" w:rsidRDefault="002017D0" w:rsidP="002017D0">
      <w:pPr>
        <w:pStyle w:val="BodyText2"/>
        <w:spacing w:line="269" w:lineRule="auto"/>
        <w:rPr>
          <w:rFonts w:asciiTheme="minorHAnsi" w:hAnsiTheme="minorHAnsi"/>
          <w:bCs w:val="0"/>
          <w:szCs w:val="22"/>
        </w:rPr>
      </w:pPr>
    </w:p>
    <w:p w:rsidR="002017D0" w:rsidRDefault="002017D0" w:rsidP="002017D0">
      <w:pPr>
        <w:pStyle w:val="BodyText2"/>
        <w:spacing w:line="269" w:lineRule="auto"/>
        <w:rPr>
          <w:rFonts w:asciiTheme="minorHAnsi" w:hAnsiTheme="minorHAnsi"/>
          <w:bCs w:val="0"/>
          <w:szCs w:val="22"/>
        </w:rPr>
      </w:pPr>
      <w:r>
        <w:rPr>
          <w:rFonts w:asciiTheme="minorHAnsi" w:hAnsiTheme="minorHAnsi"/>
          <w:bCs w:val="0"/>
          <w:szCs w:val="22"/>
        </w:rPr>
        <w:t>Recommendation 5</w:t>
      </w:r>
    </w:p>
    <w:p w:rsidR="002017D0" w:rsidRPr="002C7A27" w:rsidRDefault="002017D0" w:rsidP="002017D0">
      <w:pPr>
        <w:pStyle w:val="BodyText2"/>
        <w:spacing w:line="269" w:lineRule="auto"/>
        <w:rPr>
          <w:rFonts w:asciiTheme="minorHAnsi" w:hAnsiTheme="minorHAnsi"/>
          <w:bCs w:val="0"/>
          <w:szCs w:val="22"/>
        </w:rPr>
      </w:pPr>
      <w:r w:rsidRPr="002C7A27">
        <w:rPr>
          <w:rFonts w:asciiTheme="minorHAnsi" w:hAnsiTheme="minorHAnsi"/>
          <w:bCs w:val="0"/>
          <w:szCs w:val="22"/>
        </w:rPr>
        <w:t>If the NTC adopts Option 3 (sub-option c), and seeks to exempt new vehicles under OEM contract maintenance from regular inspections, the following approach should be adopted:</w:t>
      </w:r>
    </w:p>
    <w:p w:rsidR="002017D0" w:rsidRPr="002C7A27" w:rsidRDefault="002017D0" w:rsidP="002017D0">
      <w:pPr>
        <w:pStyle w:val="BodyText2"/>
        <w:spacing w:line="269" w:lineRule="auto"/>
        <w:rPr>
          <w:rFonts w:asciiTheme="minorHAnsi" w:hAnsiTheme="minorHAnsi"/>
          <w:bCs w:val="0"/>
          <w:szCs w:val="22"/>
        </w:rPr>
      </w:pPr>
    </w:p>
    <w:p w:rsidR="002017D0" w:rsidRPr="002C7A27" w:rsidRDefault="002017D0" w:rsidP="002017D0">
      <w:pPr>
        <w:pStyle w:val="BodyText2"/>
        <w:numPr>
          <w:ilvl w:val="0"/>
          <w:numId w:val="28"/>
        </w:numPr>
        <w:spacing w:line="269" w:lineRule="auto"/>
        <w:rPr>
          <w:rFonts w:asciiTheme="minorHAnsi" w:hAnsiTheme="minorHAnsi"/>
          <w:bCs w:val="0"/>
          <w:szCs w:val="22"/>
        </w:rPr>
      </w:pPr>
      <w:r w:rsidRPr="002C7A27">
        <w:rPr>
          <w:rFonts w:asciiTheme="minorHAnsi" w:hAnsiTheme="minorHAnsi"/>
          <w:bCs w:val="0"/>
          <w:szCs w:val="22"/>
        </w:rPr>
        <w:t>The exemption should be available to all maintenance facilities providing maintenance in accordance with OEM service schedules</w:t>
      </w:r>
    </w:p>
    <w:p w:rsidR="002017D0" w:rsidRPr="002C7A27" w:rsidRDefault="002017D0" w:rsidP="002017D0">
      <w:pPr>
        <w:pStyle w:val="BodyText2"/>
        <w:numPr>
          <w:ilvl w:val="0"/>
          <w:numId w:val="28"/>
        </w:numPr>
        <w:spacing w:line="269" w:lineRule="auto"/>
        <w:rPr>
          <w:rFonts w:asciiTheme="minorHAnsi" w:hAnsiTheme="minorHAnsi"/>
          <w:bCs w:val="0"/>
          <w:szCs w:val="22"/>
        </w:rPr>
      </w:pPr>
      <w:r w:rsidRPr="002C7A27">
        <w:rPr>
          <w:rFonts w:asciiTheme="minorHAnsi" w:hAnsiTheme="minorHAnsi"/>
          <w:bCs w:val="0"/>
          <w:szCs w:val="22"/>
        </w:rPr>
        <w:t>Service schedules must be approved by the NHVR.</w:t>
      </w:r>
    </w:p>
    <w:p w:rsidR="0066327D" w:rsidRDefault="0066327D" w:rsidP="00C92E83">
      <w:pPr>
        <w:pStyle w:val="BodyText2"/>
        <w:spacing w:line="268" w:lineRule="auto"/>
        <w:rPr>
          <w:rFonts w:asciiTheme="minorHAnsi" w:hAnsiTheme="minorHAnsi"/>
          <w:b w:val="0"/>
          <w:bCs w:val="0"/>
          <w:szCs w:val="22"/>
        </w:rPr>
      </w:pPr>
    </w:p>
    <w:p w:rsidR="002017D0" w:rsidRPr="002017D0" w:rsidRDefault="00592C16" w:rsidP="002C7A27">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w:t>
      </w:r>
      <w:r w:rsidR="002017D0" w:rsidRPr="002017D0">
        <w:rPr>
          <w:rFonts w:asciiTheme="minorHAnsi" w:hAnsiTheme="minorHAnsi"/>
          <w:b w:val="0"/>
          <w:bCs w:val="0"/>
          <w:szCs w:val="22"/>
        </w:rPr>
        <w:t xml:space="preserve">RIS </w:t>
      </w:r>
      <w:r>
        <w:rPr>
          <w:rFonts w:asciiTheme="minorHAnsi" w:hAnsiTheme="minorHAnsi"/>
          <w:b w:val="0"/>
          <w:bCs w:val="0"/>
          <w:szCs w:val="22"/>
        </w:rPr>
        <w:t>also proposes that robust accreditation</w:t>
      </w:r>
      <w:r w:rsidR="00420B77">
        <w:rPr>
          <w:rFonts w:asciiTheme="minorHAnsi" w:hAnsiTheme="minorHAnsi"/>
          <w:b w:val="0"/>
          <w:bCs w:val="0"/>
          <w:szCs w:val="22"/>
        </w:rPr>
        <w:t xml:space="preserve"> </w:t>
      </w:r>
      <w:r>
        <w:rPr>
          <w:rFonts w:asciiTheme="minorHAnsi" w:hAnsiTheme="minorHAnsi"/>
          <w:b w:val="0"/>
          <w:bCs w:val="0"/>
          <w:szCs w:val="22"/>
        </w:rPr>
        <w:t>s</w:t>
      </w:r>
      <w:r w:rsidR="00420B77">
        <w:rPr>
          <w:rFonts w:asciiTheme="minorHAnsi" w:hAnsiTheme="minorHAnsi"/>
          <w:b w:val="0"/>
          <w:bCs w:val="0"/>
          <w:szCs w:val="22"/>
        </w:rPr>
        <w:t>chemes</w:t>
      </w:r>
      <w:r>
        <w:rPr>
          <w:rFonts w:asciiTheme="minorHAnsi" w:hAnsiTheme="minorHAnsi"/>
          <w:b w:val="0"/>
          <w:bCs w:val="0"/>
          <w:szCs w:val="22"/>
        </w:rPr>
        <w:t xml:space="preserve"> should include inspections on a sample basis</w:t>
      </w:r>
      <w:r w:rsidR="00E652A4">
        <w:rPr>
          <w:rFonts w:asciiTheme="minorHAnsi" w:hAnsiTheme="minorHAnsi"/>
          <w:b w:val="0"/>
          <w:bCs w:val="0"/>
          <w:szCs w:val="22"/>
        </w:rPr>
        <w:t xml:space="preserve"> (page 35)</w:t>
      </w:r>
      <w:r>
        <w:rPr>
          <w:rFonts w:asciiTheme="minorHAnsi" w:hAnsiTheme="minorHAnsi"/>
          <w:b w:val="0"/>
          <w:bCs w:val="0"/>
          <w:szCs w:val="22"/>
        </w:rPr>
        <w:t>.</w:t>
      </w:r>
      <w:r w:rsidR="00C01855">
        <w:rPr>
          <w:rFonts w:asciiTheme="minorHAnsi" w:hAnsiTheme="minorHAnsi"/>
          <w:b w:val="0"/>
          <w:bCs w:val="0"/>
          <w:szCs w:val="22"/>
        </w:rPr>
        <w:t xml:space="preserve"> It should be noted that NHVAS Maintenance does not currently meet this robustness requirement.</w:t>
      </w:r>
    </w:p>
    <w:p w:rsidR="002017D0" w:rsidRDefault="002017D0" w:rsidP="002C7A27">
      <w:pPr>
        <w:pStyle w:val="BodyText2"/>
        <w:spacing w:line="269" w:lineRule="auto"/>
        <w:rPr>
          <w:rFonts w:asciiTheme="minorHAnsi" w:hAnsiTheme="minorHAnsi"/>
          <w:bCs w:val="0"/>
          <w:szCs w:val="22"/>
        </w:rPr>
      </w:pPr>
    </w:p>
    <w:p w:rsidR="002C7A27" w:rsidRPr="00217205" w:rsidRDefault="002C7A27" w:rsidP="002C7A27">
      <w:pPr>
        <w:pStyle w:val="BodyText2"/>
        <w:spacing w:line="269" w:lineRule="auto"/>
        <w:rPr>
          <w:rFonts w:asciiTheme="minorHAnsi" w:hAnsiTheme="minorHAnsi"/>
          <w:bCs w:val="0"/>
          <w:szCs w:val="22"/>
        </w:rPr>
      </w:pPr>
      <w:r w:rsidRPr="00217205">
        <w:rPr>
          <w:rFonts w:asciiTheme="minorHAnsi" w:hAnsiTheme="minorHAnsi"/>
          <w:bCs w:val="0"/>
          <w:szCs w:val="22"/>
        </w:rPr>
        <w:t xml:space="preserve">Recommendation </w:t>
      </w:r>
      <w:r w:rsidR="00E6299E" w:rsidRPr="00217205">
        <w:rPr>
          <w:rFonts w:asciiTheme="minorHAnsi" w:hAnsiTheme="minorHAnsi"/>
          <w:bCs w:val="0"/>
          <w:szCs w:val="22"/>
        </w:rPr>
        <w:t>6</w:t>
      </w:r>
    </w:p>
    <w:p w:rsidR="002C7A27" w:rsidRPr="00217205" w:rsidRDefault="002C7A27" w:rsidP="002C7A27">
      <w:pPr>
        <w:pStyle w:val="BodyText2"/>
        <w:spacing w:line="269" w:lineRule="auto"/>
        <w:rPr>
          <w:rFonts w:asciiTheme="minorHAnsi" w:hAnsiTheme="minorHAnsi"/>
          <w:bCs w:val="0"/>
          <w:szCs w:val="22"/>
        </w:rPr>
      </w:pPr>
      <w:r w:rsidRPr="00217205">
        <w:rPr>
          <w:rFonts w:asciiTheme="minorHAnsi" w:hAnsiTheme="minorHAnsi"/>
          <w:bCs w:val="0"/>
          <w:szCs w:val="22"/>
        </w:rPr>
        <w:t>Vehicles in robust accreditation schemes should not be subject to mandatory scheduled inspections as well. The design of the sampling system should provide adequate assurance that vehicles are roadworthy.</w:t>
      </w:r>
    </w:p>
    <w:p w:rsidR="002C7A27" w:rsidRPr="00217205" w:rsidRDefault="002C7A27" w:rsidP="002C7A27">
      <w:pPr>
        <w:pStyle w:val="BodyText2"/>
        <w:spacing w:line="269" w:lineRule="auto"/>
        <w:rPr>
          <w:rFonts w:asciiTheme="minorHAnsi" w:hAnsiTheme="minorHAnsi"/>
          <w:bCs w:val="0"/>
          <w:szCs w:val="22"/>
        </w:rPr>
      </w:pPr>
    </w:p>
    <w:p w:rsidR="002C7A27" w:rsidRPr="00217205" w:rsidRDefault="002C7A27" w:rsidP="002C7A27">
      <w:pPr>
        <w:pStyle w:val="BodyText2"/>
        <w:spacing w:line="269" w:lineRule="auto"/>
        <w:rPr>
          <w:rFonts w:asciiTheme="minorHAnsi" w:hAnsiTheme="minorHAnsi"/>
          <w:bCs w:val="0"/>
          <w:szCs w:val="22"/>
        </w:rPr>
      </w:pPr>
      <w:r w:rsidRPr="00217205">
        <w:rPr>
          <w:rFonts w:asciiTheme="minorHAnsi" w:hAnsiTheme="minorHAnsi"/>
          <w:bCs w:val="0"/>
          <w:szCs w:val="22"/>
        </w:rPr>
        <w:t xml:space="preserve">Recommendation </w:t>
      </w:r>
      <w:r w:rsidR="00E6299E" w:rsidRPr="00217205">
        <w:rPr>
          <w:rFonts w:asciiTheme="minorHAnsi" w:hAnsiTheme="minorHAnsi"/>
          <w:bCs w:val="0"/>
          <w:szCs w:val="22"/>
        </w:rPr>
        <w:t>7</w:t>
      </w:r>
    </w:p>
    <w:p w:rsidR="002C7A27" w:rsidRPr="00217205" w:rsidRDefault="002C7A27" w:rsidP="002C7A27">
      <w:pPr>
        <w:pStyle w:val="BodyText2"/>
        <w:spacing w:line="269" w:lineRule="auto"/>
        <w:rPr>
          <w:rFonts w:asciiTheme="minorHAnsi" w:hAnsiTheme="minorHAnsi"/>
          <w:bCs w:val="0"/>
          <w:szCs w:val="22"/>
        </w:rPr>
      </w:pPr>
      <w:r w:rsidRPr="00217205">
        <w:rPr>
          <w:rFonts w:asciiTheme="minorHAnsi" w:hAnsiTheme="minorHAnsi"/>
          <w:bCs w:val="0"/>
          <w:szCs w:val="22"/>
        </w:rPr>
        <w:t xml:space="preserve">Small fleets should be protected from disproportionate costs arising from the sampling approach used in robust accreditation schemes. </w:t>
      </w:r>
    </w:p>
    <w:p w:rsidR="001052F8" w:rsidRDefault="001052F8" w:rsidP="002C7A27">
      <w:pPr>
        <w:pStyle w:val="BodyText2"/>
        <w:spacing w:line="269" w:lineRule="auto"/>
        <w:rPr>
          <w:rFonts w:asciiTheme="minorHAnsi" w:hAnsiTheme="minorHAnsi"/>
          <w:bCs w:val="0"/>
          <w:szCs w:val="22"/>
        </w:rPr>
      </w:pPr>
    </w:p>
    <w:p w:rsidR="00C01855" w:rsidRDefault="00C01855" w:rsidP="002C7A27">
      <w:pPr>
        <w:pStyle w:val="BodyText2"/>
        <w:spacing w:line="269" w:lineRule="auto"/>
        <w:rPr>
          <w:rFonts w:asciiTheme="minorHAnsi" w:hAnsiTheme="minorHAnsi"/>
          <w:bCs w:val="0"/>
          <w:szCs w:val="22"/>
        </w:rPr>
      </w:pPr>
    </w:p>
    <w:p w:rsidR="00C01855" w:rsidRDefault="00C01855" w:rsidP="002C7A27">
      <w:pPr>
        <w:pStyle w:val="BodyText2"/>
        <w:spacing w:line="269" w:lineRule="auto"/>
        <w:rPr>
          <w:rFonts w:asciiTheme="minorHAnsi" w:hAnsiTheme="minorHAnsi"/>
          <w:bCs w:val="0"/>
          <w:szCs w:val="22"/>
        </w:rPr>
      </w:pPr>
    </w:p>
    <w:p w:rsidR="00C01855" w:rsidRDefault="00C01855" w:rsidP="002C7A27">
      <w:pPr>
        <w:pStyle w:val="BodyText2"/>
        <w:spacing w:line="269" w:lineRule="auto"/>
        <w:rPr>
          <w:rFonts w:asciiTheme="minorHAnsi" w:hAnsiTheme="minorHAnsi"/>
          <w:bCs w:val="0"/>
          <w:szCs w:val="22"/>
        </w:rPr>
      </w:pPr>
    </w:p>
    <w:p w:rsidR="00C01855" w:rsidRDefault="00C01855" w:rsidP="002C7A27">
      <w:pPr>
        <w:pStyle w:val="BodyText2"/>
        <w:spacing w:line="269" w:lineRule="auto"/>
        <w:rPr>
          <w:rFonts w:asciiTheme="minorHAnsi" w:hAnsiTheme="minorHAnsi"/>
          <w:bCs w:val="0"/>
          <w:szCs w:val="22"/>
        </w:rPr>
      </w:pPr>
    </w:p>
    <w:p w:rsidR="002C7A27" w:rsidRDefault="002C7A27" w:rsidP="002C7A27">
      <w:pPr>
        <w:pStyle w:val="BodyText2"/>
        <w:spacing w:line="269" w:lineRule="auto"/>
        <w:rPr>
          <w:rFonts w:asciiTheme="minorHAnsi" w:hAnsiTheme="minorHAnsi"/>
          <w:bCs w:val="0"/>
          <w:szCs w:val="22"/>
        </w:rPr>
      </w:pPr>
      <w:r>
        <w:rPr>
          <w:rFonts w:asciiTheme="minorHAnsi" w:hAnsiTheme="minorHAnsi"/>
          <w:bCs w:val="0"/>
          <w:szCs w:val="22"/>
        </w:rPr>
        <w:t xml:space="preserve">Recommendation </w:t>
      </w:r>
      <w:r w:rsidR="00E6299E">
        <w:rPr>
          <w:rFonts w:asciiTheme="minorHAnsi" w:hAnsiTheme="minorHAnsi"/>
          <w:bCs w:val="0"/>
          <w:szCs w:val="22"/>
        </w:rPr>
        <w:t>8</w:t>
      </w:r>
    </w:p>
    <w:p w:rsidR="00C01855" w:rsidRPr="00C01855" w:rsidRDefault="00C01855" w:rsidP="00C01855">
      <w:pPr>
        <w:pStyle w:val="BodyText2"/>
        <w:spacing w:line="269" w:lineRule="auto"/>
        <w:rPr>
          <w:rFonts w:asciiTheme="minorHAnsi" w:hAnsiTheme="minorHAnsi"/>
          <w:bCs w:val="0"/>
          <w:szCs w:val="22"/>
        </w:rPr>
      </w:pPr>
      <w:r w:rsidRPr="00C01855">
        <w:rPr>
          <w:rFonts w:asciiTheme="minorHAnsi" w:hAnsiTheme="minorHAnsi"/>
          <w:bCs w:val="0"/>
          <w:szCs w:val="22"/>
        </w:rPr>
        <w:t xml:space="preserve">If vehicles in robust accreditation schemes are not subject to scheduled inspections, the exemption should be available to all accreditation schemes that are registered and that meet the robustness criteria. The exemption should not solely be available to vehicles in NHVAS Maintenance, if it is upgraded to meet the robustness criteria. </w:t>
      </w:r>
    </w:p>
    <w:p w:rsidR="00C01855" w:rsidRPr="00FF3324" w:rsidRDefault="00C01855" w:rsidP="00C01855">
      <w:pPr>
        <w:pStyle w:val="BodyText2"/>
        <w:spacing w:line="269" w:lineRule="auto"/>
        <w:rPr>
          <w:rFonts w:asciiTheme="minorHAnsi" w:hAnsiTheme="minorHAnsi"/>
          <w:b w:val="0"/>
          <w:bCs w:val="0"/>
          <w:szCs w:val="22"/>
        </w:rPr>
      </w:pPr>
    </w:p>
    <w:p w:rsidR="0050401F" w:rsidRDefault="0050401F" w:rsidP="0050401F">
      <w:pPr>
        <w:pStyle w:val="BodyText2"/>
        <w:spacing w:line="269" w:lineRule="auto"/>
        <w:rPr>
          <w:rFonts w:asciiTheme="minorHAnsi" w:hAnsiTheme="minorHAnsi"/>
          <w:b w:val="0"/>
          <w:bCs w:val="0"/>
          <w:szCs w:val="22"/>
        </w:rPr>
      </w:pPr>
      <w:r>
        <w:rPr>
          <w:rFonts w:asciiTheme="minorHAnsi" w:hAnsiTheme="minorHAnsi"/>
          <w:b w:val="0"/>
          <w:bCs w:val="0"/>
          <w:szCs w:val="22"/>
        </w:rPr>
        <w:t xml:space="preserve">The ATA supports </w:t>
      </w:r>
      <w:r w:rsidRPr="005629BD">
        <w:rPr>
          <w:rFonts w:asciiTheme="minorHAnsi" w:hAnsiTheme="minorHAnsi"/>
          <w:b w:val="0"/>
          <w:bCs w:val="0"/>
          <w:szCs w:val="22"/>
        </w:rPr>
        <w:t>inspections undertaken by qualified third party providers.</w:t>
      </w:r>
      <w:r>
        <w:rPr>
          <w:rFonts w:asciiTheme="minorHAnsi" w:hAnsiTheme="minorHAnsi"/>
          <w:b w:val="0"/>
          <w:bCs w:val="0"/>
          <w:szCs w:val="22"/>
        </w:rPr>
        <w:t xml:space="preserve"> This help</w:t>
      </w:r>
      <w:r w:rsidR="002C44DB">
        <w:rPr>
          <w:rFonts w:asciiTheme="minorHAnsi" w:hAnsiTheme="minorHAnsi"/>
          <w:b w:val="0"/>
          <w:bCs w:val="0"/>
          <w:szCs w:val="22"/>
        </w:rPr>
        <w:t>s</w:t>
      </w:r>
      <w:r>
        <w:rPr>
          <w:rFonts w:asciiTheme="minorHAnsi" w:hAnsiTheme="minorHAnsi"/>
          <w:b w:val="0"/>
          <w:bCs w:val="0"/>
          <w:szCs w:val="22"/>
        </w:rPr>
        <w:t xml:space="preserve"> alleviate the burden on public inspection facilities, stimulate</w:t>
      </w:r>
      <w:r w:rsidR="002C44DB">
        <w:rPr>
          <w:rFonts w:asciiTheme="minorHAnsi" w:hAnsiTheme="minorHAnsi"/>
          <w:b w:val="0"/>
          <w:bCs w:val="0"/>
          <w:szCs w:val="22"/>
        </w:rPr>
        <w:t>s</w:t>
      </w:r>
      <w:r>
        <w:rPr>
          <w:rFonts w:asciiTheme="minorHAnsi" w:hAnsiTheme="minorHAnsi"/>
          <w:b w:val="0"/>
          <w:bCs w:val="0"/>
          <w:szCs w:val="22"/>
        </w:rPr>
        <w:t xml:space="preserve"> supply of service centres </w:t>
      </w:r>
      <w:r w:rsidR="002C44DB">
        <w:rPr>
          <w:rFonts w:asciiTheme="minorHAnsi" w:hAnsiTheme="minorHAnsi"/>
          <w:b w:val="0"/>
          <w:bCs w:val="0"/>
          <w:szCs w:val="22"/>
        </w:rPr>
        <w:t xml:space="preserve">throughout </w:t>
      </w:r>
      <w:r>
        <w:rPr>
          <w:rFonts w:asciiTheme="minorHAnsi" w:hAnsiTheme="minorHAnsi"/>
          <w:b w:val="0"/>
          <w:bCs w:val="0"/>
          <w:szCs w:val="22"/>
        </w:rPr>
        <w:t xml:space="preserve">Australia and </w:t>
      </w:r>
      <w:r w:rsidR="00951D52">
        <w:rPr>
          <w:rFonts w:asciiTheme="minorHAnsi" w:hAnsiTheme="minorHAnsi"/>
          <w:b w:val="0"/>
          <w:bCs w:val="0"/>
          <w:szCs w:val="22"/>
        </w:rPr>
        <w:t>competition between fac</w:t>
      </w:r>
      <w:r w:rsidR="004428D4">
        <w:rPr>
          <w:rFonts w:asciiTheme="minorHAnsi" w:hAnsiTheme="minorHAnsi"/>
          <w:b w:val="0"/>
          <w:bCs w:val="0"/>
          <w:szCs w:val="22"/>
        </w:rPr>
        <w:t>ilities</w:t>
      </w:r>
      <w:r>
        <w:rPr>
          <w:rFonts w:asciiTheme="minorHAnsi" w:hAnsiTheme="minorHAnsi"/>
          <w:b w:val="0"/>
          <w:bCs w:val="0"/>
          <w:szCs w:val="22"/>
        </w:rPr>
        <w:t>.</w:t>
      </w:r>
      <w:r w:rsidR="00292233">
        <w:rPr>
          <w:rFonts w:asciiTheme="minorHAnsi" w:hAnsiTheme="minorHAnsi"/>
          <w:b w:val="0"/>
          <w:bCs w:val="0"/>
          <w:szCs w:val="22"/>
        </w:rPr>
        <w:t xml:space="preserve"> </w:t>
      </w:r>
      <w:r w:rsidR="00951D52">
        <w:rPr>
          <w:rFonts w:asciiTheme="minorHAnsi" w:hAnsiTheme="minorHAnsi"/>
          <w:b w:val="0"/>
          <w:bCs w:val="0"/>
          <w:szCs w:val="22"/>
        </w:rPr>
        <w:t xml:space="preserve">Sophisticated diagnostic tools are </w:t>
      </w:r>
      <w:r w:rsidR="00AA7059">
        <w:rPr>
          <w:rFonts w:asciiTheme="minorHAnsi" w:hAnsiTheme="minorHAnsi"/>
          <w:b w:val="0"/>
          <w:bCs w:val="0"/>
          <w:szCs w:val="22"/>
        </w:rPr>
        <w:t xml:space="preserve">also </w:t>
      </w:r>
      <w:r w:rsidR="00951D52">
        <w:rPr>
          <w:rFonts w:asciiTheme="minorHAnsi" w:hAnsiTheme="minorHAnsi"/>
          <w:b w:val="0"/>
          <w:bCs w:val="0"/>
          <w:szCs w:val="22"/>
        </w:rPr>
        <w:t>increasingly used to measure heavy vehicle performance</w:t>
      </w:r>
      <w:r w:rsidR="00292233">
        <w:rPr>
          <w:rFonts w:asciiTheme="minorHAnsi" w:hAnsiTheme="minorHAnsi"/>
          <w:b w:val="0"/>
          <w:bCs w:val="0"/>
          <w:szCs w:val="22"/>
        </w:rPr>
        <w:t xml:space="preserve">, hence </w:t>
      </w:r>
      <w:r w:rsidR="00951D52">
        <w:rPr>
          <w:rFonts w:asciiTheme="minorHAnsi" w:hAnsiTheme="minorHAnsi"/>
          <w:b w:val="0"/>
          <w:bCs w:val="0"/>
          <w:szCs w:val="22"/>
        </w:rPr>
        <w:t>the private sector is best placed to keep up with advances</w:t>
      </w:r>
      <w:r w:rsidR="00A0758F">
        <w:rPr>
          <w:rFonts w:asciiTheme="minorHAnsi" w:hAnsiTheme="minorHAnsi"/>
          <w:b w:val="0"/>
          <w:bCs w:val="0"/>
          <w:szCs w:val="22"/>
        </w:rPr>
        <w:t xml:space="preserve"> in,</w:t>
      </w:r>
      <w:r w:rsidR="00951D52">
        <w:rPr>
          <w:rFonts w:asciiTheme="minorHAnsi" w:hAnsiTheme="minorHAnsi"/>
          <w:b w:val="0"/>
          <w:bCs w:val="0"/>
          <w:szCs w:val="22"/>
        </w:rPr>
        <w:t xml:space="preserve"> and </w:t>
      </w:r>
      <w:r w:rsidR="002C44DB">
        <w:rPr>
          <w:rFonts w:asciiTheme="minorHAnsi" w:hAnsiTheme="minorHAnsi"/>
          <w:b w:val="0"/>
          <w:bCs w:val="0"/>
          <w:szCs w:val="22"/>
        </w:rPr>
        <w:t xml:space="preserve">the </w:t>
      </w:r>
      <w:r w:rsidR="00951D52">
        <w:rPr>
          <w:rFonts w:asciiTheme="minorHAnsi" w:hAnsiTheme="minorHAnsi"/>
          <w:b w:val="0"/>
          <w:bCs w:val="0"/>
          <w:szCs w:val="22"/>
        </w:rPr>
        <w:t>deployment of</w:t>
      </w:r>
      <w:r w:rsidR="00A0758F">
        <w:rPr>
          <w:rFonts w:asciiTheme="minorHAnsi" w:hAnsiTheme="minorHAnsi"/>
          <w:b w:val="0"/>
          <w:bCs w:val="0"/>
          <w:szCs w:val="22"/>
        </w:rPr>
        <w:t>, such</w:t>
      </w:r>
      <w:r w:rsidR="00951D52">
        <w:rPr>
          <w:rFonts w:asciiTheme="minorHAnsi" w:hAnsiTheme="minorHAnsi"/>
          <w:b w:val="0"/>
          <w:bCs w:val="0"/>
          <w:szCs w:val="22"/>
        </w:rPr>
        <w:t xml:space="preserve"> expensive equipment</w:t>
      </w:r>
      <w:r w:rsidR="002C44DB">
        <w:rPr>
          <w:rFonts w:asciiTheme="minorHAnsi" w:hAnsiTheme="minorHAnsi"/>
          <w:b w:val="0"/>
          <w:bCs w:val="0"/>
          <w:szCs w:val="22"/>
        </w:rPr>
        <w:t xml:space="preserve"> to test </w:t>
      </w:r>
      <w:r w:rsidR="00F81400">
        <w:rPr>
          <w:rFonts w:asciiTheme="minorHAnsi" w:hAnsiTheme="minorHAnsi"/>
          <w:b w:val="0"/>
          <w:bCs w:val="0"/>
          <w:szCs w:val="22"/>
        </w:rPr>
        <w:t xml:space="preserve">vehicle </w:t>
      </w:r>
      <w:r w:rsidR="002C44DB">
        <w:rPr>
          <w:rFonts w:asciiTheme="minorHAnsi" w:hAnsiTheme="minorHAnsi"/>
          <w:b w:val="0"/>
          <w:bCs w:val="0"/>
          <w:szCs w:val="22"/>
        </w:rPr>
        <w:t>roadworthiness</w:t>
      </w:r>
      <w:r w:rsidR="00951D52">
        <w:rPr>
          <w:rFonts w:asciiTheme="minorHAnsi" w:hAnsiTheme="minorHAnsi"/>
          <w:b w:val="0"/>
          <w:bCs w:val="0"/>
          <w:szCs w:val="22"/>
        </w:rPr>
        <w:t>.</w:t>
      </w:r>
    </w:p>
    <w:p w:rsidR="00F570FC" w:rsidRDefault="00F570FC" w:rsidP="00FF7BC1">
      <w:pPr>
        <w:pStyle w:val="BodyText2"/>
        <w:spacing w:line="269" w:lineRule="auto"/>
        <w:rPr>
          <w:rFonts w:asciiTheme="minorHAnsi" w:hAnsiTheme="minorHAnsi"/>
          <w:b w:val="0"/>
          <w:bCs w:val="0"/>
          <w:i/>
          <w:szCs w:val="22"/>
        </w:rPr>
      </w:pPr>
    </w:p>
    <w:p w:rsidR="001F52CF" w:rsidRPr="00C93FAB" w:rsidRDefault="001F52CF" w:rsidP="001F52CF">
      <w:pPr>
        <w:pStyle w:val="BodyText2"/>
        <w:spacing w:line="269" w:lineRule="auto"/>
        <w:rPr>
          <w:rFonts w:asciiTheme="minorHAnsi" w:hAnsiTheme="minorHAnsi"/>
          <w:bCs w:val="0"/>
          <w:szCs w:val="22"/>
        </w:rPr>
      </w:pPr>
      <w:r w:rsidRPr="00C93FAB">
        <w:rPr>
          <w:rFonts w:asciiTheme="minorHAnsi" w:hAnsiTheme="minorHAnsi"/>
          <w:bCs w:val="0"/>
          <w:szCs w:val="22"/>
        </w:rPr>
        <w:t xml:space="preserve">Recommendation </w:t>
      </w:r>
      <w:r w:rsidR="008C59C5">
        <w:rPr>
          <w:rFonts w:asciiTheme="minorHAnsi" w:hAnsiTheme="minorHAnsi"/>
          <w:bCs w:val="0"/>
          <w:szCs w:val="22"/>
        </w:rPr>
        <w:t>9</w:t>
      </w:r>
    </w:p>
    <w:p w:rsidR="001F52CF" w:rsidRPr="00C93FAB" w:rsidRDefault="001F52CF" w:rsidP="001F52CF">
      <w:pPr>
        <w:pStyle w:val="BodyText2"/>
        <w:spacing w:line="269" w:lineRule="auto"/>
        <w:rPr>
          <w:rFonts w:asciiTheme="minorHAnsi" w:hAnsiTheme="minorHAnsi"/>
          <w:bCs w:val="0"/>
          <w:szCs w:val="22"/>
        </w:rPr>
      </w:pPr>
      <w:r w:rsidRPr="00C93FAB">
        <w:rPr>
          <w:rFonts w:asciiTheme="minorHAnsi" w:hAnsiTheme="minorHAnsi"/>
          <w:bCs w:val="0"/>
          <w:szCs w:val="22"/>
        </w:rPr>
        <w:t>Annual and other periodic inspections should be able to be undertaken by qualified third party providers.</w:t>
      </w:r>
    </w:p>
    <w:p w:rsidR="00A57A4C" w:rsidRPr="00A0758F" w:rsidRDefault="00A57A4C" w:rsidP="005629BD">
      <w:pPr>
        <w:pStyle w:val="BodyText2"/>
        <w:spacing w:line="269" w:lineRule="auto"/>
        <w:rPr>
          <w:rFonts w:asciiTheme="minorHAnsi" w:hAnsiTheme="minorHAnsi"/>
          <w:bCs w:val="0"/>
          <w:szCs w:val="22"/>
        </w:rPr>
      </w:pPr>
    </w:p>
    <w:sectPr w:rsidR="00A57A4C" w:rsidRPr="00A0758F" w:rsidSect="00CE77A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FC" w:rsidRDefault="00F570FC" w:rsidP="000F3D9F">
      <w:r>
        <w:separator/>
      </w:r>
    </w:p>
  </w:endnote>
  <w:endnote w:type="continuationSeparator" w:id="0">
    <w:p w:rsidR="00F570FC" w:rsidRDefault="00F570FC"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Pr="0062031D" w:rsidRDefault="00F570FC"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F570FC" w:rsidRPr="0062031D" w:rsidRDefault="00F570FC"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F570FC" w:rsidRPr="0062031D" w:rsidRDefault="00F570FC"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F570FC" w:rsidRPr="00E8056B" w:rsidRDefault="00F570FC" w:rsidP="0062031D">
    <w:pPr>
      <w:ind w:right="-426"/>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Footer"/>
      <w:jc w:val="right"/>
    </w:pPr>
    <w:r>
      <w:fldChar w:fldCharType="begin"/>
    </w:r>
    <w:r>
      <w:instrText xml:space="preserve"> PAGE   \* MERGEFORMAT </w:instrText>
    </w:r>
    <w:r>
      <w:fldChar w:fldCharType="separate"/>
    </w:r>
    <w:r>
      <w:rPr>
        <w:noProof/>
      </w:rPr>
      <w:t>7</w:t>
    </w:r>
    <w:r>
      <w:rPr>
        <w:noProof/>
      </w:rPr>
      <w:fldChar w:fldCharType="end"/>
    </w:r>
  </w:p>
  <w:p w:rsidR="00F570FC" w:rsidRDefault="00F570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55"/>
      <w:gridCol w:w="1983"/>
    </w:tblGrid>
    <w:tr w:rsidR="00F570FC" w:rsidRPr="007C0B37" w:rsidTr="00592D33">
      <w:trPr>
        <w:trHeight w:val="278"/>
      </w:trPr>
      <w:tc>
        <w:tcPr>
          <w:tcW w:w="7655" w:type="dxa"/>
          <w:vAlign w:val="center"/>
        </w:tcPr>
        <w:p w:rsidR="00F570FC" w:rsidRPr="007C0B37" w:rsidRDefault="00F570FC" w:rsidP="0026792C">
          <w:pPr>
            <w:pStyle w:val="Footer"/>
            <w:rPr>
              <w:rFonts w:asciiTheme="minorHAnsi" w:hAnsiTheme="minorHAnsi" w:cs="Arial"/>
              <w:sz w:val="18"/>
              <w:szCs w:val="18"/>
            </w:rPr>
          </w:pPr>
          <w:r>
            <w:rPr>
              <w:rFonts w:asciiTheme="minorHAnsi" w:hAnsiTheme="minorHAnsi" w:cs="Arial"/>
              <w:sz w:val="18"/>
              <w:szCs w:val="18"/>
            </w:rPr>
            <w:t>ATA submission</w:t>
          </w:r>
          <w:r w:rsidRPr="007C0B37">
            <w:rPr>
              <w:rFonts w:asciiTheme="minorHAnsi" w:hAnsiTheme="minorHAnsi" w:cs="Arial"/>
              <w:sz w:val="18"/>
              <w:szCs w:val="18"/>
            </w:rPr>
            <w:t xml:space="preserve">: </w:t>
          </w:r>
          <w:r>
            <w:rPr>
              <w:rFonts w:asciiTheme="minorHAnsi" w:hAnsiTheme="minorHAnsi" w:cs="Arial"/>
              <w:sz w:val="18"/>
              <w:szCs w:val="18"/>
            </w:rPr>
            <w:t xml:space="preserve">NTC HV Roadworthiness Consultation RIS </w:t>
          </w:r>
        </w:p>
      </w:tc>
      <w:tc>
        <w:tcPr>
          <w:tcW w:w="1983" w:type="dxa"/>
        </w:tcPr>
        <w:p w:rsidR="00F570FC" w:rsidRPr="007C0B37" w:rsidRDefault="00F570FC" w:rsidP="007C0B37">
          <w:pPr>
            <w:pStyle w:val="Footer"/>
            <w:jc w:val="right"/>
            <w:rPr>
              <w:rFonts w:asciiTheme="minorHAnsi" w:hAnsiTheme="minorHAnsi" w:cs="Arial"/>
              <w:sz w:val="18"/>
              <w:szCs w:val="18"/>
            </w:rPr>
          </w:pPr>
          <w:r w:rsidRPr="007C0B37">
            <w:rPr>
              <w:rFonts w:asciiTheme="minorHAnsi" w:hAnsiTheme="minorHAnsi" w:cs="Arial"/>
              <w:sz w:val="18"/>
              <w:szCs w:val="18"/>
            </w:rPr>
            <w:t xml:space="preserve">Page </w:t>
          </w:r>
          <w:r w:rsidRPr="007C0B37">
            <w:rPr>
              <w:rFonts w:asciiTheme="minorHAnsi" w:hAnsiTheme="minorHAnsi" w:cs="Arial"/>
              <w:sz w:val="18"/>
              <w:szCs w:val="18"/>
            </w:rPr>
            <w:fldChar w:fldCharType="begin"/>
          </w:r>
          <w:r w:rsidRPr="007C0B37">
            <w:rPr>
              <w:rFonts w:asciiTheme="minorHAnsi" w:hAnsiTheme="minorHAnsi" w:cs="Arial"/>
              <w:sz w:val="18"/>
              <w:szCs w:val="18"/>
            </w:rPr>
            <w:instrText xml:space="preserve"> PAGE   \* MERGEFORMAT </w:instrText>
          </w:r>
          <w:r w:rsidRPr="007C0B37">
            <w:rPr>
              <w:rFonts w:asciiTheme="minorHAnsi" w:hAnsiTheme="minorHAnsi" w:cs="Arial"/>
              <w:sz w:val="18"/>
              <w:szCs w:val="18"/>
            </w:rPr>
            <w:fldChar w:fldCharType="separate"/>
          </w:r>
          <w:r w:rsidR="002F4075">
            <w:rPr>
              <w:rFonts w:asciiTheme="minorHAnsi" w:hAnsiTheme="minorHAnsi" w:cs="Arial"/>
              <w:noProof/>
              <w:sz w:val="18"/>
              <w:szCs w:val="18"/>
            </w:rPr>
            <w:t>4</w:t>
          </w:r>
          <w:r w:rsidRPr="007C0B37">
            <w:rPr>
              <w:rFonts w:asciiTheme="minorHAnsi" w:hAnsiTheme="minorHAnsi" w:cs="Arial"/>
              <w:sz w:val="18"/>
              <w:szCs w:val="18"/>
            </w:rPr>
            <w:fldChar w:fldCharType="end"/>
          </w:r>
        </w:p>
      </w:tc>
    </w:tr>
  </w:tbl>
  <w:p w:rsidR="00F570FC" w:rsidRPr="00A91411" w:rsidRDefault="00F570FC">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FC" w:rsidRDefault="00F570FC" w:rsidP="000F3D9F">
      <w:r>
        <w:separator/>
      </w:r>
    </w:p>
  </w:footnote>
  <w:footnote w:type="continuationSeparator" w:id="0">
    <w:p w:rsidR="00F570FC" w:rsidRDefault="00F570FC" w:rsidP="000F3D9F">
      <w:r>
        <w:continuationSeparator/>
      </w:r>
    </w:p>
  </w:footnote>
  <w:footnote w:id="1">
    <w:p w:rsidR="007D3E06" w:rsidRDefault="007D3E06" w:rsidP="007D3E06">
      <w:pPr>
        <w:pStyle w:val="FootnoteText"/>
      </w:pPr>
      <w:r>
        <w:rPr>
          <w:rStyle w:val="FootnoteReference"/>
        </w:rPr>
        <w:footnoteRef/>
      </w:r>
      <w:r>
        <w:t xml:space="preserve"> </w:t>
      </w:r>
      <w:r w:rsidR="000601B1" w:rsidRPr="000601B1">
        <w:rPr>
          <w:sz w:val="16"/>
          <w:szCs w:val="16"/>
        </w:rPr>
        <w:t>NTC R</w:t>
      </w:r>
      <w:r w:rsidR="004F2C94" w:rsidRPr="009A2CE1">
        <w:rPr>
          <w:sz w:val="16"/>
          <w:szCs w:val="16"/>
        </w:rPr>
        <w:t xml:space="preserve">IS </w:t>
      </w:r>
      <w:r w:rsidRPr="009A2CE1">
        <w:rPr>
          <w:sz w:val="16"/>
          <w:szCs w:val="16"/>
        </w:rPr>
        <w:t xml:space="preserve">Appendix B - </w:t>
      </w:r>
      <w:r w:rsidRPr="009A2CE1">
        <w:rPr>
          <w:rFonts w:asciiTheme="minorHAnsi" w:hAnsiTheme="minorHAnsi"/>
          <w:sz w:val="16"/>
          <w:szCs w:val="16"/>
        </w:rPr>
        <w:t>Frontier Economics</w:t>
      </w:r>
      <w:r w:rsidR="000601B1">
        <w:rPr>
          <w:rFonts w:asciiTheme="minorHAnsi" w:hAnsiTheme="minorHAnsi"/>
          <w:sz w:val="16"/>
          <w:szCs w:val="16"/>
        </w:rPr>
        <w:t xml:space="preserve">, January 2015.  </w:t>
      </w:r>
    </w:p>
  </w:footnote>
  <w:footnote w:id="2">
    <w:p w:rsidR="00FA6111" w:rsidRDefault="00FA6111" w:rsidP="00FA6111">
      <w:pPr>
        <w:pStyle w:val="FootnoteText"/>
        <w:rPr>
          <w:sz w:val="16"/>
          <w:szCs w:val="16"/>
        </w:rPr>
      </w:pPr>
      <w:r>
        <w:rPr>
          <w:rStyle w:val="FootnoteReference"/>
        </w:rPr>
        <w:footnoteRef/>
      </w:r>
      <w:r>
        <w:t xml:space="preserve"> ‘</w:t>
      </w:r>
      <w:r w:rsidRPr="00ED5AB9">
        <w:rPr>
          <w:sz w:val="16"/>
          <w:szCs w:val="16"/>
        </w:rPr>
        <w:t>Most of the [evidence-based policy] principles will be familiar to policymakers — they have been highlighted in policy manuals, Commission reports in one form or another, and reflected elsewhere such as through the Regulatory Impact Statement (RIS) process.</w:t>
      </w:r>
      <w:r>
        <w:rPr>
          <w:sz w:val="16"/>
          <w:szCs w:val="16"/>
        </w:rPr>
        <w:t>’</w:t>
      </w:r>
      <w:r w:rsidRPr="00ED5AB9">
        <w:rPr>
          <w:sz w:val="16"/>
          <w:szCs w:val="16"/>
        </w:rPr>
        <w:t xml:space="preserve"> </w:t>
      </w:r>
      <w:r w:rsidR="00E13477">
        <w:rPr>
          <w:sz w:val="16"/>
          <w:szCs w:val="16"/>
        </w:rPr>
        <w:t xml:space="preserve">Productivity Commission </w:t>
      </w:r>
      <w:r w:rsidR="00E13477" w:rsidRPr="00ED5AB9">
        <w:rPr>
          <w:sz w:val="16"/>
          <w:szCs w:val="16"/>
        </w:rPr>
        <w:t xml:space="preserve">2010, </w:t>
      </w:r>
      <w:r w:rsidR="00E13477" w:rsidRPr="00AC78C9">
        <w:rPr>
          <w:i/>
          <w:sz w:val="16"/>
          <w:szCs w:val="16"/>
        </w:rPr>
        <w:t>Strengthening Evidence Based Policy in the Australian Federation</w:t>
      </w:r>
      <w:r w:rsidR="00E13477" w:rsidRPr="00ED5AB9">
        <w:rPr>
          <w:sz w:val="16"/>
          <w:szCs w:val="16"/>
        </w:rPr>
        <w:t xml:space="preserve">, Volume 1: Proceedings, Roundtable Proceedings, Productivity Commission, </w:t>
      </w:r>
      <w:r w:rsidR="00E13477">
        <w:rPr>
          <w:sz w:val="16"/>
          <w:szCs w:val="16"/>
        </w:rPr>
        <w:t xml:space="preserve">Canberra, </w:t>
      </w:r>
      <w:r w:rsidR="002D7AA6" w:rsidRPr="002D7AA6">
        <w:rPr>
          <w:sz w:val="16"/>
          <w:szCs w:val="16"/>
        </w:rPr>
        <w:t xml:space="preserve">page </w:t>
      </w:r>
      <w:r w:rsidRPr="00ED5AB9">
        <w:rPr>
          <w:sz w:val="16"/>
          <w:szCs w:val="16"/>
        </w:rPr>
        <w:t>6</w:t>
      </w:r>
      <w:r w:rsidR="002D7AA6">
        <w:rPr>
          <w:sz w:val="16"/>
          <w:szCs w:val="16"/>
        </w:rPr>
        <w:t>.</w:t>
      </w:r>
    </w:p>
    <w:p w:rsidR="00770B03" w:rsidRPr="00ED5AB9" w:rsidRDefault="00770B03" w:rsidP="00FA6111">
      <w:pPr>
        <w:pStyle w:val="FootnoteText"/>
        <w:rPr>
          <w:sz w:val="16"/>
          <w:szCs w:val="16"/>
        </w:rPr>
      </w:pPr>
    </w:p>
  </w:footnote>
  <w:footnote w:id="3">
    <w:p w:rsidR="00484655" w:rsidRPr="00ED5AB9" w:rsidRDefault="00484655" w:rsidP="00484655">
      <w:pPr>
        <w:pStyle w:val="FootnoteText"/>
        <w:rPr>
          <w:sz w:val="16"/>
          <w:szCs w:val="16"/>
        </w:rPr>
      </w:pPr>
      <w:r>
        <w:rPr>
          <w:rStyle w:val="FootnoteReference"/>
        </w:rPr>
        <w:footnoteRef/>
      </w:r>
      <w:r>
        <w:t xml:space="preserve"> </w:t>
      </w:r>
      <w:r w:rsidR="00ED5AB9" w:rsidRPr="00ED5AB9">
        <w:rPr>
          <w:sz w:val="16"/>
          <w:szCs w:val="16"/>
        </w:rPr>
        <w:t>Productivity Commission</w:t>
      </w:r>
      <w:r w:rsidR="00ED5AB9">
        <w:rPr>
          <w:sz w:val="16"/>
          <w:szCs w:val="16"/>
        </w:rPr>
        <w:t xml:space="preserve">, </w:t>
      </w:r>
      <w:r w:rsidRPr="00ED5AB9">
        <w:rPr>
          <w:sz w:val="16"/>
          <w:szCs w:val="16"/>
        </w:rPr>
        <w:t xml:space="preserve">page 4. </w:t>
      </w:r>
    </w:p>
  </w:footnote>
  <w:footnote w:id="4">
    <w:p w:rsidR="0066327D" w:rsidRDefault="0066327D" w:rsidP="0066327D">
      <w:pPr>
        <w:pStyle w:val="FootnoteText"/>
        <w:rPr>
          <w:sz w:val="16"/>
          <w:szCs w:val="16"/>
        </w:rPr>
      </w:pPr>
      <w:r>
        <w:rPr>
          <w:rStyle w:val="FootnoteReference"/>
        </w:rPr>
        <w:footnoteRef/>
      </w:r>
      <w:r>
        <w:t xml:space="preserve"> </w:t>
      </w:r>
      <w:r w:rsidRPr="008E539A">
        <w:rPr>
          <w:sz w:val="16"/>
          <w:szCs w:val="16"/>
        </w:rPr>
        <w:t xml:space="preserve">Productivity Commission, page </w:t>
      </w:r>
      <w:r w:rsidR="00F77E61">
        <w:rPr>
          <w:sz w:val="16"/>
          <w:szCs w:val="16"/>
        </w:rPr>
        <w:t>4</w:t>
      </w:r>
      <w:r w:rsidRPr="008E539A">
        <w:rPr>
          <w:sz w:val="16"/>
          <w:szCs w:val="16"/>
        </w:rPr>
        <w:t>.</w:t>
      </w:r>
    </w:p>
    <w:p w:rsidR="00BE21AC" w:rsidRDefault="00BE21AC" w:rsidP="006632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Pr="00E8056B" w:rsidRDefault="00F570FC"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F570FC" w:rsidRDefault="00F57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Pr="0062031D" w:rsidRDefault="00F570FC"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F570FC" w:rsidRPr="0062031D" w:rsidRDefault="00F570FC" w:rsidP="0062031D">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FC" w:rsidRDefault="00F5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67E"/>
    <w:multiLevelType w:val="hybridMultilevel"/>
    <w:tmpl w:val="7440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8502F"/>
    <w:multiLevelType w:val="hybridMultilevel"/>
    <w:tmpl w:val="C40A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24C4F"/>
    <w:multiLevelType w:val="hybridMultilevel"/>
    <w:tmpl w:val="F1E8FFC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6737518"/>
    <w:multiLevelType w:val="hybridMultilevel"/>
    <w:tmpl w:val="D90651D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F7E5EEC"/>
    <w:multiLevelType w:val="hybridMultilevel"/>
    <w:tmpl w:val="93A0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0F5141"/>
    <w:multiLevelType w:val="hybridMultilevel"/>
    <w:tmpl w:val="6BA2B6F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9166DD9"/>
    <w:multiLevelType w:val="hybridMultilevel"/>
    <w:tmpl w:val="6E0A113C"/>
    <w:lvl w:ilvl="0" w:tplc="715C62BE">
      <w:numFmt w:val="bullet"/>
      <w:lvlText w:val=""/>
      <w:lvlJc w:val="left"/>
      <w:pPr>
        <w:ind w:left="849" w:hanging="492"/>
      </w:pPr>
      <w:rPr>
        <w:rFonts w:ascii="Symbol" w:eastAsia="Calibri"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nsid w:val="2B4C3814"/>
    <w:multiLevelType w:val="hybridMultilevel"/>
    <w:tmpl w:val="0F102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A40D25"/>
    <w:multiLevelType w:val="hybridMultilevel"/>
    <w:tmpl w:val="D98C5B3E"/>
    <w:lvl w:ilvl="0" w:tplc="950A1A92">
      <w:start w:val="1"/>
      <w:numFmt w:val="lowerRoman"/>
      <w:lvlText w:val="(%1)"/>
      <w:lvlJc w:val="left"/>
      <w:pPr>
        <w:ind w:left="2804" w:hanging="720"/>
      </w:pPr>
      <w:rPr>
        <w:rFonts w:hint="default"/>
      </w:rPr>
    </w:lvl>
    <w:lvl w:ilvl="1" w:tplc="0C090019" w:tentative="1">
      <w:start w:val="1"/>
      <w:numFmt w:val="lowerLetter"/>
      <w:lvlText w:val="%2."/>
      <w:lvlJc w:val="left"/>
      <w:pPr>
        <w:ind w:left="3164" w:hanging="360"/>
      </w:pPr>
    </w:lvl>
    <w:lvl w:ilvl="2" w:tplc="0C09001B" w:tentative="1">
      <w:start w:val="1"/>
      <w:numFmt w:val="lowerRoman"/>
      <w:lvlText w:val="%3."/>
      <w:lvlJc w:val="right"/>
      <w:pPr>
        <w:ind w:left="3884" w:hanging="180"/>
      </w:pPr>
    </w:lvl>
    <w:lvl w:ilvl="3" w:tplc="0C09000F" w:tentative="1">
      <w:start w:val="1"/>
      <w:numFmt w:val="decimal"/>
      <w:lvlText w:val="%4."/>
      <w:lvlJc w:val="left"/>
      <w:pPr>
        <w:ind w:left="4604" w:hanging="360"/>
      </w:pPr>
    </w:lvl>
    <w:lvl w:ilvl="4" w:tplc="0C090019" w:tentative="1">
      <w:start w:val="1"/>
      <w:numFmt w:val="lowerLetter"/>
      <w:lvlText w:val="%5."/>
      <w:lvlJc w:val="left"/>
      <w:pPr>
        <w:ind w:left="5324" w:hanging="360"/>
      </w:pPr>
    </w:lvl>
    <w:lvl w:ilvl="5" w:tplc="0C09001B" w:tentative="1">
      <w:start w:val="1"/>
      <w:numFmt w:val="lowerRoman"/>
      <w:lvlText w:val="%6."/>
      <w:lvlJc w:val="right"/>
      <w:pPr>
        <w:ind w:left="6044" w:hanging="180"/>
      </w:pPr>
    </w:lvl>
    <w:lvl w:ilvl="6" w:tplc="0C09000F" w:tentative="1">
      <w:start w:val="1"/>
      <w:numFmt w:val="decimal"/>
      <w:lvlText w:val="%7."/>
      <w:lvlJc w:val="left"/>
      <w:pPr>
        <w:ind w:left="6764" w:hanging="360"/>
      </w:pPr>
    </w:lvl>
    <w:lvl w:ilvl="7" w:tplc="0C090019" w:tentative="1">
      <w:start w:val="1"/>
      <w:numFmt w:val="lowerLetter"/>
      <w:lvlText w:val="%8."/>
      <w:lvlJc w:val="left"/>
      <w:pPr>
        <w:ind w:left="7484" w:hanging="360"/>
      </w:pPr>
    </w:lvl>
    <w:lvl w:ilvl="8" w:tplc="0C09001B" w:tentative="1">
      <w:start w:val="1"/>
      <w:numFmt w:val="lowerRoman"/>
      <w:lvlText w:val="%9."/>
      <w:lvlJc w:val="right"/>
      <w:pPr>
        <w:ind w:left="8204" w:hanging="180"/>
      </w:pPr>
    </w:lvl>
  </w:abstractNum>
  <w:abstractNum w:abstractNumId="9">
    <w:nsid w:val="36E40A43"/>
    <w:multiLevelType w:val="hybridMultilevel"/>
    <w:tmpl w:val="C80A9FF6"/>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B30971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7542DC"/>
    <w:multiLevelType w:val="hybridMultilevel"/>
    <w:tmpl w:val="182CAC34"/>
    <w:lvl w:ilvl="0" w:tplc="9B2A3E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3221B5"/>
    <w:multiLevelType w:val="hybridMultilevel"/>
    <w:tmpl w:val="A64E9A46"/>
    <w:lvl w:ilvl="0" w:tplc="1F5C929A">
      <w:start w:val="1"/>
      <w:numFmt w:val="bullet"/>
      <w:pStyle w:val="TableHead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9D73FE"/>
    <w:multiLevelType w:val="hybridMultilevel"/>
    <w:tmpl w:val="5A0AC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5079714E"/>
    <w:multiLevelType w:val="hybridMultilevel"/>
    <w:tmpl w:val="1FCE6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141710"/>
    <w:multiLevelType w:val="hybridMultilevel"/>
    <w:tmpl w:val="E1B4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61F2B91"/>
    <w:multiLevelType w:val="hybridMultilevel"/>
    <w:tmpl w:val="1B74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554ED9"/>
    <w:multiLevelType w:val="multilevel"/>
    <w:tmpl w:val="A4640850"/>
    <w:lvl w:ilvl="0">
      <w:start w:val="1"/>
      <w:numFmt w:val="decimal"/>
      <w:pStyle w:val="Heading1"/>
      <w:lvlText w:val="%1."/>
      <w:lvlJc w:val="left"/>
      <w:pPr>
        <w:ind w:left="6173" w:hanging="360"/>
      </w:pPr>
      <w:rPr>
        <w:rFonts w:asciiTheme="minorHAnsi" w:hAnsiTheme="minorHAnsi"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FE766B3"/>
    <w:multiLevelType w:val="hybridMultilevel"/>
    <w:tmpl w:val="FD46FEA0"/>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DB59F7"/>
    <w:multiLevelType w:val="hybridMultilevel"/>
    <w:tmpl w:val="693240E0"/>
    <w:lvl w:ilvl="0" w:tplc="0C090001">
      <w:start w:val="1"/>
      <w:numFmt w:val="bullet"/>
      <w:lvlText w:val=""/>
      <w:lvlJc w:val="left"/>
      <w:pPr>
        <w:ind w:left="-2136"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696" w:hanging="360"/>
      </w:pPr>
      <w:rPr>
        <w:rFonts w:ascii="Wingdings" w:hAnsi="Wingdings" w:hint="default"/>
      </w:rPr>
    </w:lvl>
    <w:lvl w:ilvl="3" w:tplc="0C090001" w:tentative="1">
      <w:start w:val="1"/>
      <w:numFmt w:val="bullet"/>
      <w:lvlText w:val=""/>
      <w:lvlJc w:val="left"/>
      <w:pPr>
        <w:ind w:left="24" w:hanging="360"/>
      </w:pPr>
      <w:rPr>
        <w:rFonts w:ascii="Symbol" w:hAnsi="Symbol" w:hint="default"/>
      </w:rPr>
    </w:lvl>
    <w:lvl w:ilvl="4" w:tplc="0C090003" w:tentative="1">
      <w:start w:val="1"/>
      <w:numFmt w:val="bullet"/>
      <w:lvlText w:val="o"/>
      <w:lvlJc w:val="left"/>
      <w:pPr>
        <w:ind w:left="744" w:hanging="360"/>
      </w:pPr>
      <w:rPr>
        <w:rFonts w:ascii="Courier New" w:hAnsi="Courier New" w:cs="Courier New" w:hint="default"/>
      </w:rPr>
    </w:lvl>
    <w:lvl w:ilvl="5" w:tplc="0C090005" w:tentative="1">
      <w:start w:val="1"/>
      <w:numFmt w:val="bullet"/>
      <w:lvlText w:val=""/>
      <w:lvlJc w:val="left"/>
      <w:pPr>
        <w:ind w:left="1464" w:hanging="360"/>
      </w:pPr>
      <w:rPr>
        <w:rFonts w:ascii="Wingdings" w:hAnsi="Wingdings" w:hint="default"/>
      </w:rPr>
    </w:lvl>
    <w:lvl w:ilvl="6" w:tplc="0C090001" w:tentative="1">
      <w:start w:val="1"/>
      <w:numFmt w:val="bullet"/>
      <w:lvlText w:val=""/>
      <w:lvlJc w:val="left"/>
      <w:pPr>
        <w:ind w:left="2184" w:hanging="360"/>
      </w:pPr>
      <w:rPr>
        <w:rFonts w:ascii="Symbol" w:hAnsi="Symbol" w:hint="default"/>
      </w:rPr>
    </w:lvl>
    <w:lvl w:ilvl="7" w:tplc="0C090003" w:tentative="1">
      <w:start w:val="1"/>
      <w:numFmt w:val="bullet"/>
      <w:lvlText w:val="o"/>
      <w:lvlJc w:val="left"/>
      <w:pPr>
        <w:ind w:left="2904" w:hanging="360"/>
      </w:pPr>
      <w:rPr>
        <w:rFonts w:ascii="Courier New" w:hAnsi="Courier New" w:cs="Courier New" w:hint="default"/>
      </w:rPr>
    </w:lvl>
    <w:lvl w:ilvl="8" w:tplc="0C090005" w:tentative="1">
      <w:start w:val="1"/>
      <w:numFmt w:val="bullet"/>
      <w:lvlText w:val=""/>
      <w:lvlJc w:val="left"/>
      <w:pPr>
        <w:ind w:left="3624" w:hanging="360"/>
      </w:pPr>
      <w:rPr>
        <w:rFonts w:ascii="Wingdings" w:hAnsi="Wingdings" w:hint="default"/>
      </w:rPr>
    </w:lvl>
  </w:abstractNum>
  <w:abstractNum w:abstractNumId="20">
    <w:nsid w:val="631F6D00"/>
    <w:multiLevelType w:val="hybridMultilevel"/>
    <w:tmpl w:val="6D5CBA28"/>
    <w:lvl w:ilvl="0" w:tplc="34CCE8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36D0CB5"/>
    <w:multiLevelType w:val="hybridMultilevel"/>
    <w:tmpl w:val="6D22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FB0BE0"/>
    <w:multiLevelType w:val="hybridMultilevel"/>
    <w:tmpl w:val="6D84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1D444B"/>
    <w:multiLevelType w:val="hybridMultilevel"/>
    <w:tmpl w:val="BBDA25D0"/>
    <w:lvl w:ilvl="0" w:tplc="263ADD6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
  </w:num>
  <w:num w:numId="5">
    <w:abstractNumId w:val="18"/>
  </w:num>
  <w:num w:numId="6">
    <w:abstractNumId w:val="9"/>
  </w:num>
  <w:num w:numId="7">
    <w:abstractNumId w:val="4"/>
  </w:num>
  <w:num w:numId="8">
    <w:abstractNumId w:val="6"/>
  </w:num>
  <w:num w:numId="9">
    <w:abstractNumId w:val="20"/>
  </w:num>
  <w:num w:numId="10">
    <w:abstractNumId w:val="21"/>
  </w:num>
  <w:num w:numId="11">
    <w:abstractNumId w:val="8"/>
  </w:num>
  <w:num w:numId="12">
    <w:abstractNumId w:val="0"/>
  </w:num>
  <w:num w:numId="13">
    <w:abstractNumId w:val="2"/>
  </w:num>
  <w:num w:numId="14">
    <w:abstractNumId w:val="5"/>
  </w:num>
  <w:num w:numId="15">
    <w:abstractNumId w:val="19"/>
  </w:num>
  <w:num w:numId="16">
    <w:abstractNumId w:val="14"/>
  </w:num>
  <w:num w:numId="17">
    <w:abstractNumId w:val="3"/>
  </w:num>
  <w:num w:numId="18">
    <w:abstractNumId w:val="17"/>
  </w:num>
  <w:num w:numId="19">
    <w:abstractNumId w:val="17"/>
  </w:num>
  <w:num w:numId="20">
    <w:abstractNumId w:val="17"/>
  </w:num>
  <w:num w:numId="21">
    <w:abstractNumId w:val="17"/>
  </w:num>
  <w:num w:numId="22">
    <w:abstractNumId w:val="16"/>
  </w:num>
  <w:num w:numId="23">
    <w:abstractNumId w:val="23"/>
  </w:num>
  <w:num w:numId="24">
    <w:abstractNumId w:val="12"/>
  </w:num>
  <w:num w:numId="25">
    <w:abstractNumId w:val="10"/>
  </w:num>
  <w:num w:numId="26">
    <w:abstractNumId w:val="17"/>
  </w:num>
  <w:num w:numId="27">
    <w:abstractNumId w:val="22"/>
  </w:num>
  <w:num w:numId="28">
    <w:abstractNumId w:val="15"/>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059D"/>
    <w:rsid w:val="0000159D"/>
    <w:rsid w:val="00001AAA"/>
    <w:rsid w:val="0000237F"/>
    <w:rsid w:val="000030A8"/>
    <w:rsid w:val="00003BE5"/>
    <w:rsid w:val="00003CBE"/>
    <w:rsid w:val="00004DB4"/>
    <w:rsid w:val="0000562E"/>
    <w:rsid w:val="00005C79"/>
    <w:rsid w:val="00005E0D"/>
    <w:rsid w:val="000065AF"/>
    <w:rsid w:val="000069AB"/>
    <w:rsid w:val="00010840"/>
    <w:rsid w:val="000118F7"/>
    <w:rsid w:val="00011C40"/>
    <w:rsid w:val="00011D52"/>
    <w:rsid w:val="0001397D"/>
    <w:rsid w:val="00014B23"/>
    <w:rsid w:val="000156D1"/>
    <w:rsid w:val="000162F0"/>
    <w:rsid w:val="00016560"/>
    <w:rsid w:val="00016EB9"/>
    <w:rsid w:val="000223CC"/>
    <w:rsid w:val="00023B28"/>
    <w:rsid w:val="00025C3E"/>
    <w:rsid w:val="00027B59"/>
    <w:rsid w:val="0003005A"/>
    <w:rsid w:val="0003263C"/>
    <w:rsid w:val="00035CFC"/>
    <w:rsid w:val="00036F08"/>
    <w:rsid w:val="00040727"/>
    <w:rsid w:val="0004076B"/>
    <w:rsid w:val="00040876"/>
    <w:rsid w:val="00040CC5"/>
    <w:rsid w:val="00040D17"/>
    <w:rsid w:val="00040D26"/>
    <w:rsid w:val="0004142E"/>
    <w:rsid w:val="0004192B"/>
    <w:rsid w:val="00042462"/>
    <w:rsid w:val="00042746"/>
    <w:rsid w:val="00042B5C"/>
    <w:rsid w:val="00043430"/>
    <w:rsid w:val="00043AF0"/>
    <w:rsid w:val="00044533"/>
    <w:rsid w:val="00046042"/>
    <w:rsid w:val="000500EB"/>
    <w:rsid w:val="00050881"/>
    <w:rsid w:val="00051383"/>
    <w:rsid w:val="00052E9C"/>
    <w:rsid w:val="000530C7"/>
    <w:rsid w:val="0005451A"/>
    <w:rsid w:val="000561A5"/>
    <w:rsid w:val="00056848"/>
    <w:rsid w:val="000601B1"/>
    <w:rsid w:val="00060C28"/>
    <w:rsid w:val="00061236"/>
    <w:rsid w:val="000613A5"/>
    <w:rsid w:val="000614BF"/>
    <w:rsid w:val="000618CC"/>
    <w:rsid w:val="0006283B"/>
    <w:rsid w:val="000630C3"/>
    <w:rsid w:val="000653CA"/>
    <w:rsid w:val="00065F14"/>
    <w:rsid w:val="00066F9F"/>
    <w:rsid w:val="00067EFA"/>
    <w:rsid w:val="00072057"/>
    <w:rsid w:val="0007542B"/>
    <w:rsid w:val="00075AE5"/>
    <w:rsid w:val="00075E7B"/>
    <w:rsid w:val="00076C90"/>
    <w:rsid w:val="00077815"/>
    <w:rsid w:val="00080037"/>
    <w:rsid w:val="00080AF2"/>
    <w:rsid w:val="0008172A"/>
    <w:rsid w:val="000833A3"/>
    <w:rsid w:val="00083C15"/>
    <w:rsid w:val="00084187"/>
    <w:rsid w:val="000848A1"/>
    <w:rsid w:val="00085055"/>
    <w:rsid w:val="00085CC0"/>
    <w:rsid w:val="000868C6"/>
    <w:rsid w:val="000875E7"/>
    <w:rsid w:val="00087A48"/>
    <w:rsid w:val="000901B7"/>
    <w:rsid w:val="000903D9"/>
    <w:rsid w:val="000921A9"/>
    <w:rsid w:val="00092B43"/>
    <w:rsid w:val="0009439A"/>
    <w:rsid w:val="00095C3B"/>
    <w:rsid w:val="000963BE"/>
    <w:rsid w:val="000A0781"/>
    <w:rsid w:val="000A102A"/>
    <w:rsid w:val="000A151F"/>
    <w:rsid w:val="000A1FA2"/>
    <w:rsid w:val="000A2BCF"/>
    <w:rsid w:val="000A30F2"/>
    <w:rsid w:val="000A3763"/>
    <w:rsid w:val="000A3F4E"/>
    <w:rsid w:val="000A4E76"/>
    <w:rsid w:val="000A4EB0"/>
    <w:rsid w:val="000A62F7"/>
    <w:rsid w:val="000A7880"/>
    <w:rsid w:val="000B069A"/>
    <w:rsid w:val="000B0787"/>
    <w:rsid w:val="000B2258"/>
    <w:rsid w:val="000B2F7A"/>
    <w:rsid w:val="000B351D"/>
    <w:rsid w:val="000B4161"/>
    <w:rsid w:val="000B4942"/>
    <w:rsid w:val="000B6CAC"/>
    <w:rsid w:val="000B6D2A"/>
    <w:rsid w:val="000B70B8"/>
    <w:rsid w:val="000B773A"/>
    <w:rsid w:val="000B7D23"/>
    <w:rsid w:val="000C01AC"/>
    <w:rsid w:val="000C0C35"/>
    <w:rsid w:val="000C15B7"/>
    <w:rsid w:val="000C19AA"/>
    <w:rsid w:val="000C1A80"/>
    <w:rsid w:val="000C2334"/>
    <w:rsid w:val="000C30F1"/>
    <w:rsid w:val="000C310A"/>
    <w:rsid w:val="000C58B5"/>
    <w:rsid w:val="000C594D"/>
    <w:rsid w:val="000C62B7"/>
    <w:rsid w:val="000C7C29"/>
    <w:rsid w:val="000D003E"/>
    <w:rsid w:val="000D0FE5"/>
    <w:rsid w:val="000D274C"/>
    <w:rsid w:val="000D2F89"/>
    <w:rsid w:val="000D4D9F"/>
    <w:rsid w:val="000D50D0"/>
    <w:rsid w:val="000D528B"/>
    <w:rsid w:val="000D5ACA"/>
    <w:rsid w:val="000D6381"/>
    <w:rsid w:val="000D6454"/>
    <w:rsid w:val="000D650C"/>
    <w:rsid w:val="000E0012"/>
    <w:rsid w:val="000E24CC"/>
    <w:rsid w:val="000E3A38"/>
    <w:rsid w:val="000E408F"/>
    <w:rsid w:val="000E4CD3"/>
    <w:rsid w:val="000E4D3B"/>
    <w:rsid w:val="000E5E6F"/>
    <w:rsid w:val="000E67CA"/>
    <w:rsid w:val="000E6C2F"/>
    <w:rsid w:val="000E783D"/>
    <w:rsid w:val="000E7B14"/>
    <w:rsid w:val="000F0116"/>
    <w:rsid w:val="000F080E"/>
    <w:rsid w:val="000F08F2"/>
    <w:rsid w:val="000F0F7B"/>
    <w:rsid w:val="000F260D"/>
    <w:rsid w:val="000F30FF"/>
    <w:rsid w:val="000F349D"/>
    <w:rsid w:val="000F3D9F"/>
    <w:rsid w:val="000F4057"/>
    <w:rsid w:val="000F53C2"/>
    <w:rsid w:val="000F542C"/>
    <w:rsid w:val="000F566E"/>
    <w:rsid w:val="000F5DF0"/>
    <w:rsid w:val="000F7F6F"/>
    <w:rsid w:val="00100ED4"/>
    <w:rsid w:val="001016E8"/>
    <w:rsid w:val="001019C0"/>
    <w:rsid w:val="00101EAF"/>
    <w:rsid w:val="001023CB"/>
    <w:rsid w:val="001025C9"/>
    <w:rsid w:val="001052F8"/>
    <w:rsid w:val="00105EE3"/>
    <w:rsid w:val="001071A4"/>
    <w:rsid w:val="00110610"/>
    <w:rsid w:val="00111723"/>
    <w:rsid w:val="00111DD3"/>
    <w:rsid w:val="00111F7D"/>
    <w:rsid w:val="00112444"/>
    <w:rsid w:val="001155CC"/>
    <w:rsid w:val="001202C1"/>
    <w:rsid w:val="00120673"/>
    <w:rsid w:val="00121418"/>
    <w:rsid w:val="00121A53"/>
    <w:rsid w:val="00121A86"/>
    <w:rsid w:val="00121E1A"/>
    <w:rsid w:val="00122558"/>
    <w:rsid w:val="001226B2"/>
    <w:rsid w:val="00123A50"/>
    <w:rsid w:val="00125795"/>
    <w:rsid w:val="00125987"/>
    <w:rsid w:val="00127712"/>
    <w:rsid w:val="001278A2"/>
    <w:rsid w:val="00127BC0"/>
    <w:rsid w:val="0013041A"/>
    <w:rsid w:val="0013169E"/>
    <w:rsid w:val="00132BFF"/>
    <w:rsid w:val="00132C94"/>
    <w:rsid w:val="001332F2"/>
    <w:rsid w:val="00134A9F"/>
    <w:rsid w:val="00134BA3"/>
    <w:rsid w:val="00136219"/>
    <w:rsid w:val="001368EB"/>
    <w:rsid w:val="00136A61"/>
    <w:rsid w:val="0013765E"/>
    <w:rsid w:val="00137794"/>
    <w:rsid w:val="00141274"/>
    <w:rsid w:val="0014174B"/>
    <w:rsid w:val="00141FF4"/>
    <w:rsid w:val="0014328A"/>
    <w:rsid w:val="001438A6"/>
    <w:rsid w:val="0014437E"/>
    <w:rsid w:val="00145022"/>
    <w:rsid w:val="0014566C"/>
    <w:rsid w:val="00145B52"/>
    <w:rsid w:val="001463C2"/>
    <w:rsid w:val="0014683D"/>
    <w:rsid w:val="0014697E"/>
    <w:rsid w:val="001475F7"/>
    <w:rsid w:val="001477F7"/>
    <w:rsid w:val="0014792B"/>
    <w:rsid w:val="00150065"/>
    <w:rsid w:val="0015168F"/>
    <w:rsid w:val="00151950"/>
    <w:rsid w:val="00151F88"/>
    <w:rsid w:val="00152A71"/>
    <w:rsid w:val="001533EC"/>
    <w:rsid w:val="00153D10"/>
    <w:rsid w:val="00154910"/>
    <w:rsid w:val="00155481"/>
    <w:rsid w:val="001555C9"/>
    <w:rsid w:val="00155B97"/>
    <w:rsid w:val="00156060"/>
    <w:rsid w:val="00160FE3"/>
    <w:rsid w:val="001611AB"/>
    <w:rsid w:val="00161A46"/>
    <w:rsid w:val="0016265F"/>
    <w:rsid w:val="00164A4D"/>
    <w:rsid w:val="00165C3E"/>
    <w:rsid w:val="00165DB1"/>
    <w:rsid w:val="00165E9E"/>
    <w:rsid w:val="00166926"/>
    <w:rsid w:val="00170107"/>
    <w:rsid w:val="00170FC2"/>
    <w:rsid w:val="001727E8"/>
    <w:rsid w:val="00172D5B"/>
    <w:rsid w:val="0018072A"/>
    <w:rsid w:val="001811B8"/>
    <w:rsid w:val="0018136A"/>
    <w:rsid w:val="001817F5"/>
    <w:rsid w:val="00182648"/>
    <w:rsid w:val="00183923"/>
    <w:rsid w:val="00184A28"/>
    <w:rsid w:val="001867C7"/>
    <w:rsid w:val="001871CA"/>
    <w:rsid w:val="00190747"/>
    <w:rsid w:val="00191B40"/>
    <w:rsid w:val="001922E5"/>
    <w:rsid w:val="001923C1"/>
    <w:rsid w:val="0019429B"/>
    <w:rsid w:val="001942B3"/>
    <w:rsid w:val="001943BE"/>
    <w:rsid w:val="0019542E"/>
    <w:rsid w:val="00195437"/>
    <w:rsid w:val="001968DC"/>
    <w:rsid w:val="001A024F"/>
    <w:rsid w:val="001A0CED"/>
    <w:rsid w:val="001A0DC3"/>
    <w:rsid w:val="001A0F8E"/>
    <w:rsid w:val="001A2840"/>
    <w:rsid w:val="001A2BAF"/>
    <w:rsid w:val="001A33CC"/>
    <w:rsid w:val="001A3AAA"/>
    <w:rsid w:val="001A4430"/>
    <w:rsid w:val="001A4DF8"/>
    <w:rsid w:val="001A5E91"/>
    <w:rsid w:val="001A5FE2"/>
    <w:rsid w:val="001A6510"/>
    <w:rsid w:val="001A66A5"/>
    <w:rsid w:val="001A6CAB"/>
    <w:rsid w:val="001A744D"/>
    <w:rsid w:val="001A7BF4"/>
    <w:rsid w:val="001A7DE6"/>
    <w:rsid w:val="001A7F85"/>
    <w:rsid w:val="001B1431"/>
    <w:rsid w:val="001B1812"/>
    <w:rsid w:val="001B27CF"/>
    <w:rsid w:val="001B3E52"/>
    <w:rsid w:val="001B46F6"/>
    <w:rsid w:val="001B4DC3"/>
    <w:rsid w:val="001B5564"/>
    <w:rsid w:val="001B6B29"/>
    <w:rsid w:val="001B7A3E"/>
    <w:rsid w:val="001B7B44"/>
    <w:rsid w:val="001C0606"/>
    <w:rsid w:val="001C121B"/>
    <w:rsid w:val="001C125D"/>
    <w:rsid w:val="001C13A5"/>
    <w:rsid w:val="001C150C"/>
    <w:rsid w:val="001C1CEB"/>
    <w:rsid w:val="001C25E2"/>
    <w:rsid w:val="001C3225"/>
    <w:rsid w:val="001C3659"/>
    <w:rsid w:val="001C3A79"/>
    <w:rsid w:val="001C4689"/>
    <w:rsid w:val="001C52FE"/>
    <w:rsid w:val="001C7551"/>
    <w:rsid w:val="001D038B"/>
    <w:rsid w:val="001D15A1"/>
    <w:rsid w:val="001D1836"/>
    <w:rsid w:val="001D298C"/>
    <w:rsid w:val="001D3D04"/>
    <w:rsid w:val="001D46D2"/>
    <w:rsid w:val="001D50BC"/>
    <w:rsid w:val="001D50C7"/>
    <w:rsid w:val="001D5BA0"/>
    <w:rsid w:val="001D652D"/>
    <w:rsid w:val="001D7318"/>
    <w:rsid w:val="001D77A8"/>
    <w:rsid w:val="001D7817"/>
    <w:rsid w:val="001E0A75"/>
    <w:rsid w:val="001E1665"/>
    <w:rsid w:val="001E232E"/>
    <w:rsid w:val="001E3126"/>
    <w:rsid w:val="001E3910"/>
    <w:rsid w:val="001E3D57"/>
    <w:rsid w:val="001E4593"/>
    <w:rsid w:val="001E589A"/>
    <w:rsid w:val="001F024C"/>
    <w:rsid w:val="001F0F11"/>
    <w:rsid w:val="001F1386"/>
    <w:rsid w:val="001F187C"/>
    <w:rsid w:val="001F2FD4"/>
    <w:rsid w:val="001F32AB"/>
    <w:rsid w:val="001F52CF"/>
    <w:rsid w:val="001F53BF"/>
    <w:rsid w:val="001F5A9B"/>
    <w:rsid w:val="001F5B3D"/>
    <w:rsid w:val="001F5BCB"/>
    <w:rsid w:val="001F5CDF"/>
    <w:rsid w:val="001F670D"/>
    <w:rsid w:val="001F6EEA"/>
    <w:rsid w:val="001F7244"/>
    <w:rsid w:val="001F75E5"/>
    <w:rsid w:val="001F75FA"/>
    <w:rsid w:val="00200502"/>
    <w:rsid w:val="0020076C"/>
    <w:rsid w:val="0020079C"/>
    <w:rsid w:val="002014CF"/>
    <w:rsid w:val="002017D0"/>
    <w:rsid w:val="00201A96"/>
    <w:rsid w:val="00202A6B"/>
    <w:rsid w:val="00202AE7"/>
    <w:rsid w:val="00203C7D"/>
    <w:rsid w:val="002041FF"/>
    <w:rsid w:val="00204DFF"/>
    <w:rsid w:val="0020535C"/>
    <w:rsid w:val="00205D00"/>
    <w:rsid w:val="00206BFD"/>
    <w:rsid w:val="00207329"/>
    <w:rsid w:val="0020791B"/>
    <w:rsid w:val="0020796A"/>
    <w:rsid w:val="0021133A"/>
    <w:rsid w:val="0021180A"/>
    <w:rsid w:val="00212465"/>
    <w:rsid w:val="00212936"/>
    <w:rsid w:val="002130AA"/>
    <w:rsid w:val="00213C59"/>
    <w:rsid w:val="002158C8"/>
    <w:rsid w:val="00216CE6"/>
    <w:rsid w:val="00216F19"/>
    <w:rsid w:val="00217205"/>
    <w:rsid w:val="00217B72"/>
    <w:rsid w:val="00217E71"/>
    <w:rsid w:val="002203F0"/>
    <w:rsid w:val="002208FB"/>
    <w:rsid w:val="00220D64"/>
    <w:rsid w:val="0022256D"/>
    <w:rsid w:val="002227A3"/>
    <w:rsid w:val="0022347C"/>
    <w:rsid w:val="002235C4"/>
    <w:rsid w:val="00224234"/>
    <w:rsid w:val="0022435C"/>
    <w:rsid w:val="00224EA1"/>
    <w:rsid w:val="00225056"/>
    <w:rsid w:val="00225F89"/>
    <w:rsid w:val="00230598"/>
    <w:rsid w:val="00230BC5"/>
    <w:rsid w:val="00230DFC"/>
    <w:rsid w:val="002317DA"/>
    <w:rsid w:val="002327F8"/>
    <w:rsid w:val="0023296D"/>
    <w:rsid w:val="00234795"/>
    <w:rsid w:val="002355DE"/>
    <w:rsid w:val="0023571B"/>
    <w:rsid w:val="0023578F"/>
    <w:rsid w:val="00236F30"/>
    <w:rsid w:val="002374B4"/>
    <w:rsid w:val="00237788"/>
    <w:rsid w:val="00237B5F"/>
    <w:rsid w:val="00240467"/>
    <w:rsid w:val="0024119B"/>
    <w:rsid w:val="0024170B"/>
    <w:rsid w:val="00241C15"/>
    <w:rsid w:val="00243126"/>
    <w:rsid w:val="00243534"/>
    <w:rsid w:val="00243F7B"/>
    <w:rsid w:val="002442EB"/>
    <w:rsid w:val="00244543"/>
    <w:rsid w:val="00245CE4"/>
    <w:rsid w:val="002502E0"/>
    <w:rsid w:val="002502EF"/>
    <w:rsid w:val="00250E06"/>
    <w:rsid w:val="00251D36"/>
    <w:rsid w:val="00252BD7"/>
    <w:rsid w:val="0025356A"/>
    <w:rsid w:val="00253E0B"/>
    <w:rsid w:val="00253F8D"/>
    <w:rsid w:val="002543DF"/>
    <w:rsid w:val="002550E9"/>
    <w:rsid w:val="00256699"/>
    <w:rsid w:val="0026131A"/>
    <w:rsid w:val="0026268E"/>
    <w:rsid w:val="002629DC"/>
    <w:rsid w:val="00262C0A"/>
    <w:rsid w:val="002630E0"/>
    <w:rsid w:val="0026318C"/>
    <w:rsid w:val="00263997"/>
    <w:rsid w:val="0026601A"/>
    <w:rsid w:val="0026620C"/>
    <w:rsid w:val="00266915"/>
    <w:rsid w:val="00267830"/>
    <w:rsid w:val="0026792C"/>
    <w:rsid w:val="0027068E"/>
    <w:rsid w:val="00273325"/>
    <w:rsid w:val="00273748"/>
    <w:rsid w:val="00273BB0"/>
    <w:rsid w:val="002742EF"/>
    <w:rsid w:val="00274BA8"/>
    <w:rsid w:val="00276728"/>
    <w:rsid w:val="00276DF8"/>
    <w:rsid w:val="00277F32"/>
    <w:rsid w:val="0028010D"/>
    <w:rsid w:val="002819AA"/>
    <w:rsid w:val="00281EFE"/>
    <w:rsid w:val="002825A0"/>
    <w:rsid w:val="002828F1"/>
    <w:rsid w:val="00286A8B"/>
    <w:rsid w:val="00286DB5"/>
    <w:rsid w:val="002875B7"/>
    <w:rsid w:val="00292233"/>
    <w:rsid w:val="00292DAD"/>
    <w:rsid w:val="0029330A"/>
    <w:rsid w:val="00294E3C"/>
    <w:rsid w:val="0029551B"/>
    <w:rsid w:val="00295EB3"/>
    <w:rsid w:val="00296633"/>
    <w:rsid w:val="002A00F5"/>
    <w:rsid w:val="002A010F"/>
    <w:rsid w:val="002A0424"/>
    <w:rsid w:val="002A237B"/>
    <w:rsid w:val="002A3061"/>
    <w:rsid w:val="002A43F0"/>
    <w:rsid w:val="002A455A"/>
    <w:rsid w:val="002A4859"/>
    <w:rsid w:val="002A4ACA"/>
    <w:rsid w:val="002A5A99"/>
    <w:rsid w:val="002A6DBF"/>
    <w:rsid w:val="002B1F61"/>
    <w:rsid w:val="002B2136"/>
    <w:rsid w:val="002B381D"/>
    <w:rsid w:val="002B3AEF"/>
    <w:rsid w:val="002B3FCA"/>
    <w:rsid w:val="002B46EB"/>
    <w:rsid w:val="002B5253"/>
    <w:rsid w:val="002B5331"/>
    <w:rsid w:val="002B5D65"/>
    <w:rsid w:val="002B618E"/>
    <w:rsid w:val="002B6CC2"/>
    <w:rsid w:val="002C06A8"/>
    <w:rsid w:val="002C0C38"/>
    <w:rsid w:val="002C1799"/>
    <w:rsid w:val="002C2A4E"/>
    <w:rsid w:val="002C3A51"/>
    <w:rsid w:val="002C42FF"/>
    <w:rsid w:val="002C44DB"/>
    <w:rsid w:val="002C6E2E"/>
    <w:rsid w:val="002C6F4E"/>
    <w:rsid w:val="002C7A27"/>
    <w:rsid w:val="002C7AB9"/>
    <w:rsid w:val="002C7D3E"/>
    <w:rsid w:val="002C7FF6"/>
    <w:rsid w:val="002D3901"/>
    <w:rsid w:val="002D592D"/>
    <w:rsid w:val="002D5D45"/>
    <w:rsid w:val="002D6514"/>
    <w:rsid w:val="002D7AA6"/>
    <w:rsid w:val="002D7AC6"/>
    <w:rsid w:val="002D7FDB"/>
    <w:rsid w:val="002E06E3"/>
    <w:rsid w:val="002E06EB"/>
    <w:rsid w:val="002E453E"/>
    <w:rsid w:val="002E4E20"/>
    <w:rsid w:val="002E57F6"/>
    <w:rsid w:val="002E5D82"/>
    <w:rsid w:val="002E677D"/>
    <w:rsid w:val="002E782F"/>
    <w:rsid w:val="002E7897"/>
    <w:rsid w:val="002E7F28"/>
    <w:rsid w:val="002F00C9"/>
    <w:rsid w:val="002F0993"/>
    <w:rsid w:val="002F0EBE"/>
    <w:rsid w:val="002F1319"/>
    <w:rsid w:val="002F1339"/>
    <w:rsid w:val="002F2AF7"/>
    <w:rsid w:val="002F2F65"/>
    <w:rsid w:val="002F4075"/>
    <w:rsid w:val="002F42BE"/>
    <w:rsid w:val="002F4DB0"/>
    <w:rsid w:val="002F6212"/>
    <w:rsid w:val="002F632C"/>
    <w:rsid w:val="002F6D63"/>
    <w:rsid w:val="003016C4"/>
    <w:rsid w:val="00303296"/>
    <w:rsid w:val="00306AF6"/>
    <w:rsid w:val="00306FBF"/>
    <w:rsid w:val="00307AF8"/>
    <w:rsid w:val="0031087B"/>
    <w:rsid w:val="00310B35"/>
    <w:rsid w:val="0031301A"/>
    <w:rsid w:val="003168CE"/>
    <w:rsid w:val="00320AFE"/>
    <w:rsid w:val="00320F07"/>
    <w:rsid w:val="00321554"/>
    <w:rsid w:val="003215A3"/>
    <w:rsid w:val="00321A43"/>
    <w:rsid w:val="00322C31"/>
    <w:rsid w:val="0032301B"/>
    <w:rsid w:val="0032308F"/>
    <w:rsid w:val="00324459"/>
    <w:rsid w:val="00325A6C"/>
    <w:rsid w:val="003268C1"/>
    <w:rsid w:val="00327300"/>
    <w:rsid w:val="00332B03"/>
    <w:rsid w:val="00333BA6"/>
    <w:rsid w:val="003340FB"/>
    <w:rsid w:val="00334244"/>
    <w:rsid w:val="00334926"/>
    <w:rsid w:val="00336254"/>
    <w:rsid w:val="00336760"/>
    <w:rsid w:val="00337869"/>
    <w:rsid w:val="00341AE8"/>
    <w:rsid w:val="00341FEC"/>
    <w:rsid w:val="00342826"/>
    <w:rsid w:val="0034321B"/>
    <w:rsid w:val="00344D53"/>
    <w:rsid w:val="00346388"/>
    <w:rsid w:val="00352490"/>
    <w:rsid w:val="003528F0"/>
    <w:rsid w:val="003533CA"/>
    <w:rsid w:val="00354394"/>
    <w:rsid w:val="0035493A"/>
    <w:rsid w:val="00355B9C"/>
    <w:rsid w:val="00357354"/>
    <w:rsid w:val="00360759"/>
    <w:rsid w:val="0036161B"/>
    <w:rsid w:val="00365CB8"/>
    <w:rsid w:val="003669CC"/>
    <w:rsid w:val="00366D48"/>
    <w:rsid w:val="00367FA3"/>
    <w:rsid w:val="00372153"/>
    <w:rsid w:val="00374216"/>
    <w:rsid w:val="00374AE7"/>
    <w:rsid w:val="00374D6C"/>
    <w:rsid w:val="003758A7"/>
    <w:rsid w:val="003769FA"/>
    <w:rsid w:val="0037778F"/>
    <w:rsid w:val="00380598"/>
    <w:rsid w:val="00380E64"/>
    <w:rsid w:val="003812E6"/>
    <w:rsid w:val="0038277C"/>
    <w:rsid w:val="00383A09"/>
    <w:rsid w:val="00384772"/>
    <w:rsid w:val="00384AED"/>
    <w:rsid w:val="00385D4D"/>
    <w:rsid w:val="00386778"/>
    <w:rsid w:val="00387729"/>
    <w:rsid w:val="00387D57"/>
    <w:rsid w:val="0039063B"/>
    <w:rsid w:val="003911E4"/>
    <w:rsid w:val="00391418"/>
    <w:rsid w:val="00391557"/>
    <w:rsid w:val="00391A59"/>
    <w:rsid w:val="0039269B"/>
    <w:rsid w:val="003932ED"/>
    <w:rsid w:val="00393471"/>
    <w:rsid w:val="00395221"/>
    <w:rsid w:val="003958D9"/>
    <w:rsid w:val="00396458"/>
    <w:rsid w:val="00397E45"/>
    <w:rsid w:val="003A0863"/>
    <w:rsid w:val="003A19A5"/>
    <w:rsid w:val="003A2034"/>
    <w:rsid w:val="003A269C"/>
    <w:rsid w:val="003A447E"/>
    <w:rsid w:val="003A6307"/>
    <w:rsid w:val="003A6A3B"/>
    <w:rsid w:val="003B01B7"/>
    <w:rsid w:val="003B0870"/>
    <w:rsid w:val="003B0AAE"/>
    <w:rsid w:val="003B0E35"/>
    <w:rsid w:val="003B1682"/>
    <w:rsid w:val="003B1937"/>
    <w:rsid w:val="003B4A6C"/>
    <w:rsid w:val="003B6150"/>
    <w:rsid w:val="003B660D"/>
    <w:rsid w:val="003B74E4"/>
    <w:rsid w:val="003B7E94"/>
    <w:rsid w:val="003C03EB"/>
    <w:rsid w:val="003C0A38"/>
    <w:rsid w:val="003C0A77"/>
    <w:rsid w:val="003C11B3"/>
    <w:rsid w:val="003C142B"/>
    <w:rsid w:val="003C190C"/>
    <w:rsid w:val="003C1F90"/>
    <w:rsid w:val="003C2311"/>
    <w:rsid w:val="003C347A"/>
    <w:rsid w:val="003C351E"/>
    <w:rsid w:val="003C58C4"/>
    <w:rsid w:val="003C5D5A"/>
    <w:rsid w:val="003C5EFD"/>
    <w:rsid w:val="003C7671"/>
    <w:rsid w:val="003D0183"/>
    <w:rsid w:val="003D0D26"/>
    <w:rsid w:val="003D1337"/>
    <w:rsid w:val="003D2B9B"/>
    <w:rsid w:val="003D2C3F"/>
    <w:rsid w:val="003D4283"/>
    <w:rsid w:val="003D48A9"/>
    <w:rsid w:val="003D6219"/>
    <w:rsid w:val="003D662F"/>
    <w:rsid w:val="003D6FA8"/>
    <w:rsid w:val="003E022B"/>
    <w:rsid w:val="003E1201"/>
    <w:rsid w:val="003E1F3D"/>
    <w:rsid w:val="003E269D"/>
    <w:rsid w:val="003E2B20"/>
    <w:rsid w:val="003E3FAF"/>
    <w:rsid w:val="003F1027"/>
    <w:rsid w:val="003F1634"/>
    <w:rsid w:val="003F2F10"/>
    <w:rsid w:val="003F57E8"/>
    <w:rsid w:val="003F600B"/>
    <w:rsid w:val="003F6CA9"/>
    <w:rsid w:val="004008C7"/>
    <w:rsid w:val="004011BA"/>
    <w:rsid w:val="00401745"/>
    <w:rsid w:val="00403823"/>
    <w:rsid w:val="00403AB5"/>
    <w:rsid w:val="00404731"/>
    <w:rsid w:val="004053D4"/>
    <w:rsid w:val="00406847"/>
    <w:rsid w:val="0040688E"/>
    <w:rsid w:val="00407E4A"/>
    <w:rsid w:val="00410D07"/>
    <w:rsid w:val="004111D4"/>
    <w:rsid w:val="004112F1"/>
    <w:rsid w:val="004115B6"/>
    <w:rsid w:val="00413868"/>
    <w:rsid w:val="00413C36"/>
    <w:rsid w:val="00413F6B"/>
    <w:rsid w:val="00414336"/>
    <w:rsid w:val="00414BA7"/>
    <w:rsid w:val="00415126"/>
    <w:rsid w:val="004152D6"/>
    <w:rsid w:val="004164B0"/>
    <w:rsid w:val="004164BB"/>
    <w:rsid w:val="00417A6F"/>
    <w:rsid w:val="00417E07"/>
    <w:rsid w:val="0042014B"/>
    <w:rsid w:val="004205EF"/>
    <w:rsid w:val="00420B77"/>
    <w:rsid w:val="00421306"/>
    <w:rsid w:val="00422328"/>
    <w:rsid w:val="00422BB7"/>
    <w:rsid w:val="00423888"/>
    <w:rsid w:val="00423CCC"/>
    <w:rsid w:val="00424B10"/>
    <w:rsid w:val="00424D3E"/>
    <w:rsid w:val="0042557B"/>
    <w:rsid w:val="0042666B"/>
    <w:rsid w:val="00427F3B"/>
    <w:rsid w:val="004318DC"/>
    <w:rsid w:val="00432694"/>
    <w:rsid w:val="004347C9"/>
    <w:rsid w:val="00435080"/>
    <w:rsid w:val="004353C2"/>
    <w:rsid w:val="0043584E"/>
    <w:rsid w:val="00436D3D"/>
    <w:rsid w:val="00436DF5"/>
    <w:rsid w:val="00440231"/>
    <w:rsid w:val="00440E22"/>
    <w:rsid w:val="00440F44"/>
    <w:rsid w:val="0044207F"/>
    <w:rsid w:val="004428D4"/>
    <w:rsid w:val="0044412E"/>
    <w:rsid w:val="00444979"/>
    <w:rsid w:val="004456CC"/>
    <w:rsid w:val="00445CDC"/>
    <w:rsid w:val="004468A9"/>
    <w:rsid w:val="00446C35"/>
    <w:rsid w:val="00450702"/>
    <w:rsid w:val="00450E7A"/>
    <w:rsid w:val="00450F05"/>
    <w:rsid w:val="00450FC6"/>
    <w:rsid w:val="00450FF8"/>
    <w:rsid w:val="00452484"/>
    <w:rsid w:val="004533ED"/>
    <w:rsid w:val="00454798"/>
    <w:rsid w:val="004552A2"/>
    <w:rsid w:val="00456D91"/>
    <w:rsid w:val="0045733E"/>
    <w:rsid w:val="00457795"/>
    <w:rsid w:val="00461C8E"/>
    <w:rsid w:val="00462767"/>
    <w:rsid w:val="00463CBB"/>
    <w:rsid w:val="004640D1"/>
    <w:rsid w:val="00465D16"/>
    <w:rsid w:val="0046717F"/>
    <w:rsid w:val="0047036B"/>
    <w:rsid w:val="00470721"/>
    <w:rsid w:val="00470B99"/>
    <w:rsid w:val="00472115"/>
    <w:rsid w:val="0047357F"/>
    <w:rsid w:val="00474132"/>
    <w:rsid w:val="00475C39"/>
    <w:rsid w:val="00477937"/>
    <w:rsid w:val="00477EF4"/>
    <w:rsid w:val="004803E5"/>
    <w:rsid w:val="00481B25"/>
    <w:rsid w:val="0048236F"/>
    <w:rsid w:val="00482A22"/>
    <w:rsid w:val="00482B30"/>
    <w:rsid w:val="00484068"/>
    <w:rsid w:val="00484655"/>
    <w:rsid w:val="00484CC6"/>
    <w:rsid w:val="0048533B"/>
    <w:rsid w:val="00486626"/>
    <w:rsid w:val="0048754C"/>
    <w:rsid w:val="00487F0F"/>
    <w:rsid w:val="00490498"/>
    <w:rsid w:val="0049292E"/>
    <w:rsid w:val="0049298D"/>
    <w:rsid w:val="00493791"/>
    <w:rsid w:val="0049414B"/>
    <w:rsid w:val="00494275"/>
    <w:rsid w:val="004977DE"/>
    <w:rsid w:val="004A1760"/>
    <w:rsid w:val="004A2115"/>
    <w:rsid w:val="004A2F6F"/>
    <w:rsid w:val="004B0EDE"/>
    <w:rsid w:val="004B10F5"/>
    <w:rsid w:val="004B26EB"/>
    <w:rsid w:val="004B488A"/>
    <w:rsid w:val="004B48AF"/>
    <w:rsid w:val="004B5017"/>
    <w:rsid w:val="004B50BC"/>
    <w:rsid w:val="004B6187"/>
    <w:rsid w:val="004B6A55"/>
    <w:rsid w:val="004B7253"/>
    <w:rsid w:val="004B7FFA"/>
    <w:rsid w:val="004C0182"/>
    <w:rsid w:val="004C03D5"/>
    <w:rsid w:val="004C0BD1"/>
    <w:rsid w:val="004C21BB"/>
    <w:rsid w:val="004C2EB3"/>
    <w:rsid w:val="004C3CC3"/>
    <w:rsid w:val="004C4418"/>
    <w:rsid w:val="004C5006"/>
    <w:rsid w:val="004C606E"/>
    <w:rsid w:val="004C625A"/>
    <w:rsid w:val="004C64D9"/>
    <w:rsid w:val="004C697F"/>
    <w:rsid w:val="004C7248"/>
    <w:rsid w:val="004C7A79"/>
    <w:rsid w:val="004D1185"/>
    <w:rsid w:val="004D119C"/>
    <w:rsid w:val="004D2192"/>
    <w:rsid w:val="004D43D2"/>
    <w:rsid w:val="004D652E"/>
    <w:rsid w:val="004E0529"/>
    <w:rsid w:val="004E0CAD"/>
    <w:rsid w:val="004E1EBB"/>
    <w:rsid w:val="004E3959"/>
    <w:rsid w:val="004E5EA3"/>
    <w:rsid w:val="004E6C3A"/>
    <w:rsid w:val="004E7034"/>
    <w:rsid w:val="004E7510"/>
    <w:rsid w:val="004E7F7D"/>
    <w:rsid w:val="004F0DFD"/>
    <w:rsid w:val="004F112A"/>
    <w:rsid w:val="004F11EA"/>
    <w:rsid w:val="004F1B89"/>
    <w:rsid w:val="004F2C94"/>
    <w:rsid w:val="004F39F0"/>
    <w:rsid w:val="004F3B07"/>
    <w:rsid w:val="004F42DC"/>
    <w:rsid w:val="004F6CE4"/>
    <w:rsid w:val="0050401F"/>
    <w:rsid w:val="0050428E"/>
    <w:rsid w:val="0050670A"/>
    <w:rsid w:val="00506CE4"/>
    <w:rsid w:val="00510952"/>
    <w:rsid w:val="00512224"/>
    <w:rsid w:val="00517E23"/>
    <w:rsid w:val="00520756"/>
    <w:rsid w:val="00521323"/>
    <w:rsid w:val="005223FD"/>
    <w:rsid w:val="00525303"/>
    <w:rsid w:val="005266F2"/>
    <w:rsid w:val="00527304"/>
    <w:rsid w:val="00530144"/>
    <w:rsid w:val="0053137B"/>
    <w:rsid w:val="00532423"/>
    <w:rsid w:val="00532BFB"/>
    <w:rsid w:val="00533E29"/>
    <w:rsid w:val="00534E32"/>
    <w:rsid w:val="00534EE2"/>
    <w:rsid w:val="00535B95"/>
    <w:rsid w:val="005365E0"/>
    <w:rsid w:val="00537D91"/>
    <w:rsid w:val="00542479"/>
    <w:rsid w:val="005436B6"/>
    <w:rsid w:val="00543AEF"/>
    <w:rsid w:val="00543B27"/>
    <w:rsid w:val="00544362"/>
    <w:rsid w:val="00545672"/>
    <w:rsid w:val="00546396"/>
    <w:rsid w:val="0054722C"/>
    <w:rsid w:val="00547CA9"/>
    <w:rsid w:val="00547E18"/>
    <w:rsid w:val="00550256"/>
    <w:rsid w:val="0055055C"/>
    <w:rsid w:val="005521DA"/>
    <w:rsid w:val="005534E4"/>
    <w:rsid w:val="00554D1E"/>
    <w:rsid w:val="00554E38"/>
    <w:rsid w:val="0055577C"/>
    <w:rsid w:val="00557D15"/>
    <w:rsid w:val="00560025"/>
    <w:rsid w:val="00560034"/>
    <w:rsid w:val="00560171"/>
    <w:rsid w:val="005604FF"/>
    <w:rsid w:val="00560BE3"/>
    <w:rsid w:val="0056179B"/>
    <w:rsid w:val="005629BD"/>
    <w:rsid w:val="0056448B"/>
    <w:rsid w:val="00565492"/>
    <w:rsid w:val="00565E4A"/>
    <w:rsid w:val="00565F92"/>
    <w:rsid w:val="005701A7"/>
    <w:rsid w:val="00570A95"/>
    <w:rsid w:val="005717B0"/>
    <w:rsid w:val="00571E75"/>
    <w:rsid w:val="005732EC"/>
    <w:rsid w:val="00573408"/>
    <w:rsid w:val="00573E0F"/>
    <w:rsid w:val="00576145"/>
    <w:rsid w:val="00576ED0"/>
    <w:rsid w:val="00576F0D"/>
    <w:rsid w:val="005775FA"/>
    <w:rsid w:val="00580BDF"/>
    <w:rsid w:val="005819E4"/>
    <w:rsid w:val="00581A2C"/>
    <w:rsid w:val="00583EC7"/>
    <w:rsid w:val="00586C72"/>
    <w:rsid w:val="00587C8F"/>
    <w:rsid w:val="00590779"/>
    <w:rsid w:val="00590CBF"/>
    <w:rsid w:val="00591D34"/>
    <w:rsid w:val="00592C16"/>
    <w:rsid w:val="00592D33"/>
    <w:rsid w:val="00593217"/>
    <w:rsid w:val="0059367E"/>
    <w:rsid w:val="00593B10"/>
    <w:rsid w:val="00595833"/>
    <w:rsid w:val="005959F9"/>
    <w:rsid w:val="00596AD2"/>
    <w:rsid w:val="00597798"/>
    <w:rsid w:val="005A0D15"/>
    <w:rsid w:val="005A18D7"/>
    <w:rsid w:val="005A2A86"/>
    <w:rsid w:val="005A4466"/>
    <w:rsid w:val="005A46A1"/>
    <w:rsid w:val="005A5392"/>
    <w:rsid w:val="005A540F"/>
    <w:rsid w:val="005A5571"/>
    <w:rsid w:val="005A5B2E"/>
    <w:rsid w:val="005A5CAD"/>
    <w:rsid w:val="005A64A9"/>
    <w:rsid w:val="005A64DD"/>
    <w:rsid w:val="005A6891"/>
    <w:rsid w:val="005A6A2D"/>
    <w:rsid w:val="005A6E96"/>
    <w:rsid w:val="005A748B"/>
    <w:rsid w:val="005B14AC"/>
    <w:rsid w:val="005B2D18"/>
    <w:rsid w:val="005B2F9C"/>
    <w:rsid w:val="005B3729"/>
    <w:rsid w:val="005B5ADE"/>
    <w:rsid w:val="005C154E"/>
    <w:rsid w:val="005C31A0"/>
    <w:rsid w:val="005C35BE"/>
    <w:rsid w:val="005C4952"/>
    <w:rsid w:val="005C63F7"/>
    <w:rsid w:val="005C74C9"/>
    <w:rsid w:val="005D0EE2"/>
    <w:rsid w:val="005D2355"/>
    <w:rsid w:val="005D2565"/>
    <w:rsid w:val="005D25D5"/>
    <w:rsid w:val="005D2FC9"/>
    <w:rsid w:val="005D3014"/>
    <w:rsid w:val="005D51D7"/>
    <w:rsid w:val="005D6813"/>
    <w:rsid w:val="005D6CD2"/>
    <w:rsid w:val="005D6E23"/>
    <w:rsid w:val="005D7A0C"/>
    <w:rsid w:val="005E0A05"/>
    <w:rsid w:val="005E0B6D"/>
    <w:rsid w:val="005E11FC"/>
    <w:rsid w:val="005E16F9"/>
    <w:rsid w:val="005E28FB"/>
    <w:rsid w:val="005E3ADF"/>
    <w:rsid w:val="005E5130"/>
    <w:rsid w:val="005E6294"/>
    <w:rsid w:val="005E6A30"/>
    <w:rsid w:val="005E6D8B"/>
    <w:rsid w:val="005E7C51"/>
    <w:rsid w:val="005E7C87"/>
    <w:rsid w:val="005F01D2"/>
    <w:rsid w:val="005F1009"/>
    <w:rsid w:val="005F1298"/>
    <w:rsid w:val="005F21D1"/>
    <w:rsid w:val="005F40A1"/>
    <w:rsid w:val="005F5ACC"/>
    <w:rsid w:val="005F6288"/>
    <w:rsid w:val="005F69CC"/>
    <w:rsid w:val="005F76B2"/>
    <w:rsid w:val="00601230"/>
    <w:rsid w:val="00602FCC"/>
    <w:rsid w:val="00603061"/>
    <w:rsid w:val="006037BD"/>
    <w:rsid w:val="00603FF6"/>
    <w:rsid w:val="00605DDD"/>
    <w:rsid w:val="00605E06"/>
    <w:rsid w:val="00607663"/>
    <w:rsid w:val="00607F45"/>
    <w:rsid w:val="006104D6"/>
    <w:rsid w:val="006109E9"/>
    <w:rsid w:val="00610CFE"/>
    <w:rsid w:val="0061186C"/>
    <w:rsid w:val="00611D83"/>
    <w:rsid w:val="00611EA1"/>
    <w:rsid w:val="00611ED6"/>
    <w:rsid w:val="0061213E"/>
    <w:rsid w:val="00613278"/>
    <w:rsid w:val="006142B5"/>
    <w:rsid w:val="006144AD"/>
    <w:rsid w:val="00614D51"/>
    <w:rsid w:val="0061556B"/>
    <w:rsid w:val="00616345"/>
    <w:rsid w:val="00617B32"/>
    <w:rsid w:val="0062031D"/>
    <w:rsid w:val="006216C2"/>
    <w:rsid w:val="00622C71"/>
    <w:rsid w:val="006231E7"/>
    <w:rsid w:val="0062374D"/>
    <w:rsid w:val="0062389F"/>
    <w:rsid w:val="006244DA"/>
    <w:rsid w:val="0062473C"/>
    <w:rsid w:val="00625792"/>
    <w:rsid w:val="0063160F"/>
    <w:rsid w:val="00633196"/>
    <w:rsid w:val="00634850"/>
    <w:rsid w:val="00635D66"/>
    <w:rsid w:val="00636F21"/>
    <w:rsid w:val="00637E33"/>
    <w:rsid w:val="00640940"/>
    <w:rsid w:val="00640AF8"/>
    <w:rsid w:val="00640DAD"/>
    <w:rsid w:val="00640F10"/>
    <w:rsid w:val="0064190A"/>
    <w:rsid w:val="00642DBA"/>
    <w:rsid w:val="00643382"/>
    <w:rsid w:val="006435C7"/>
    <w:rsid w:val="00645476"/>
    <w:rsid w:val="00646310"/>
    <w:rsid w:val="00650743"/>
    <w:rsid w:val="00650771"/>
    <w:rsid w:val="00650891"/>
    <w:rsid w:val="00651008"/>
    <w:rsid w:val="00651DE9"/>
    <w:rsid w:val="00653FE5"/>
    <w:rsid w:val="00655B53"/>
    <w:rsid w:val="00657AAB"/>
    <w:rsid w:val="0066223E"/>
    <w:rsid w:val="00662536"/>
    <w:rsid w:val="0066327D"/>
    <w:rsid w:val="00663C65"/>
    <w:rsid w:val="00664112"/>
    <w:rsid w:val="006663BD"/>
    <w:rsid w:val="0066700B"/>
    <w:rsid w:val="0067006F"/>
    <w:rsid w:val="00670210"/>
    <w:rsid w:val="006722E1"/>
    <w:rsid w:val="006724CC"/>
    <w:rsid w:val="00672804"/>
    <w:rsid w:val="00672957"/>
    <w:rsid w:val="006737EC"/>
    <w:rsid w:val="00673AC2"/>
    <w:rsid w:val="00674463"/>
    <w:rsid w:val="006754D2"/>
    <w:rsid w:val="006779ED"/>
    <w:rsid w:val="00682F7D"/>
    <w:rsid w:val="00683D7C"/>
    <w:rsid w:val="00684F29"/>
    <w:rsid w:val="006859F7"/>
    <w:rsid w:val="00686B0C"/>
    <w:rsid w:val="0069019B"/>
    <w:rsid w:val="00690B97"/>
    <w:rsid w:val="00692E6A"/>
    <w:rsid w:val="00692F59"/>
    <w:rsid w:val="0069307D"/>
    <w:rsid w:val="0069313B"/>
    <w:rsid w:val="006932A3"/>
    <w:rsid w:val="00693363"/>
    <w:rsid w:val="00693D92"/>
    <w:rsid w:val="00694BA2"/>
    <w:rsid w:val="006950EC"/>
    <w:rsid w:val="0069518F"/>
    <w:rsid w:val="006951BB"/>
    <w:rsid w:val="00696A94"/>
    <w:rsid w:val="00697A4F"/>
    <w:rsid w:val="006A0419"/>
    <w:rsid w:val="006A386A"/>
    <w:rsid w:val="006A3F1A"/>
    <w:rsid w:val="006A41AF"/>
    <w:rsid w:val="006A4BA5"/>
    <w:rsid w:val="006A5E3E"/>
    <w:rsid w:val="006A797E"/>
    <w:rsid w:val="006B0C72"/>
    <w:rsid w:val="006B16F5"/>
    <w:rsid w:val="006B34ED"/>
    <w:rsid w:val="006B4380"/>
    <w:rsid w:val="006B65CB"/>
    <w:rsid w:val="006B7BB6"/>
    <w:rsid w:val="006B7D84"/>
    <w:rsid w:val="006B7FC7"/>
    <w:rsid w:val="006C1128"/>
    <w:rsid w:val="006C1B88"/>
    <w:rsid w:val="006C23D9"/>
    <w:rsid w:val="006C38AD"/>
    <w:rsid w:val="006C507D"/>
    <w:rsid w:val="006C6B74"/>
    <w:rsid w:val="006D02D7"/>
    <w:rsid w:val="006D09EF"/>
    <w:rsid w:val="006D09FC"/>
    <w:rsid w:val="006D1A2D"/>
    <w:rsid w:val="006D1F6C"/>
    <w:rsid w:val="006D49CF"/>
    <w:rsid w:val="006D4B39"/>
    <w:rsid w:val="006D4D41"/>
    <w:rsid w:val="006D6958"/>
    <w:rsid w:val="006E00E9"/>
    <w:rsid w:val="006E045D"/>
    <w:rsid w:val="006E0E17"/>
    <w:rsid w:val="006E30D7"/>
    <w:rsid w:val="006E35F7"/>
    <w:rsid w:val="006E4159"/>
    <w:rsid w:val="006E5B4B"/>
    <w:rsid w:val="006E6527"/>
    <w:rsid w:val="006E6E1C"/>
    <w:rsid w:val="006E7A51"/>
    <w:rsid w:val="006F050F"/>
    <w:rsid w:val="006F190D"/>
    <w:rsid w:val="006F2940"/>
    <w:rsid w:val="006F2CC8"/>
    <w:rsid w:val="006F3537"/>
    <w:rsid w:val="006F3F1B"/>
    <w:rsid w:val="006F513F"/>
    <w:rsid w:val="006F6450"/>
    <w:rsid w:val="006F73DA"/>
    <w:rsid w:val="007005CD"/>
    <w:rsid w:val="0070164E"/>
    <w:rsid w:val="00701E32"/>
    <w:rsid w:val="007027C5"/>
    <w:rsid w:val="00703EBF"/>
    <w:rsid w:val="007055B2"/>
    <w:rsid w:val="00705E1E"/>
    <w:rsid w:val="007069EB"/>
    <w:rsid w:val="00711330"/>
    <w:rsid w:val="00712ED5"/>
    <w:rsid w:val="0071489A"/>
    <w:rsid w:val="00714FDB"/>
    <w:rsid w:val="00715C4C"/>
    <w:rsid w:val="007162A5"/>
    <w:rsid w:val="0071762D"/>
    <w:rsid w:val="00720B1A"/>
    <w:rsid w:val="00722A5C"/>
    <w:rsid w:val="007231E9"/>
    <w:rsid w:val="007239A0"/>
    <w:rsid w:val="00723CB1"/>
    <w:rsid w:val="00725BC0"/>
    <w:rsid w:val="00726797"/>
    <w:rsid w:val="00726CB4"/>
    <w:rsid w:val="007273C8"/>
    <w:rsid w:val="007279E4"/>
    <w:rsid w:val="0073189E"/>
    <w:rsid w:val="00731995"/>
    <w:rsid w:val="007320EE"/>
    <w:rsid w:val="00732125"/>
    <w:rsid w:val="00732E67"/>
    <w:rsid w:val="007330D6"/>
    <w:rsid w:val="007332B3"/>
    <w:rsid w:val="00733700"/>
    <w:rsid w:val="00734263"/>
    <w:rsid w:val="00735EE8"/>
    <w:rsid w:val="007360B9"/>
    <w:rsid w:val="00736E5C"/>
    <w:rsid w:val="00740005"/>
    <w:rsid w:val="0074020C"/>
    <w:rsid w:val="00740971"/>
    <w:rsid w:val="00740DF8"/>
    <w:rsid w:val="0074161F"/>
    <w:rsid w:val="00741CD8"/>
    <w:rsid w:val="00744782"/>
    <w:rsid w:val="00744A2C"/>
    <w:rsid w:val="00745ECB"/>
    <w:rsid w:val="007471C7"/>
    <w:rsid w:val="00747C4F"/>
    <w:rsid w:val="007508AB"/>
    <w:rsid w:val="007509F3"/>
    <w:rsid w:val="00750F7C"/>
    <w:rsid w:val="00751941"/>
    <w:rsid w:val="00751B9F"/>
    <w:rsid w:val="007528AD"/>
    <w:rsid w:val="00753381"/>
    <w:rsid w:val="0075427A"/>
    <w:rsid w:val="00756AB3"/>
    <w:rsid w:val="007610DA"/>
    <w:rsid w:val="0076304F"/>
    <w:rsid w:val="0076387F"/>
    <w:rsid w:val="007639D7"/>
    <w:rsid w:val="00763B47"/>
    <w:rsid w:val="00763B94"/>
    <w:rsid w:val="00764BCB"/>
    <w:rsid w:val="007669B9"/>
    <w:rsid w:val="00770B03"/>
    <w:rsid w:val="00772EBE"/>
    <w:rsid w:val="00773899"/>
    <w:rsid w:val="00776A60"/>
    <w:rsid w:val="00780473"/>
    <w:rsid w:val="007816CB"/>
    <w:rsid w:val="007822B2"/>
    <w:rsid w:val="00784200"/>
    <w:rsid w:val="00784B86"/>
    <w:rsid w:val="00785F09"/>
    <w:rsid w:val="00786AF7"/>
    <w:rsid w:val="007907E5"/>
    <w:rsid w:val="00791216"/>
    <w:rsid w:val="0079236F"/>
    <w:rsid w:val="00792CEB"/>
    <w:rsid w:val="00795D7B"/>
    <w:rsid w:val="007974AF"/>
    <w:rsid w:val="00797654"/>
    <w:rsid w:val="007A060D"/>
    <w:rsid w:val="007A08F2"/>
    <w:rsid w:val="007A0A87"/>
    <w:rsid w:val="007A0AE5"/>
    <w:rsid w:val="007A1491"/>
    <w:rsid w:val="007A24E7"/>
    <w:rsid w:val="007A3E56"/>
    <w:rsid w:val="007A5771"/>
    <w:rsid w:val="007A6219"/>
    <w:rsid w:val="007A69C1"/>
    <w:rsid w:val="007A69E2"/>
    <w:rsid w:val="007A7C13"/>
    <w:rsid w:val="007B0238"/>
    <w:rsid w:val="007B0B93"/>
    <w:rsid w:val="007B1879"/>
    <w:rsid w:val="007B24B0"/>
    <w:rsid w:val="007B2559"/>
    <w:rsid w:val="007B3B54"/>
    <w:rsid w:val="007B3BE2"/>
    <w:rsid w:val="007B5566"/>
    <w:rsid w:val="007B57C2"/>
    <w:rsid w:val="007B6A76"/>
    <w:rsid w:val="007B711A"/>
    <w:rsid w:val="007C0B37"/>
    <w:rsid w:val="007C3F49"/>
    <w:rsid w:val="007C434F"/>
    <w:rsid w:val="007C5B64"/>
    <w:rsid w:val="007C65D4"/>
    <w:rsid w:val="007C6F7F"/>
    <w:rsid w:val="007C7127"/>
    <w:rsid w:val="007C7F97"/>
    <w:rsid w:val="007D008F"/>
    <w:rsid w:val="007D0647"/>
    <w:rsid w:val="007D0E21"/>
    <w:rsid w:val="007D1EAC"/>
    <w:rsid w:val="007D1EFA"/>
    <w:rsid w:val="007D22B4"/>
    <w:rsid w:val="007D2632"/>
    <w:rsid w:val="007D3E06"/>
    <w:rsid w:val="007D532E"/>
    <w:rsid w:val="007D608A"/>
    <w:rsid w:val="007D69BE"/>
    <w:rsid w:val="007D6C85"/>
    <w:rsid w:val="007D7069"/>
    <w:rsid w:val="007E0C1C"/>
    <w:rsid w:val="007E0DE1"/>
    <w:rsid w:val="007E0E2F"/>
    <w:rsid w:val="007E17B5"/>
    <w:rsid w:val="007E242D"/>
    <w:rsid w:val="007E257F"/>
    <w:rsid w:val="007E28AF"/>
    <w:rsid w:val="007E6327"/>
    <w:rsid w:val="007E68E9"/>
    <w:rsid w:val="007E7452"/>
    <w:rsid w:val="007F0BC0"/>
    <w:rsid w:val="007F29B2"/>
    <w:rsid w:val="007F33DA"/>
    <w:rsid w:val="007F4404"/>
    <w:rsid w:val="007F445C"/>
    <w:rsid w:val="007F44BE"/>
    <w:rsid w:val="007F46BC"/>
    <w:rsid w:val="007F4C48"/>
    <w:rsid w:val="007F538F"/>
    <w:rsid w:val="007F5538"/>
    <w:rsid w:val="007F5D0D"/>
    <w:rsid w:val="007F5E4A"/>
    <w:rsid w:val="007F7DBE"/>
    <w:rsid w:val="00800ADC"/>
    <w:rsid w:val="00801C6F"/>
    <w:rsid w:val="00801D59"/>
    <w:rsid w:val="00802108"/>
    <w:rsid w:val="008021B1"/>
    <w:rsid w:val="00802A51"/>
    <w:rsid w:val="00802CA7"/>
    <w:rsid w:val="00804BE3"/>
    <w:rsid w:val="00805A09"/>
    <w:rsid w:val="00806377"/>
    <w:rsid w:val="00806D2A"/>
    <w:rsid w:val="00806EFF"/>
    <w:rsid w:val="00811601"/>
    <w:rsid w:val="00811EDA"/>
    <w:rsid w:val="00812636"/>
    <w:rsid w:val="00812FAF"/>
    <w:rsid w:val="00813C44"/>
    <w:rsid w:val="008144FA"/>
    <w:rsid w:val="008146F9"/>
    <w:rsid w:val="00815A14"/>
    <w:rsid w:val="0082056F"/>
    <w:rsid w:val="00821537"/>
    <w:rsid w:val="008225DD"/>
    <w:rsid w:val="00822D2A"/>
    <w:rsid w:val="008238C6"/>
    <w:rsid w:val="008258CA"/>
    <w:rsid w:val="00825C08"/>
    <w:rsid w:val="00826A1C"/>
    <w:rsid w:val="0083058C"/>
    <w:rsid w:val="0083136F"/>
    <w:rsid w:val="0083363C"/>
    <w:rsid w:val="00833E26"/>
    <w:rsid w:val="008344FF"/>
    <w:rsid w:val="008346BD"/>
    <w:rsid w:val="008348A3"/>
    <w:rsid w:val="00834ACA"/>
    <w:rsid w:val="00834B1C"/>
    <w:rsid w:val="008354D5"/>
    <w:rsid w:val="00835BFC"/>
    <w:rsid w:val="00835DE7"/>
    <w:rsid w:val="00836304"/>
    <w:rsid w:val="0083631A"/>
    <w:rsid w:val="00840E08"/>
    <w:rsid w:val="008415BA"/>
    <w:rsid w:val="00841AD7"/>
    <w:rsid w:val="00842392"/>
    <w:rsid w:val="00843377"/>
    <w:rsid w:val="008451D9"/>
    <w:rsid w:val="0084540A"/>
    <w:rsid w:val="00846097"/>
    <w:rsid w:val="008472B3"/>
    <w:rsid w:val="008474A2"/>
    <w:rsid w:val="00850F11"/>
    <w:rsid w:val="00852A83"/>
    <w:rsid w:val="00852CAE"/>
    <w:rsid w:val="00853473"/>
    <w:rsid w:val="008534FA"/>
    <w:rsid w:val="00853B8B"/>
    <w:rsid w:val="00853E1F"/>
    <w:rsid w:val="00853F81"/>
    <w:rsid w:val="00854D3E"/>
    <w:rsid w:val="00854F65"/>
    <w:rsid w:val="00857776"/>
    <w:rsid w:val="00857C69"/>
    <w:rsid w:val="00860B4A"/>
    <w:rsid w:val="00861D20"/>
    <w:rsid w:val="008622E4"/>
    <w:rsid w:val="008624B9"/>
    <w:rsid w:val="00865F30"/>
    <w:rsid w:val="00867A12"/>
    <w:rsid w:val="008704DC"/>
    <w:rsid w:val="0087088D"/>
    <w:rsid w:val="00870A8D"/>
    <w:rsid w:val="00871BB7"/>
    <w:rsid w:val="00872E19"/>
    <w:rsid w:val="00874AAE"/>
    <w:rsid w:val="00875708"/>
    <w:rsid w:val="00875BF1"/>
    <w:rsid w:val="00875E89"/>
    <w:rsid w:val="00877FD8"/>
    <w:rsid w:val="00881557"/>
    <w:rsid w:val="00881A97"/>
    <w:rsid w:val="00881F7F"/>
    <w:rsid w:val="008820F6"/>
    <w:rsid w:val="008829FE"/>
    <w:rsid w:val="00882A8A"/>
    <w:rsid w:val="00883D46"/>
    <w:rsid w:val="00884122"/>
    <w:rsid w:val="00884504"/>
    <w:rsid w:val="0088583D"/>
    <w:rsid w:val="00885F8A"/>
    <w:rsid w:val="00885FA6"/>
    <w:rsid w:val="008863BA"/>
    <w:rsid w:val="00890186"/>
    <w:rsid w:val="00890346"/>
    <w:rsid w:val="00891979"/>
    <w:rsid w:val="00893492"/>
    <w:rsid w:val="0089433D"/>
    <w:rsid w:val="008952ED"/>
    <w:rsid w:val="00896DE6"/>
    <w:rsid w:val="008A2027"/>
    <w:rsid w:val="008A2CD6"/>
    <w:rsid w:val="008A343E"/>
    <w:rsid w:val="008A36F4"/>
    <w:rsid w:val="008A403B"/>
    <w:rsid w:val="008A4165"/>
    <w:rsid w:val="008A417B"/>
    <w:rsid w:val="008A419F"/>
    <w:rsid w:val="008A5088"/>
    <w:rsid w:val="008A5590"/>
    <w:rsid w:val="008A58A6"/>
    <w:rsid w:val="008A61F2"/>
    <w:rsid w:val="008A6273"/>
    <w:rsid w:val="008A723F"/>
    <w:rsid w:val="008A7C6F"/>
    <w:rsid w:val="008B0D6E"/>
    <w:rsid w:val="008B0EEF"/>
    <w:rsid w:val="008B2077"/>
    <w:rsid w:val="008B20CD"/>
    <w:rsid w:val="008B2AB4"/>
    <w:rsid w:val="008B2BD8"/>
    <w:rsid w:val="008B4328"/>
    <w:rsid w:val="008B4B63"/>
    <w:rsid w:val="008B64B9"/>
    <w:rsid w:val="008B7065"/>
    <w:rsid w:val="008B72CA"/>
    <w:rsid w:val="008B7312"/>
    <w:rsid w:val="008B7F9F"/>
    <w:rsid w:val="008C1818"/>
    <w:rsid w:val="008C1A63"/>
    <w:rsid w:val="008C24E3"/>
    <w:rsid w:val="008C2AA4"/>
    <w:rsid w:val="008C2E20"/>
    <w:rsid w:val="008C2EE4"/>
    <w:rsid w:val="008C3057"/>
    <w:rsid w:val="008C38B7"/>
    <w:rsid w:val="008C3EF1"/>
    <w:rsid w:val="008C52E4"/>
    <w:rsid w:val="008C59C5"/>
    <w:rsid w:val="008C64B7"/>
    <w:rsid w:val="008C6B4F"/>
    <w:rsid w:val="008C6F1B"/>
    <w:rsid w:val="008C7191"/>
    <w:rsid w:val="008C7C36"/>
    <w:rsid w:val="008D3352"/>
    <w:rsid w:val="008D3859"/>
    <w:rsid w:val="008D3CDC"/>
    <w:rsid w:val="008D4AD3"/>
    <w:rsid w:val="008D4CD3"/>
    <w:rsid w:val="008D4E1C"/>
    <w:rsid w:val="008D4EFD"/>
    <w:rsid w:val="008D5426"/>
    <w:rsid w:val="008D5815"/>
    <w:rsid w:val="008D58F7"/>
    <w:rsid w:val="008E022C"/>
    <w:rsid w:val="008E111F"/>
    <w:rsid w:val="008E1721"/>
    <w:rsid w:val="008E2AB6"/>
    <w:rsid w:val="008E3635"/>
    <w:rsid w:val="008E3865"/>
    <w:rsid w:val="008E3CD2"/>
    <w:rsid w:val="008E3D9E"/>
    <w:rsid w:val="008E4E38"/>
    <w:rsid w:val="008E539A"/>
    <w:rsid w:val="008E544E"/>
    <w:rsid w:val="008E55FF"/>
    <w:rsid w:val="008F11A3"/>
    <w:rsid w:val="008F1CBE"/>
    <w:rsid w:val="008F28F1"/>
    <w:rsid w:val="008F3744"/>
    <w:rsid w:val="008F4488"/>
    <w:rsid w:val="008F5C51"/>
    <w:rsid w:val="008F7105"/>
    <w:rsid w:val="008F714B"/>
    <w:rsid w:val="008F7F78"/>
    <w:rsid w:val="0090183B"/>
    <w:rsid w:val="00902544"/>
    <w:rsid w:val="00905111"/>
    <w:rsid w:val="00905A43"/>
    <w:rsid w:val="00905C0A"/>
    <w:rsid w:val="00907060"/>
    <w:rsid w:val="00907274"/>
    <w:rsid w:val="00907971"/>
    <w:rsid w:val="00910C5A"/>
    <w:rsid w:val="009113F2"/>
    <w:rsid w:val="00911F35"/>
    <w:rsid w:val="00912816"/>
    <w:rsid w:val="009132E3"/>
    <w:rsid w:val="00914103"/>
    <w:rsid w:val="00914396"/>
    <w:rsid w:val="009148AC"/>
    <w:rsid w:val="00914C1D"/>
    <w:rsid w:val="00914E57"/>
    <w:rsid w:val="009153B1"/>
    <w:rsid w:val="00916BE9"/>
    <w:rsid w:val="00923A91"/>
    <w:rsid w:val="00923F4B"/>
    <w:rsid w:val="0092404B"/>
    <w:rsid w:val="009243EE"/>
    <w:rsid w:val="009261D9"/>
    <w:rsid w:val="00927553"/>
    <w:rsid w:val="00927A60"/>
    <w:rsid w:val="00927B85"/>
    <w:rsid w:val="00927E3F"/>
    <w:rsid w:val="0093297A"/>
    <w:rsid w:val="009333F1"/>
    <w:rsid w:val="00934AB4"/>
    <w:rsid w:val="00934CC8"/>
    <w:rsid w:val="00936A23"/>
    <w:rsid w:val="009371FC"/>
    <w:rsid w:val="0093720E"/>
    <w:rsid w:val="00937832"/>
    <w:rsid w:val="00940D05"/>
    <w:rsid w:val="0094128A"/>
    <w:rsid w:val="00941339"/>
    <w:rsid w:val="00941F1D"/>
    <w:rsid w:val="009420B0"/>
    <w:rsid w:val="00943829"/>
    <w:rsid w:val="009441ED"/>
    <w:rsid w:val="00944508"/>
    <w:rsid w:val="009445FD"/>
    <w:rsid w:val="00945910"/>
    <w:rsid w:val="0094622B"/>
    <w:rsid w:val="00946E17"/>
    <w:rsid w:val="00947C25"/>
    <w:rsid w:val="00951D52"/>
    <w:rsid w:val="009525B0"/>
    <w:rsid w:val="00955AD3"/>
    <w:rsid w:val="0095735F"/>
    <w:rsid w:val="00960FE0"/>
    <w:rsid w:val="00961E17"/>
    <w:rsid w:val="009638B9"/>
    <w:rsid w:val="00964194"/>
    <w:rsid w:val="00964D25"/>
    <w:rsid w:val="00966A2E"/>
    <w:rsid w:val="00966E35"/>
    <w:rsid w:val="00970BBB"/>
    <w:rsid w:val="00970BE9"/>
    <w:rsid w:val="00971D99"/>
    <w:rsid w:val="00972559"/>
    <w:rsid w:val="00973AF4"/>
    <w:rsid w:val="00973F46"/>
    <w:rsid w:val="009743B3"/>
    <w:rsid w:val="009746E1"/>
    <w:rsid w:val="00975342"/>
    <w:rsid w:val="00975FAE"/>
    <w:rsid w:val="0097748C"/>
    <w:rsid w:val="00980328"/>
    <w:rsid w:val="00980FE0"/>
    <w:rsid w:val="009828B2"/>
    <w:rsid w:val="0098465E"/>
    <w:rsid w:val="00985511"/>
    <w:rsid w:val="00986804"/>
    <w:rsid w:val="0098780C"/>
    <w:rsid w:val="00987C88"/>
    <w:rsid w:val="00990F9E"/>
    <w:rsid w:val="00991EF6"/>
    <w:rsid w:val="00992BD3"/>
    <w:rsid w:val="00993BAE"/>
    <w:rsid w:val="0099546D"/>
    <w:rsid w:val="009960F9"/>
    <w:rsid w:val="00996588"/>
    <w:rsid w:val="0099770C"/>
    <w:rsid w:val="00997881"/>
    <w:rsid w:val="00997A56"/>
    <w:rsid w:val="009A0227"/>
    <w:rsid w:val="009A2CE1"/>
    <w:rsid w:val="009A3853"/>
    <w:rsid w:val="009A40A2"/>
    <w:rsid w:val="009A58E6"/>
    <w:rsid w:val="009A690F"/>
    <w:rsid w:val="009A6ABF"/>
    <w:rsid w:val="009A6D18"/>
    <w:rsid w:val="009A6EB9"/>
    <w:rsid w:val="009A6F40"/>
    <w:rsid w:val="009B016D"/>
    <w:rsid w:val="009B029F"/>
    <w:rsid w:val="009B0520"/>
    <w:rsid w:val="009B19FF"/>
    <w:rsid w:val="009B26B6"/>
    <w:rsid w:val="009B300D"/>
    <w:rsid w:val="009B3D15"/>
    <w:rsid w:val="009B4220"/>
    <w:rsid w:val="009B4630"/>
    <w:rsid w:val="009B4757"/>
    <w:rsid w:val="009B4DEE"/>
    <w:rsid w:val="009B4F13"/>
    <w:rsid w:val="009B50C1"/>
    <w:rsid w:val="009B785D"/>
    <w:rsid w:val="009B7878"/>
    <w:rsid w:val="009C12FB"/>
    <w:rsid w:val="009C2A3C"/>
    <w:rsid w:val="009C3D48"/>
    <w:rsid w:val="009C4CAC"/>
    <w:rsid w:val="009C5B73"/>
    <w:rsid w:val="009C5B87"/>
    <w:rsid w:val="009C5CA8"/>
    <w:rsid w:val="009C5E32"/>
    <w:rsid w:val="009C7A8C"/>
    <w:rsid w:val="009C7AC6"/>
    <w:rsid w:val="009D07EF"/>
    <w:rsid w:val="009D175C"/>
    <w:rsid w:val="009D1F45"/>
    <w:rsid w:val="009D23E9"/>
    <w:rsid w:val="009D2BC0"/>
    <w:rsid w:val="009D2F28"/>
    <w:rsid w:val="009D327F"/>
    <w:rsid w:val="009D3731"/>
    <w:rsid w:val="009D4512"/>
    <w:rsid w:val="009D4E07"/>
    <w:rsid w:val="009D56D7"/>
    <w:rsid w:val="009D6A7F"/>
    <w:rsid w:val="009D71A6"/>
    <w:rsid w:val="009D7972"/>
    <w:rsid w:val="009D7F5D"/>
    <w:rsid w:val="009E18EF"/>
    <w:rsid w:val="009E3414"/>
    <w:rsid w:val="009E3F16"/>
    <w:rsid w:val="009E41D3"/>
    <w:rsid w:val="009E5E25"/>
    <w:rsid w:val="009E77F2"/>
    <w:rsid w:val="009F036D"/>
    <w:rsid w:val="009F0AFA"/>
    <w:rsid w:val="009F11F3"/>
    <w:rsid w:val="009F13FE"/>
    <w:rsid w:val="009F2923"/>
    <w:rsid w:val="009F2FF9"/>
    <w:rsid w:val="009F3569"/>
    <w:rsid w:val="009F35D0"/>
    <w:rsid w:val="009F38A7"/>
    <w:rsid w:val="009F3DF5"/>
    <w:rsid w:val="009F551E"/>
    <w:rsid w:val="009F7BA4"/>
    <w:rsid w:val="00A002BF"/>
    <w:rsid w:val="00A0156A"/>
    <w:rsid w:val="00A02213"/>
    <w:rsid w:val="00A02972"/>
    <w:rsid w:val="00A0493F"/>
    <w:rsid w:val="00A05C28"/>
    <w:rsid w:val="00A06C96"/>
    <w:rsid w:val="00A072AE"/>
    <w:rsid w:val="00A0758F"/>
    <w:rsid w:val="00A079BE"/>
    <w:rsid w:val="00A10889"/>
    <w:rsid w:val="00A109D4"/>
    <w:rsid w:val="00A12126"/>
    <w:rsid w:val="00A12A25"/>
    <w:rsid w:val="00A12D57"/>
    <w:rsid w:val="00A12D70"/>
    <w:rsid w:val="00A1430A"/>
    <w:rsid w:val="00A14A82"/>
    <w:rsid w:val="00A1518E"/>
    <w:rsid w:val="00A16F7E"/>
    <w:rsid w:val="00A1791A"/>
    <w:rsid w:val="00A17C7A"/>
    <w:rsid w:val="00A21469"/>
    <w:rsid w:val="00A21B50"/>
    <w:rsid w:val="00A21B52"/>
    <w:rsid w:val="00A2215A"/>
    <w:rsid w:val="00A2275D"/>
    <w:rsid w:val="00A22F48"/>
    <w:rsid w:val="00A256C3"/>
    <w:rsid w:val="00A25AFB"/>
    <w:rsid w:val="00A26CD2"/>
    <w:rsid w:val="00A300E2"/>
    <w:rsid w:val="00A31855"/>
    <w:rsid w:val="00A31C8A"/>
    <w:rsid w:val="00A36B6F"/>
    <w:rsid w:val="00A36C35"/>
    <w:rsid w:val="00A37A93"/>
    <w:rsid w:val="00A438B7"/>
    <w:rsid w:val="00A44995"/>
    <w:rsid w:val="00A44D65"/>
    <w:rsid w:val="00A44FF0"/>
    <w:rsid w:val="00A45F83"/>
    <w:rsid w:val="00A463BE"/>
    <w:rsid w:val="00A501AC"/>
    <w:rsid w:val="00A51C30"/>
    <w:rsid w:val="00A5226D"/>
    <w:rsid w:val="00A5361C"/>
    <w:rsid w:val="00A53730"/>
    <w:rsid w:val="00A54132"/>
    <w:rsid w:val="00A54248"/>
    <w:rsid w:val="00A56B13"/>
    <w:rsid w:val="00A5704A"/>
    <w:rsid w:val="00A570EF"/>
    <w:rsid w:val="00A57687"/>
    <w:rsid w:val="00A57A4C"/>
    <w:rsid w:val="00A57D2F"/>
    <w:rsid w:val="00A61231"/>
    <w:rsid w:val="00A61E41"/>
    <w:rsid w:val="00A628E1"/>
    <w:rsid w:val="00A6297F"/>
    <w:rsid w:val="00A62D18"/>
    <w:rsid w:val="00A64FEC"/>
    <w:rsid w:val="00A65515"/>
    <w:rsid w:val="00A65569"/>
    <w:rsid w:val="00A6771F"/>
    <w:rsid w:val="00A677D8"/>
    <w:rsid w:val="00A70609"/>
    <w:rsid w:val="00A70F86"/>
    <w:rsid w:val="00A71876"/>
    <w:rsid w:val="00A7345B"/>
    <w:rsid w:val="00A74A64"/>
    <w:rsid w:val="00A76D9B"/>
    <w:rsid w:val="00A80AB5"/>
    <w:rsid w:val="00A80D0D"/>
    <w:rsid w:val="00A80E13"/>
    <w:rsid w:val="00A81F4C"/>
    <w:rsid w:val="00A82FAD"/>
    <w:rsid w:val="00A82FD9"/>
    <w:rsid w:val="00A832A0"/>
    <w:rsid w:val="00A8352D"/>
    <w:rsid w:val="00A83CCD"/>
    <w:rsid w:val="00A84EF0"/>
    <w:rsid w:val="00A8565B"/>
    <w:rsid w:val="00A85D81"/>
    <w:rsid w:val="00A87317"/>
    <w:rsid w:val="00A873DD"/>
    <w:rsid w:val="00A90A7E"/>
    <w:rsid w:val="00A91411"/>
    <w:rsid w:val="00A91872"/>
    <w:rsid w:val="00A921B8"/>
    <w:rsid w:val="00A94647"/>
    <w:rsid w:val="00A95D43"/>
    <w:rsid w:val="00A95F6F"/>
    <w:rsid w:val="00A960F1"/>
    <w:rsid w:val="00AA010D"/>
    <w:rsid w:val="00AA0612"/>
    <w:rsid w:val="00AA0C12"/>
    <w:rsid w:val="00AA2D57"/>
    <w:rsid w:val="00AA3485"/>
    <w:rsid w:val="00AA3F14"/>
    <w:rsid w:val="00AA3F39"/>
    <w:rsid w:val="00AA4755"/>
    <w:rsid w:val="00AA6325"/>
    <w:rsid w:val="00AA7059"/>
    <w:rsid w:val="00AB0EDB"/>
    <w:rsid w:val="00AB29C7"/>
    <w:rsid w:val="00AB2BF1"/>
    <w:rsid w:val="00AB3B14"/>
    <w:rsid w:val="00AB48CD"/>
    <w:rsid w:val="00AB51AF"/>
    <w:rsid w:val="00AB538B"/>
    <w:rsid w:val="00AB54C8"/>
    <w:rsid w:val="00AB5625"/>
    <w:rsid w:val="00AB6931"/>
    <w:rsid w:val="00AB6D11"/>
    <w:rsid w:val="00AB75B8"/>
    <w:rsid w:val="00AC1142"/>
    <w:rsid w:val="00AC2F06"/>
    <w:rsid w:val="00AC2FD9"/>
    <w:rsid w:val="00AC3266"/>
    <w:rsid w:val="00AC72F0"/>
    <w:rsid w:val="00AC78C9"/>
    <w:rsid w:val="00AD0060"/>
    <w:rsid w:val="00AD0E7C"/>
    <w:rsid w:val="00AD29E4"/>
    <w:rsid w:val="00AD3080"/>
    <w:rsid w:val="00AD32D0"/>
    <w:rsid w:val="00AD3A50"/>
    <w:rsid w:val="00AD4887"/>
    <w:rsid w:val="00AD51CE"/>
    <w:rsid w:val="00AD6472"/>
    <w:rsid w:val="00AD6D28"/>
    <w:rsid w:val="00AD735D"/>
    <w:rsid w:val="00AD73C8"/>
    <w:rsid w:val="00AD7650"/>
    <w:rsid w:val="00AD7B7F"/>
    <w:rsid w:val="00AE061A"/>
    <w:rsid w:val="00AE0C9A"/>
    <w:rsid w:val="00AE3C95"/>
    <w:rsid w:val="00AE43CD"/>
    <w:rsid w:val="00AE4FFB"/>
    <w:rsid w:val="00AE51CF"/>
    <w:rsid w:val="00AE5451"/>
    <w:rsid w:val="00AE54FE"/>
    <w:rsid w:val="00AE565F"/>
    <w:rsid w:val="00AE662D"/>
    <w:rsid w:val="00AE7955"/>
    <w:rsid w:val="00AE7959"/>
    <w:rsid w:val="00AF1C0E"/>
    <w:rsid w:val="00AF327F"/>
    <w:rsid w:val="00AF3626"/>
    <w:rsid w:val="00AF513D"/>
    <w:rsid w:val="00AF5F28"/>
    <w:rsid w:val="00AF6EBA"/>
    <w:rsid w:val="00AF6FAC"/>
    <w:rsid w:val="00AF76B9"/>
    <w:rsid w:val="00AF7CC7"/>
    <w:rsid w:val="00B005E5"/>
    <w:rsid w:val="00B01724"/>
    <w:rsid w:val="00B028E5"/>
    <w:rsid w:val="00B04623"/>
    <w:rsid w:val="00B05F83"/>
    <w:rsid w:val="00B068AF"/>
    <w:rsid w:val="00B06F35"/>
    <w:rsid w:val="00B07BC7"/>
    <w:rsid w:val="00B107DE"/>
    <w:rsid w:val="00B11307"/>
    <w:rsid w:val="00B11556"/>
    <w:rsid w:val="00B1330D"/>
    <w:rsid w:val="00B1368B"/>
    <w:rsid w:val="00B13B6B"/>
    <w:rsid w:val="00B14E27"/>
    <w:rsid w:val="00B154EA"/>
    <w:rsid w:val="00B15CA5"/>
    <w:rsid w:val="00B20F65"/>
    <w:rsid w:val="00B2108B"/>
    <w:rsid w:val="00B218A2"/>
    <w:rsid w:val="00B221AD"/>
    <w:rsid w:val="00B27371"/>
    <w:rsid w:val="00B30061"/>
    <w:rsid w:val="00B30162"/>
    <w:rsid w:val="00B31461"/>
    <w:rsid w:val="00B31649"/>
    <w:rsid w:val="00B316CC"/>
    <w:rsid w:val="00B321D3"/>
    <w:rsid w:val="00B356EF"/>
    <w:rsid w:val="00B35F5B"/>
    <w:rsid w:val="00B36D4B"/>
    <w:rsid w:val="00B37596"/>
    <w:rsid w:val="00B37B7F"/>
    <w:rsid w:val="00B41E22"/>
    <w:rsid w:val="00B41E4B"/>
    <w:rsid w:val="00B42ECE"/>
    <w:rsid w:val="00B434E7"/>
    <w:rsid w:val="00B43C37"/>
    <w:rsid w:val="00B43E2A"/>
    <w:rsid w:val="00B44D4B"/>
    <w:rsid w:val="00B4550A"/>
    <w:rsid w:val="00B456A0"/>
    <w:rsid w:val="00B47F79"/>
    <w:rsid w:val="00B506F8"/>
    <w:rsid w:val="00B50C38"/>
    <w:rsid w:val="00B51BDB"/>
    <w:rsid w:val="00B53589"/>
    <w:rsid w:val="00B55023"/>
    <w:rsid w:val="00B55488"/>
    <w:rsid w:val="00B556AC"/>
    <w:rsid w:val="00B56443"/>
    <w:rsid w:val="00B60184"/>
    <w:rsid w:val="00B615F9"/>
    <w:rsid w:val="00B619D2"/>
    <w:rsid w:val="00B63063"/>
    <w:rsid w:val="00B63232"/>
    <w:rsid w:val="00B632B4"/>
    <w:rsid w:val="00B634C6"/>
    <w:rsid w:val="00B636DC"/>
    <w:rsid w:val="00B64B1F"/>
    <w:rsid w:val="00B64C58"/>
    <w:rsid w:val="00B651FB"/>
    <w:rsid w:val="00B6678E"/>
    <w:rsid w:val="00B668E7"/>
    <w:rsid w:val="00B672B1"/>
    <w:rsid w:val="00B67945"/>
    <w:rsid w:val="00B70021"/>
    <w:rsid w:val="00B70A6F"/>
    <w:rsid w:val="00B715C7"/>
    <w:rsid w:val="00B71F98"/>
    <w:rsid w:val="00B72075"/>
    <w:rsid w:val="00B72F22"/>
    <w:rsid w:val="00B73302"/>
    <w:rsid w:val="00B7383A"/>
    <w:rsid w:val="00B73CD8"/>
    <w:rsid w:val="00B74774"/>
    <w:rsid w:val="00B749C9"/>
    <w:rsid w:val="00B751A7"/>
    <w:rsid w:val="00B75AB6"/>
    <w:rsid w:val="00B800AC"/>
    <w:rsid w:val="00B802FD"/>
    <w:rsid w:val="00B8083A"/>
    <w:rsid w:val="00B813C9"/>
    <w:rsid w:val="00B8162A"/>
    <w:rsid w:val="00B81F04"/>
    <w:rsid w:val="00B81FCB"/>
    <w:rsid w:val="00B83783"/>
    <w:rsid w:val="00B840BB"/>
    <w:rsid w:val="00B867DD"/>
    <w:rsid w:val="00B90EA0"/>
    <w:rsid w:val="00B914D3"/>
    <w:rsid w:val="00B92B30"/>
    <w:rsid w:val="00B92E05"/>
    <w:rsid w:val="00B9344B"/>
    <w:rsid w:val="00B9375A"/>
    <w:rsid w:val="00B9403D"/>
    <w:rsid w:val="00B94123"/>
    <w:rsid w:val="00B9484E"/>
    <w:rsid w:val="00B94E5D"/>
    <w:rsid w:val="00B95DC6"/>
    <w:rsid w:val="00B96593"/>
    <w:rsid w:val="00B96747"/>
    <w:rsid w:val="00B97112"/>
    <w:rsid w:val="00BA0697"/>
    <w:rsid w:val="00BA0CE8"/>
    <w:rsid w:val="00BA19BE"/>
    <w:rsid w:val="00BA1A84"/>
    <w:rsid w:val="00BA4B0C"/>
    <w:rsid w:val="00BA4FE5"/>
    <w:rsid w:val="00BA5D66"/>
    <w:rsid w:val="00BB0D65"/>
    <w:rsid w:val="00BB1D59"/>
    <w:rsid w:val="00BB20CB"/>
    <w:rsid w:val="00BB3B9E"/>
    <w:rsid w:val="00BB4E99"/>
    <w:rsid w:val="00BB5EA5"/>
    <w:rsid w:val="00BB5FBA"/>
    <w:rsid w:val="00BB6CA2"/>
    <w:rsid w:val="00BB7477"/>
    <w:rsid w:val="00BC0B49"/>
    <w:rsid w:val="00BC5FD4"/>
    <w:rsid w:val="00BC6264"/>
    <w:rsid w:val="00BC63F3"/>
    <w:rsid w:val="00BC6D79"/>
    <w:rsid w:val="00BC73B3"/>
    <w:rsid w:val="00BD1864"/>
    <w:rsid w:val="00BD256F"/>
    <w:rsid w:val="00BD2E15"/>
    <w:rsid w:val="00BD4197"/>
    <w:rsid w:val="00BD53EE"/>
    <w:rsid w:val="00BD577A"/>
    <w:rsid w:val="00BD751C"/>
    <w:rsid w:val="00BE21AC"/>
    <w:rsid w:val="00BE24C3"/>
    <w:rsid w:val="00BE3927"/>
    <w:rsid w:val="00BE3964"/>
    <w:rsid w:val="00BE46AC"/>
    <w:rsid w:val="00BE54CE"/>
    <w:rsid w:val="00BE5857"/>
    <w:rsid w:val="00BE61F8"/>
    <w:rsid w:val="00BE639D"/>
    <w:rsid w:val="00BF0231"/>
    <w:rsid w:val="00BF0CCF"/>
    <w:rsid w:val="00BF1FCE"/>
    <w:rsid w:val="00BF3D7D"/>
    <w:rsid w:val="00BF40B8"/>
    <w:rsid w:val="00BF439D"/>
    <w:rsid w:val="00BF44C4"/>
    <w:rsid w:val="00BF5081"/>
    <w:rsid w:val="00BF5C66"/>
    <w:rsid w:val="00BF5C90"/>
    <w:rsid w:val="00BF6BE2"/>
    <w:rsid w:val="00C00755"/>
    <w:rsid w:val="00C009B7"/>
    <w:rsid w:val="00C01855"/>
    <w:rsid w:val="00C01C01"/>
    <w:rsid w:val="00C020AF"/>
    <w:rsid w:val="00C02DEC"/>
    <w:rsid w:val="00C02F16"/>
    <w:rsid w:val="00C04619"/>
    <w:rsid w:val="00C058F0"/>
    <w:rsid w:val="00C05A4F"/>
    <w:rsid w:val="00C05E5B"/>
    <w:rsid w:val="00C061E3"/>
    <w:rsid w:val="00C07AAF"/>
    <w:rsid w:val="00C10754"/>
    <w:rsid w:val="00C119C2"/>
    <w:rsid w:val="00C122C6"/>
    <w:rsid w:val="00C122D5"/>
    <w:rsid w:val="00C12357"/>
    <w:rsid w:val="00C12B1C"/>
    <w:rsid w:val="00C13437"/>
    <w:rsid w:val="00C13B5D"/>
    <w:rsid w:val="00C13BA3"/>
    <w:rsid w:val="00C14967"/>
    <w:rsid w:val="00C15278"/>
    <w:rsid w:val="00C1557B"/>
    <w:rsid w:val="00C1627A"/>
    <w:rsid w:val="00C1671F"/>
    <w:rsid w:val="00C214AE"/>
    <w:rsid w:val="00C22032"/>
    <w:rsid w:val="00C22F4C"/>
    <w:rsid w:val="00C23768"/>
    <w:rsid w:val="00C23789"/>
    <w:rsid w:val="00C23DBC"/>
    <w:rsid w:val="00C26866"/>
    <w:rsid w:val="00C26E47"/>
    <w:rsid w:val="00C2750C"/>
    <w:rsid w:val="00C2792E"/>
    <w:rsid w:val="00C30253"/>
    <w:rsid w:val="00C30360"/>
    <w:rsid w:val="00C304C9"/>
    <w:rsid w:val="00C3083F"/>
    <w:rsid w:val="00C33404"/>
    <w:rsid w:val="00C33777"/>
    <w:rsid w:val="00C33D51"/>
    <w:rsid w:val="00C34A8C"/>
    <w:rsid w:val="00C35C03"/>
    <w:rsid w:val="00C3607A"/>
    <w:rsid w:val="00C36707"/>
    <w:rsid w:val="00C36799"/>
    <w:rsid w:val="00C40E57"/>
    <w:rsid w:val="00C41927"/>
    <w:rsid w:val="00C42CE4"/>
    <w:rsid w:val="00C4336A"/>
    <w:rsid w:val="00C439F9"/>
    <w:rsid w:val="00C43A2A"/>
    <w:rsid w:val="00C43BDE"/>
    <w:rsid w:val="00C446BD"/>
    <w:rsid w:val="00C4479F"/>
    <w:rsid w:val="00C44F52"/>
    <w:rsid w:val="00C455E4"/>
    <w:rsid w:val="00C45D03"/>
    <w:rsid w:val="00C502B8"/>
    <w:rsid w:val="00C524D5"/>
    <w:rsid w:val="00C537F2"/>
    <w:rsid w:val="00C53EDB"/>
    <w:rsid w:val="00C551C0"/>
    <w:rsid w:val="00C55C7C"/>
    <w:rsid w:val="00C579BE"/>
    <w:rsid w:val="00C61267"/>
    <w:rsid w:val="00C61F9A"/>
    <w:rsid w:val="00C621F3"/>
    <w:rsid w:val="00C62334"/>
    <w:rsid w:val="00C6311E"/>
    <w:rsid w:val="00C652AA"/>
    <w:rsid w:val="00C65A50"/>
    <w:rsid w:val="00C65DE5"/>
    <w:rsid w:val="00C676E5"/>
    <w:rsid w:val="00C7079D"/>
    <w:rsid w:val="00C70EEF"/>
    <w:rsid w:val="00C71638"/>
    <w:rsid w:val="00C71A96"/>
    <w:rsid w:val="00C71E19"/>
    <w:rsid w:val="00C72AC5"/>
    <w:rsid w:val="00C72FD3"/>
    <w:rsid w:val="00C7374A"/>
    <w:rsid w:val="00C81D29"/>
    <w:rsid w:val="00C826BB"/>
    <w:rsid w:val="00C846E0"/>
    <w:rsid w:val="00C84B3C"/>
    <w:rsid w:val="00C86344"/>
    <w:rsid w:val="00C86566"/>
    <w:rsid w:val="00C8722D"/>
    <w:rsid w:val="00C87C4F"/>
    <w:rsid w:val="00C87E09"/>
    <w:rsid w:val="00C90DDF"/>
    <w:rsid w:val="00C917EB"/>
    <w:rsid w:val="00C926AD"/>
    <w:rsid w:val="00C92CFB"/>
    <w:rsid w:val="00C92E83"/>
    <w:rsid w:val="00C93193"/>
    <w:rsid w:val="00C93D93"/>
    <w:rsid w:val="00C93FAB"/>
    <w:rsid w:val="00C97FF4"/>
    <w:rsid w:val="00CA039F"/>
    <w:rsid w:val="00CA0643"/>
    <w:rsid w:val="00CA0968"/>
    <w:rsid w:val="00CA0ADF"/>
    <w:rsid w:val="00CA3A14"/>
    <w:rsid w:val="00CA49F3"/>
    <w:rsid w:val="00CA5938"/>
    <w:rsid w:val="00CA5EBF"/>
    <w:rsid w:val="00CA6C07"/>
    <w:rsid w:val="00CB027B"/>
    <w:rsid w:val="00CB04F8"/>
    <w:rsid w:val="00CB20F7"/>
    <w:rsid w:val="00CB3358"/>
    <w:rsid w:val="00CB43FE"/>
    <w:rsid w:val="00CB642F"/>
    <w:rsid w:val="00CB7F0D"/>
    <w:rsid w:val="00CC04C0"/>
    <w:rsid w:val="00CC13E6"/>
    <w:rsid w:val="00CC1DF7"/>
    <w:rsid w:val="00CC28C6"/>
    <w:rsid w:val="00CC4808"/>
    <w:rsid w:val="00CC4C0C"/>
    <w:rsid w:val="00CC6C80"/>
    <w:rsid w:val="00CD005F"/>
    <w:rsid w:val="00CD197E"/>
    <w:rsid w:val="00CD1B6F"/>
    <w:rsid w:val="00CD30AA"/>
    <w:rsid w:val="00CD3D90"/>
    <w:rsid w:val="00CD3F5B"/>
    <w:rsid w:val="00CD4A55"/>
    <w:rsid w:val="00CD53EB"/>
    <w:rsid w:val="00CD56F8"/>
    <w:rsid w:val="00CD5923"/>
    <w:rsid w:val="00CD67E1"/>
    <w:rsid w:val="00CD7E00"/>
    <w:rsid w:val="00CE0D2C"/>
    <w:rsid w:val="00CE0EFD"/>
    <w:rsid w:val="00CE1B8A"/>
    <w:rsid w:val="00CE23AC"/>
    <w:rsid w:val="00CE4936"/>
    <w:rsid w:val="00CE5A65"/>
    <w:rsid w:val="00CE5BE1"/>
    <w:rsid w:val="00CE5E8C"/>
    <w:rsid w:val="00CE658C"/>
    <w:rsid w:val="00CE77AE"/>
    <w:rsid w:val="00CF0640"/>
    <w:rsid w:val="00CF0867"/>
    <w:rsid w:val="00CF1471"/>
    <w:rsid w:val="00CF17E9"/>
    <w:rsid w:val="00CF2156"/>
    <w:rsid w:val="00CF2D63"/>
    <w:rsid w:val="00CF32F4"/>
    <w:rsid w:val="00CF34A0"/>
    <w:rsid w:val="00CF3600"/>
    <w:rsid w:val="00CF401E"/>
    <w:rsid w:val="00CF5206"/>
    <w:rsid w:val="00CF65B7"/>
    <w:rsid w:val="00CF70FA"/>
    <w:rsid w:val="00CF736C"/>
    <w:rsid w:val="00D003B0"/>
    <w:rsid w:val="00D0107D"/>
    <w:rsid w:val="00D0337D"/>
    <w:rsid w:val="00D03610"/>
    <w:rsid w:val="00D03CCE"/>
    <w:rsid w:val="00D04311"/>
    <w:rsid w:val="00D06F27"/>
    <w:rsid w:val="00D07271"/>
    <w:rsid w:val="00D07386"/>
    <w:rsid w:val="00D073D2"/>
    <w:rsid w:val="00D0747C"/>
    <w:rsid w:val="00D104D6"/>
    <w:rsid w:val="00D11B22"/>
    <w:rsid w:val="00D121F0"/>
    <w:rsid w:val="00D12DD0"/>
    <w:rsid w:val="00D13970"/>
    <w:rsid w:val="00D14EC0"/>
    <w:rsid w:val="00D15807"/>
    <w:rsid w:val="00D17563"/>
    <w:rsid w:val="00D2234D"/>
    <w:rsid w:val="00D22E66"/>
    <w:rsid w:val="00D24520"/>
    <w:rsid w:val="00D245C4"/>
    <w:rsid w:val="00D246E9"/>
    <w:rsid w:val="00D24C91"/>
    <w:rsid w:val="00D262EA"/>
    <w:rsid w:val="00D31595"/>
    <w:rsid w:val="00D31DFE"/>
    <w:rsid w:val="00D3280F"/>
    <w:rsid w:val="00D34A5C"/>
    <w:rsid w:val="00D3592C"/>
    <w:rsid w:val="00D360B4"/>
    <w:rsid w:val="00D36841"/>
    <w:rsid w:val="00D36D7C"/>
    <w:rsid w:val="00D378A3"/>
    <w:rsid w:val="00D37F93"/>
    <w:rsid w:val="00D404A8"/>
    <w:rsid w:val="00D40AAD"/>
    <w:rsid w:val="00D40DEC"/>
    <w:rsid w:val="00D4216F"/>
    <w:rsid w:val="00D4357C"/>
    <w:rsid w:val="00D4403D"/>
    <w:rsid w:val="00D4482D"/>
    <w:rsid w:val="00D44EBA"/>
    <w:rsid w:val="00D4526A"/>
    <w:rsid w:val="00D454E8"/>
    <w:rsid w:val="00D45D92"/>
    <w:rsid w:val="00D46627"/>
    <w:rsid w:val="00D47ACC"/>
    <w:rsid w:val="00D50E1E"/>
    <w:rsid w:val="00D50ECB"/>
    <w:rsid w:val="00D51066"/>
    <w:rsid w:val="00D51FE7"/>
    <w:rsid w:val="00D52CF7"/>
    <w:rsid w:val="00D52F32"/>
    <w:rsid w:val="00D52FBB"/>
    <w:rsid w:val="00D53831"/>
    <w:rsid w:val="00D53954"/>
    <w:rsid w:val="00D54097"/>
    <w:rsid w:val="00D55453"/>
    <w:rsid w:val="00D55E90"/>
    <w:rsid w:val="00D55F5E"/>
    <w:rsid w:val="00D55FAC"/>
    <w:rsid w:val="00D56B3E"/>
    <w:rsid w:val="00D57226"/>
    <w:rsid w:val="00D60807"/>
    <w:rsid w:val="00D60ED7"/>
    <w:rsid w:val="00D61332"/>
    <w:rsid w:val="00D62292"/>
    <w:rsid w:val="00D62F65"/>
    <w:rsid w:val="00D631B4"/>
    <w:rsid w:val="00D64D1F"/>
    <w:rsid w:val="00D66519"/>
    <w:rsid w:val="00D6675D"/>
    <w:rsid w:val="00D714CD"/>
    <w:rsid w:val="00D7160E"/>
    <w:rsid w:val="00D7228E"/>
    <w:rsid w:val="00D726D6"/>
    <w:rsid w:val="00D72CE4"/>
    <w:rsid w:val="00D73280"/>
    <w:rsid w:val="00D7334C"/>
    <w:rsid w:val="00D7343A"/>
    <w:rsid w:val="00D735FF"/>
    <w:rsid w:val="00D73A3C"/>
    <w:rsid w:val="00D74FF1"/>
    <w:rsid w:val="00D757C9"/>
    <w:rsid w:val="00D75AEF"/>
    <w:rsid w:val="00D76851"/>
    <w:rsid w:val="00D77E88"/>
    <w:rsid w:val="00D80545"/>
    <w:rsid w:val="00D80C44"/>
    <w:rsid w:val="00D814D4"/>
    <w:rsid w:val="00D81BC6"/>
    <w:rsid w:val="00D82594"/>
    <w:rsid w:val="00D82E72"/>
    <w:rsid w:val="00D840BA"/>
    <w:rsid w:val="00D84D76"/>
    <w:rsid w:val="00D8676B"/>
    <w:rsid w:val="00D900C4"/>
    <w:rsid w:val="00D9021D"/>
    <w:rsid w:val="00D903A6"/>
    <w:rsid w:val="00D9098B"/>
    <w:rsid w:val="00D91BC7"/>
    <w:rsid w:val="00D9288B"/>
    <w:rsid w:val="00D938F7"/>
    <w:rsid w:val="00D9394A"/>
    <w:rsid w:val="00D93A62"/>
    <w:rsid w:val="00D942ED"/>
    <w:rsid w:val="00D953AA"/>
    <w:rsid w:val="00D961B4"/>
    <w:rsid w:val="00DA0765"/>
    <w:rsid w:val="00DA08C0"/>
    <w:rsid w:val="00DA1C78"/>
    <w:rsid w:val="00DA1E45"/>
    <w:rsid w:val="00DA3060"/>
    <w:rsid w:val="00DA3824"/>
    <w:rsid w:val="00DA4390"/>
    <w:rsid w:val="00DA4D58"/>
    <w:rsid w:val="00DA5220"/>
    <w:rsid w:val="00DA557B"/>
    <w:rsid w:val="00DA62A2"/>
    <w:rsid w:val="00DA6F20"/>
    <w:rsid w:val="00DB17ED"/>
    <w:rsid w:val="00DB33D5"/>
    <w:rsid w:val="00DB5967"/>
    <w:rsid w:val="00DB5B5B"/>
    <w:rsid w:val="00DB75F1"/>
    <w:rsid w:val="00DB7CA8"/>
    <w:rsid w:val="00DC05A4"/>
    <w:rsid w:val="00DC2D7A"/>
    <w:rsid w:val="00DC2F4D"/>
    <w:rsid w:val="00DC4CC7"/>
    <w:rsid w:val="00DC5BA6"/>
    <w:rsid w:val="00DC63E0"/>
    <w:rsid w:val="00DC6E6F"/>
    <w:rsid w:val="00DD0164"/>
    <w:rsid w:val="00DD14E1"/>
    <w:rsid w:val="00DD18F3"/>
    <w:rsid w:val="00DD2B65"/>
    <w:rsid w:val="00DD3FB5"/>
    <w:rsid w:val="00DD4296"/>
    <w:rsid w:val="00DD62F6"/>
    <w:rsid w:val="00DD6C66"/>
    <w:rsid w:val="00DE0959"/>
    <w:rsid w:val="00DE1245"/>
    <w:rsid w:val="00DE3A75"/>
    <w:rsid w:val="00DE46D5"/>
    <w:rsid w:val="00DE5E5F"/>
    <w:rsid w:val="00DE68C6"/>
    <w:rsid w:val="00DE7032"/>
    <w:rsid w:val="00DF08B1"/>
    <w:rsid w:val="00DF0E82"/>
    <w:rsid w:val="00DF0F17"/>
    <w:rsid w:val="00DF30A7"/>
    <w:rsid w:val="00DF5385"/>
    <w:rsid w:val="00DF53D7"/>
    <w:rsid w:val="00DF54C2"/>
    <w:rsid w:val="00DF5787"/>
    <w:rsid w:val="00E019D5"/>
    <w:rsid w:val="00E02771"/>
    <w:rsid w:val="00E02DF9"/>
    <w:rsid w:val="00E03E14"/>
    <w:rsid w:val="00E06474"/>
    <w:rsid w:val="00E06511"/>
    <w:rsid w:val="00E10948"/>
    <w:rsid w:val="00E1193F"/>
    <w:rsid w:val="00E122C3"/>
    <w:rsid w:val="00E132F0"/>
    <w:rsid w:val="00E13477"/>
    <w:rsid w:val="00E138B2"/>
    <w:rsid w:val="00E13A95"/>
    <w:rsid w:val="00E1446D"/>
    <w:rsid w:val="00E146ED"/>
    <w:rsid w:val="00E14F64"/>
    <w:rsid w:val="00E15FD6"/>
    <w:rsid w:val="00E161B6"/>
    <w:rsid w:val="00E1630A"/>
    <w:rsid w:val="00E16787"/>
    <w:rsid w:val="00E16AED"/>
    <w:rsid w:val="00E2010A"/>
    <w:rsid w:val="00E205B3"/>
    <w:rsid w:val="00E21B2B"/>
    <w:rsid w:val="00E22DA3"/>
    <w:rsid w:val="00E22F46"/>
    <w:rsid w:val="00E23208"/>
    <w:rsid w:val="00E23C0A"/>
    <w:rsid w:val="00E24A15"/>
    <w:rsid w:val="00E24F4E"/>
    <w:rsid w:val="00E2546C"/>
    <w:rsid w:val="00E275CC"/>
    <w:rsid w:val="00E2768A"/>
    <w:rsid w:val="00E3023E"/>
    <w:rsid w:val="00E302A6"/>
    <w:rsid w:val="00E30CFA"/>
    <w:rsid w:val="00E31C94"/>
    <w:rsid w:val="00E3215E"/>
    <w:rsid w:val="00E338FA"/>
    <w:rsid w:val="00E33CB2"/>
    <w:rsid w:val="00E3475D"/>
    <w:rsid w:val="00E34B78"/>
    <w:rsid w:val="00E351E9"/>
    <w:rsid w:val="00E40780"/>
    <w:rsid w:val="00E42723"/>
    <w:rsid w:val="00E44CAD"/>
    <w:rsid w:val="00E46F71"/>
    <w:rsid w:val="00E47019"/>
    <w:rsid w:val="00E47B3E"/>
    <w:rsid w:val="00E50A44"/>
    <w:rsid w:val="00E51E6B"/>
    <w:rsid w:val="00E51FE7"/>
    <w:rsid w:val="00E52021"/>
    <w:rsid w:val="00E52C7E"/>
    <w:rsid w:val="00E52DD7"/>
    <w:rsid w:val="00E53046"/>
    <w:rsid w:val="00E53AA1"/>
    <w:rsid w:val="00E53AD3"/>
    <w:rsid w:val="00E54574"/>
    <w:rsid w:val="00E54948"/>
    <w:rsid w:val="00E550F7"/>
    <w:rsid w:val="00E566D2"/>
    <w:rsid w:val="00E56A2C"/>
    <w:rsid w:val="00E56F98"/>
    <w:rsid w:val="00E601FB"/>
    <w:rsid w:val="00E60843"/>
    <w:rsid w:val="00E60E3B"/>
    <w:rsid w:val="00E6141D"/>
    <w:rsid w:val="00E62220"/>
    <w:rsid w:val="00E6281F"/>
    <w:rsid w:val="00E6299E"/>
    <w:rsid w:val="00E652A4"/>
    <w:rsid w:val="00E67F9B"/>
    <w:rsid w:val="00E710BE"/>
    <w:rsid w:val="00E71DBA"/>
    <w:rsid w:val="00E741DC"/>
    <w:rsid w:val="00E7585E"/>
    <w:rsid w:val="00E760B6"/>
    <w:rsid w:val="00E7640B"/>
    <w:rsid w:val="00E7692F"/>
    <w:rsid w:val="00E77224"/>
    <w:rsid w:val="00E8056B"/>
    <w:rsid w:val="00E80A1A"/>
    <w:rsid w:val="00E81E7C"/>
    <w:rsid w:val="00E8228A"/>
    <w:rsid w:val="00E83F28"/>
    <w:rsid w:val="00E85C83"/>
    <w:rsid w:val="00E8626D"/>
    <w:rsid w:val="00E87C12"/>
    <w:rsid w:val="00E9131E"/>
    <w:rsid w:val="00E92008"/>
    <w:rsid w:val="00E95091"/>
    <w:rsid w:val="00E96A18"/>
    <w:rsid w:val="00E96AA4"/>
    <w:rsid w:val="00E97816"/>
    <w:rsid w:val="00E97875"/>
    <w:rsid w:val="00EA0375"/>
    <w:rsid w:val="00EA0F74"/>
    <w:rsid w:val="00EA1831"/>
    <w:rsid w:val="00EA2204"/>
    <w:rsid w:val="00EA2746"/>
    <w:rsid w:val="00EA3251"/>
    <w:rsid w:val="00EA46D8"/>
    <w:rsid w:val="00EA76CC"/>
    <w:rsid w:val="00EB06D2"/>
    <w:rsid w:val="00EB0C47"/>
    <w:rsid w:val="00EB0E80"/>
    <w:rsid w:val="00EB1FE0"/>
    <w:rsid w:val="00EB2342"/>
    <w:rsid w:val="00EB23C3"/>
    <w:rsid w:val="00EB2AB6"/>
    <w:rsid w:val="00EB39FF"/>
    <w:rsid w:val="00EB43B7"/>
    <w:rsid w:val="00EB52D8"/>
    <w:rsid w:val="00EB5CBE"/>
    <w:rsid w:val="00EB78A9"/>
    <w:rsid w:val="00EC3571"/>
    <w:rsid w:val="00EC3F9B"/>
    <w:rsid w:val="00EC6498"/>
    <w:rsid w:val="00EC7E43"/>
    <w:rsid w:val="00EC7FDA"/>
    <w:rsid w:val="00ED06E4"/>
    <w:rsid w:val="00ED0B80"/>
    <w:rsid w:val="00ED0D3C"/>
    <w:rsid w:val="00ED1257"/>
    <w:rsid w:val="00ED1DB0"/>
    <w:rsid w:val="00ED2995"/>
    <w:rsid w:val="00ED3A2B"/>
    <w:rsid w:val="00ED3E78"/>
    <w:rsid w:val="00ED41E0"/>
    <w:rsid w:val="00ED4667"/>
    <w:rsid w:val="00ED49EB"/>
    <w:rsid w:val="00ED582F"/>
    <w:rsid w:val="00ED5AB9"/>
    <w:rsid w:val="00ED6831"/>
    <w:rsid w:val="00EE07EE"/>
    <w:rsid w:val="00EE1242"/>
    <w:rsid w:val="00EE275D"/>
    <w:rsid w:val="00EE3F5C"/>
    <w:rsid w:val="00EE4129"/>
    <w:rsid w:val="00EE4228"/>
    <w:rsid w:val="00EE6684"/>
    <w:rsid w:val="00EE6F49"/>
    <w:rsid w:val="00EF00B5"/>
    <w:rsid w:val="00EF014A"/>
    <w:rsid w:val="00EF0EA3"/>
    <w:rsid w:val="00EF23B0"/>
    <w:rsid w:val="00EF39A2"/>
    <w:rsid w:val="00EF3E38"/>
    <w:rsid w:val="00EF4104"/>
    <w:rsid w:val="00EF681E"/>
    <w:rsid w:val="00EF6EED"/>
    <w:rsid w:val="00EF7988"/>
    <w:rsid w:val="00F00BBD"/>
    <w:rsid w:val="00F00C11"/>
    <w:rsid w:val="00F019AA"/>
    <w:rsid w:val="00F042CA"/>
    <w:rsid w:val="00F050A9"/>
    <w:rsid w:val="00F05658"/>
    <w:rsid w:val="00F05BA3"/>
    <w:rsid w:val="00F05E29"/>
    <w:rsid w:val="00F0610C"/>
    <w:rsid w:val="00F06E9C"/>
    <w:rsid w:val="00F07114"/>
    <w:rsid w:val="00F105BF"/>
    <w:rsid w:val="00F12173"/>
    <w:rsid w:val="00F1279A"/>
    <w:rsid w:val="00F1550C"/>
    <w:rsid w:val="00F16C2D"/>
    <w:rsid w:val="00F17082"/>
    <w:rsid w:val="00F17E6F"/>
    <w:rsid w:val="00F17EC7"/>
    <w:rsid w:val="00F20633"/>
    <w:rsid w:val="00F21CE8"/>
    <w:rsid w:val="00F2345B"/>
    <w:rsid w:val="00F23572"/>
    <w:rsid w:val="00F23F7C"/>
    <w:rsid w:val="00F24050"/>
    <w:rsid w:val="00F24101"/>
    <w:rsid w:val="00F24AA1"/>
    <w:rsid w:val="00F25D32"/>
    <w:rsid w:val="00F26132"/>
    <w:rsid w:val="00F26CFA"/>
    <w:rsid w:val="00F26D5F"/>
    <w:rsid w:val="00F31BC8"/>
    <w:rsid w:val="00F31C8B"/>
    <w:rsid w:val="00F322F1"/>
    <w:rsid w:val="00F32BD9"/>
    <w:rsid w:val="00F32F38"/>
    <w:rsid w:val="00F33008"/>
    <w:rsid w:val="00F339D9"/>
    <w:rsid w:val="00F33F39"/>
    <w:rsid w:val="00F350BE"/>
    <w:rsid w:val="00F359E5"/>
    <w:rsid w:val="00F35E3E"/>
    <w:rsid w:val="00F37828"/>
    <w:rsid w:val="00F411AA"/>
    <w:rsid w:val="00F41567"/>
    <w:rsid w:val="00F41DA7"/>
    <w:rsid w:val="00F448EA"/>
    <w:rsid w:val="00F4732B"/>
    <w:rsid w:val="00F475EC"/>
    <w:rsid w:val="00F5037C"/>
    <w:rsid w:val="00F506FD"/>
    <w:rsid w:val="00F51B8C"/>
    <w:rsid w:val="00F51D1F"/>
    <w:rsid w:val="00F51D63"/>
    <w:rsid w:val="00F52310"/>
    <w:rsid w:val="00F52CC4"/>
    <w:rsid w:val="00F535F8"/>
    <w:rsid w:val="00F53A4E"/>
    <w:rsid w:val="00F544FD"/>
    <w:rsid w:val="00F557D3"/>
    <w:rsid w:val="00F56101"/>
    <w:rsid w:val="00F56935"/>
    <w:rsid w:val="00F56C20"/>
    <w:rsid w:val="00F570FC"/>
    <w:rsid w:val="00F60E7F"/>
    <w:rsid w:val="00F620CD"/>
    <w:rsid w:val="00F637DB"/>
    <w:rsid w:val="00F64989"/>
    <w:rsid w:val="00F662E2"/>
    <w:rsid w:val="00F66A3C"/>
    <w:rsid w:val="00F67640"/>
    <w:rsid w:val="00F67C91"/>
    <w:rsid w:val="00F67D3C"/>
    <w:rsid w:val="00F70859"/>
    <w:rsid w:val="00F71197"/>
    <w:rsid w:val="00F729E0"/>
    <w:rsid w:val="00F748B9"/>
    <w:rsid w:val="00F74A6D"/>
    <w:rsid w:val="00F768EC"/>
    <w:rsid w:val="00F769BB"/>
    <w:rsid w:val="00F76AF2"/>
    <w:rsid w:val="00F77D99"/>
    <w:rsid w:val="00F77E61"/>
    <w:rsid w:val="00F80E00"/>
    <w:rsid w:val="00F81400"/>
    <w:rsid w:val="00F81945"/>
    <w:rsid w:val="00F824CE"/>
    <w:rsid w:val="00F839CF"/>
    <w:rsid w:val="00F83C66"/>
    <w:rsid w:val="00F83E5B"/>
    <w:rsid w:val="00F85530"/>
    <w:rsid w:val="00F91791"/>
    <w:rsid w:val="00F91F03"/>
    <w:rsid w:val="00F920F7"/>
    <w:rsid w:val="00F928F4"/>
    <w:rsid w:val="00F9546E"/>
    <w:rsid w:val="00F968AE"/>
    <w:rsid w:val="00F96F7D"/>
    <w:rsid w:val="00F971D6"/>
    <w:rsid w:val="00F97363"/>
    <w:rsid w:val="00F973F0"/>
    <w:rsid w:val="00FA00F9"/>
    <w:rsid w:val="00FA1E1F"/>
    <w:rsid w:val="00FA23AE"/>
    <w:rsid w:val="00FA26A5"/>
    <w:rsid w:val="00FA4249"/>
    <w:rsid w:val="00FA4A84"/>
    <w:rsid w:val="00FA4F10"/>
    <w:rsid w:val="00FA4F66"/>
    <w:rsid w:val="00FA6111"/>
    <w:rsid w:val="00FB2CC5"/>
    <w:rsid w:val="00FB3029"/>
    <w:rsid w:val="00FB35DC"/>
    <w:rsid w:val="00FB3E18"/>
    <w:rsid w:val="00FB5163"/>
    <w:rsid w:val="00FB6450"/>
    <w:rsid w:val="00FB69D7"/>
    <w:rsid w:val="00FC15D7"/>
    <w:rsid w:val="00FC1688"/>
    <w:rsid w:val="00FC2B85"/>
    <w:rsid w:val="00FC3506"/>
    <w:rsid w:val="00FC3859"/>
    <w:rsid w:val="00FC3B37"/>
    <w:rsid w:val="00FC561A"/>
    <w:rsid w:val="00FC69C6"/>
    <w:rsid w:val="00FC6A78"/>
    <w:rsid w:val="00FD0A57"/>
    <w:rsid w:val="00FD1B33"/>
    <w:rsid w:val="00FD1E51"/>
    <w:rsid w:val="00FD280B"/>
    <w:rsid w:val="00FD2E25"/>
    <w:rsid w:val="00FD4C85"/>
    <w:rsid w:val="00FD6313"/>
    <w:rsid w:val="00FD681D"/>
    <w:rsid w:val="00FD75B6"/>
    <w:rsid w:val="00FE01B1"/>
    <w:rsid w:val="00FE1834"/>
    <w:rsid w:val="00FE2695"/>
    <w:rsid w:val="00FE45BE"/>
    <w:rsid w:val="00FE49EC"/>
    <w:rsid w:val="00FE61A7"/>
    <w:rsid w:val="00FF0801"/>
    <w:rsid w:val="00FF114D"/>
    <w:rsid w:val="00FF2304"/>
    <w:rsid w:val="00FF3324"/>
    <w:rsid w:val="00FF3D21"/>
    <w:rsid w:val="00FF3F1D"/>
    <w:rsid w:val="00FF4977"/>
    <w:rsid w:val="00FF4F15"/>
    <w:rsid w:val="00FF510C"/>
    <w:rsid w:val="00FF5EBB"/>
    <w:rsid w:val="00FF6008"/>
    <w:rsid w:val="00FF63CA"/>
    <w:rsid w:val="00FF6962"/>
    <w:rsid w:val="00FF6A2B"/>
    <w:rsid w:val="00FF71A5"/>
    <w:rsid w:val="00FF7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customStyle="1" w:styleId="subsectionChar">
    <w:name w:val="subsection Char"/>
    <w:aliases w:val="ss Char"/>
    <w:basedOn w:val="DefaultParagraphFont"/>
    <w:link w:val="subsection"/>
    <w:locked/>
    <w:rsid w:val="000A7880"/>
    <w:rPr>
      <w:sz w:val="22"/>
    </w:rPr>
  </w:style>
  <w:style w:type="paragraph" w:customStyle="1" w:styleId="subsection">
    <w:name w:val="subsection"/>
    <w:aliases w:val="ss"/>
    <w:basedOn w:val="Normal"/>
    <w:link w:val="subsectionChar"/>
    <w:rsid w:val="000A7880"/>
    <w:pPr>
      <w:tabs>
        <w:tab w:val="right" w:pos="1021"/>
      </w:tabs>
      <w:spacing w:before="180"/>
      <w:ind w:left="1134" w:hanging="1134"/>
    </w:pPr>
    <w:rPr>
      <w:szCs w:val="20"/>
      <w:lang w:eastAsia="en-AU"/>
    </w:rPr>
  </w:style>
  <w:style w:type="paragraph" w:customStyle="1" w:styleId="Tablea">
    <w:name w:val="Table(a)"/>
    <w:aliases w:val="ta"/>
    <w:basedOn w:val="Normal"/>
    <w:rsid w:val="000A7880"/>
    <w:pPr>
      <w:spacing w:before="60"/>
      <w:ind w:left="284" w:hanging="284"/>
    </w:pPr>
    <w:rPr>
      <w:rFonts w:ascii="Times New Roman" w:eastAsia="Times New Roman" w:hAnsi="Times New Roman"/>
      <w:sz w:val="20"/>
      <w:szCs w:val="20"/>
      <w:lang w:eastAsia="en-AU"/>
    </w:rPr>
  </w:style>
  <w:style w:type="paragraph" w:customStyle="1" w:styleId="notetext">
    <w:name w:val="note(text)"/>
    <w:aliases w:val="n"/>
    <w:basedOn w:val="Normal"/>
    <w:rsid w:val="000A7880"/>
    <w:pPr>
      <w:spacing w:before="122"/>
      <w:ind w:left="1985" w:hanging="851"/>
    </w:pPr>
    <w:rPr>
      <w:rFonts w:ascii="Times New Roman" w:eastAsia="Times New Roman" w:hAnsi="Times New Roman"/>
      <w:sz w:val="18"/>
      <w:szCs w:val="20"/>
      <w:lang w:eastAsia="en-AU"/>
    </w:rPr>
  </w:style>
  <w:style w:type="paragraph" w:customStyle="1" w:styleId="Tabletext">
    <w:name w:val="Tabletext"/>
    <w:aliases w:val="tt"/>
    <w:basedOn w:val="Normal"/>
    <w:rsid w:val="000A7880"/>
    <w:pPr>
      <w:spacing w:before="6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Normal"/>
    <w:next w:val="Tabletext"/>
    <w:rsid w:val="000A7880"/>
    <w:pPr>
      <w:keepNext/>
      <w:spacing w:before="60" w:line="240" w:lineRule="atLeast"/>
    </w:pPr>
    <w:rPr>
      <w:rFonts w:ascii="Times New Roman" w:eastAsia="Times New Roman" w:hAnsi="Times New Roman"/>
      <w:b/>
      <w:sz w:val="20"/>
      <w:szCs w:val="20"/>
      <w:lang w:eastAsia="en-AU"/>
    </w:rPr>
  </w:style>
  <w:style w:type="paragraph" w:customStyle="1" w:styleId="SubsectionHead">
    <w:name w:val="SubsectionHead"/>
    <w:aliases w:val="ssh"/>
    <w:basedOn w:val="Normal"/>
    <w:next w:val="Normal"/>
    <w:rsid w:val="00EE6684"/>
    <w:pPr>
      <w:keepNext/>
      <w:keepLines/>
      <w:spacing w:before="240"/>
      <w:ind w:left="1134"/>
    </w:pPr>
    <w:rPr>
      <w:rFonts w:ascii="Times New Roman" w:eastAsia="Times New Roman" w:hAnsi="Times New Roman"/>
      <w:i/>
      <w:szCs w:val="20"/>
      <w:lang w:eastAsia="en-AU"/>
    </w:rPr>
  </w:style>
  <w:style w:type="character" w:customStyle="1" w:styleId="paragraphChar">
    <w:name w:val="paragraph Char"/>
    <w:aliases w:val="a Char"/>
    <w:basedOn w:val="DefaultParagraphFont"/>
    <w:link w:val="paragraph"/>
    <w:locked/>
    <w:rsid w:val="00EE6684"/>
    <w:rPr>
      <w:sz w:val="22"/>
    </w:rPr>
  </w:style>
  <w:style w:type="paragraph" w:customStyle="1" w:styleId="paragraph">
    <w:name w:val="paragraph"/>
    <w:aliases w:val="a"/>
    <w:basedOn w:val="Normal"/>
    <w:link w:val="paragraphChar"/>
    <w:rsid w:val="00EE6684"/>
    <w:pPr>
      <w:tabs>
        <w:tab w:val="right" w:pos="1531"/>
      </w:tabs>
      <w:spacing w:before="40"/>
      <w:ind w:left="1644" w:hanging="1644"/>
    </w:pPr>
    <w:rPr>
      <w:szCs w:val="20"/>
      <w:lang w:eastAsia="en-AU"/>
    </w:rPr>
  </w:style>
  <w:style w:type="paragraph" w:customStyle="1" w:styleId="ActHead5">
    <w:name w:val="ActHead 5"/>
    <w:aliases w:val="s"/>
    <w:basedOn w:val="Normal"/>
    <w:next w:val="Normal"/>
    <w:qFormat/>
    <w:rsid w:val="00136219"/>
    <w:pPr>
      <w:keepNext/>
      <w:keepLines/>
      <w:spacing w:before="280"/>
      <w:ind w:left="1134" w:hanging="1134"/>
      <w:outlineLvl w:val="4"/>
    </w:pPr>
    <w:rPr>
      <w:rFonts w:ascii="Times New Roman" w:eastAsia="Times New Roman" w:hAnsi="Times New Roman"/>
      <w:b/>
      <w:kern w:val="28"/>
      <w:sz w:val="24"/>
      <w:szCs w:val="20"/>
      <w:lang w:eastAsia="en-AU"/>
    </w:rPr>
  </w:style>
  <w:style w:type="character" w:customStyle="1" w:styleId="CharSectno">
    <w:name w:val="CharSectno"/>
    <w:basedOn w:val="DefaultParagraphFont"/>
    <w:qFormat/>
    <w:rsid w:val="00136219"/>
  </w:style>
  <w:style w:type="paragraph" w:customStyle="1" w:styleId="TableHeading">
    <w:name w:val="Table Heading"/>
    <w:link w:val="TableHeadingChar"/>
    <w:autoRedefine/>
    <w:rsid w:val="00CF1471"/>
    <w:pPr>
      <w:numPr>
        <w:numId w:val="3"/>
      </w:numPr>
      <w:spacing w:before="240" w:after="60"/>
    </w:pPr>
    <w:rPr>
      <w:rFonts w:ascii="Arial" w:eastAsia="Times New Roman" w:hAnsi="Arial"/>
      <w:b/>
      <w:sz w:val="22"/>
      <w:szCs w:val="24"/>
      <w:lang w:eastAsia="en-US"/>
    </w:rPr>
  </w:style>
  <w:style w:type="character" w:customStyle="1" w:styleId="TableHeadingChar">
    <w:name w:val="Table Heading Char"/>
    <w:link w:val="TableHeading"/>
    <w:locked/>
    <w:rsid w:val="00CF1471"/>
    <w:rPr>
      <w:rFonts w:ascii="Arial" w:eastAsia="Times New Roman" w:hAnsi="Arial"/>
      <w:b/>
      <w:sz w:val="22"/>
      <w:szCs w:val="24"/>
      <w:lang w:eastAsia="en-US"/>
    </w:rPr>
  </w:style>
  <w:style w:type="paragraph" w:customStyle="1" w:styleId="Normal-TimesNewRoman">
    <w:name w:val="Normal - Times New Roman"/>
    <w:rsid w:val="00CF1471"/>
    <w:pPr>
      <w:suppressAutoHyphens/>
      <w:spacing w:after="180"/>
      <w:jc w:val="both"/>
    </w:pPr>
    <w:rPr>
      <w:rFonts w:ascii="Times New Roman" w:eastAsia="Arial" w:hAnsi="Times New Roman"/>
      <w:sz w:val="24"/>
      <w:lang w:eastAsia="ar-SA"/>
    </w:rPr>
  </w:style>
  <w:style w:type="paragraph" w:styleId="NoSpacing">
    <w:name w:val="No Spacing"/>
    <w:uiPriority w:val="1"/>
    <w:qFormat/>
    <w:rsid w:val="0024119B"/>
    <w:rPr>
      <w:sz w:val="22"/>
      <w:szCs w:val="22"/>
      <w:lang w:eastAsia="en-US"/>
    </w:rPr>
  </w:style>
  <w:style w:type="paragraph" w:styleId="NormalWeb">
    <w:name w:val="Normal (Web)"/>
    <w:basedOn w:val="Normal"/>
    <w:uiPriority w:val="99"/>
    <w:unhideWhenUsed/>
    <w:rsid w:val="0020535C"/>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10">
      <w:bodyDiv w:val="1"/>
      <w:marLeft w:val="0"/>
      <w:marRight w:val="0"/>
      <w:marTop w:val="0"/>
      <w:marBottom w:val="0"/>
      <w:divBdr>
        <w:top w:val="none" w:sz="0" w:space="0" w:color="auto"/>
        <w:left w:val="none" w:sz="0" w:space="0" w:color="auto"/>
        <w:bottom w:val="none" w:sz="0" w:space="0" w:color="auto"/>
        <w:right w:val="none" w:sz="0" w:space="0" w:color="auto"/>
      </w:divBdr>
    </w:div>
    <w:div w:id="36007429">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188178067">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32771420">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604581598">
      <w:bodyDiv w:val="1"/>
      <w:marLeft w:val="0"/>
      <w:marRight w:val="0"/>
      <w:marTop w:val="0"/>
      <w:marBottom w:val="0"/>
      <w:divBdr>
        <w:top w:val="none" w:sz="0" w:space="0" w:color="auto"/>
        <w:left w:val="none" w:sz="0" w:space="0" w:color="auto"/>
        <w:bottom w:val="none" w:sz="0" w:space="0" w:color="auto"/>
        <w:right w:val="none" w:sz="0" w:space="0" w:color="auto"/>
      </w:divBdr>
    </w:div>
    <w:div w:id="756678888">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16808767">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066879260">
      <w:bodyDiv w:val="1"/>
      <w:marLeft w:val="0"/>
      <w:marRight w:val="0"/>
      <w:marTop w:val="0"/>
      <w:marBottom w:val="0"/>
      <w:divBdr>
        <w:top w:val="none" w:sz="0" w:space="0" w:color="auto"/>
        <w:left w:val="none" w:sz="0" w:space="0" w:color="auto"/>
        <w:bottom w:val="none" w:sz="0" w:space="0" w:color="auto"/>
        <w:right w:val="none" w:sz="0" w:space="0" w:color="auto"/>
      </w:divBdr>
    </w:div>
    <w:div w:id="1101222532">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31829439">
      <w:bodyDiv w:val="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48026050">
      <w:bodyDiv w:val="1"/>
      <w:marLeft w:val="0"/>
      <w:marRight w:val="0"/>
      <w:marTop w:val="0"/>
      <w:marBottom w:val="0"/>
      <w:divBdr>
        <w:top w:val="none" w:sz="0" w:space="0" w:color="auto"/>
        <w:left w:val="none" w:sz="0" w:space="0" w:color="auto"/>
        <w:bottom w:val="none" w:sz="0" w:space="0" w:color="auto"/>
        <w:right w:val="none" w:sz="0" w:space="0" w:color="auto"/>
      </w:divBdr>
    </w:div>
    <w:div w:id="1354458168">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47204894">
      <w:bodyDiv w:val="1"/>
      <w:marLeft w:val="0"/>
      <w:marRight w:val="0"/>
      <w:marTop w:val="0"/>
      <w:marBottom w:val="0"/>
      <w:divBdr>
        <w:top w:val="none" w:sz="0" w:space="0" w:color="auto"/>
        <w:left w:val="none" w:sz="0" w:space="0" w:color="auto"/>
        <w:bottom w:val="none" w:sz="0" w:space="0" w:color="auto"/>
        <w:right w:val="none" w:sz="0" w:space="0" w:color="auto"/>
      </w:divBdr>
      <w:divsChild>
        <w:div w:id="1425883156">
          <w:marLeft w:val="0"/>
          <w:marRight w:val="0"/>
          <w:marTop w:val="0"/>
          <w:marBottom w:val="0"/>
          <w:divBdr>
            <w:top w:val="none" w:sz="0" w:space="0" w:color="auto"/>
            <w:left w:val="none" w:sz="0" w:space="0" w:color="auto"/>
            <w:bottom w:val="none" w:sz="0" w:space="0" w:color="auto"/>
            <w:right w:val="none" w:sz="0" w:space="0" w:color="auto"/>
          </w:divBdr>
        </w:div>
        <w:div w:id="1517964851">
          <w:marLeft w:val="0"/>
          <w:marRight w:val="0"/>
          <w:marTop w:val="0"/>
          <w:marBottom w:val="0"/>
          <w:divBdr>
            <w:top w:val="none" w:sz="0" w:space="0" w:color="auto"/>
            <w:left w:val="none" w:sz="0" w:space="0" w:color="auto"/>
            <w:bottom w:val="none" w:sz="0" w:space="0" w:color="auto"/>
            <w:right w:val="none" w:sz="0" w:space="0" w:color="auto"/>
          </w:divBdr>
        </w:div>
        <w:div w:id="307517322">
          <w:marLeft w:val="0"/>
          <w:marRight w:val="0"/>
          <w:marTop w:val="0"/>
          <w:marBottom w:val="0"/>
          <w:divBdr>
            <w:top w:val="none" w:sz="0" w:space="0" w:color="auto"/>
            <w:left w:val="none" w:sz="0" w:space="0" w:color="auto"/>
            <w:bottom w:val="none" w:sz="0" w:space="0" w:color="auto"/>
            <w:right w:val="none" w:sz="0" w:space="0" w:color="auto"/>
          </w:divBdr>
        </w:div>
        <w:div w:id="1524637398">
          <w:marLeft w:val="0"/>
          <w:marRight w:val="0"/>
          <w:marTop w:val="0"/>
          <w:marBottom w:val="0"/>
          <w:divBdr>
            <w:top w:val="none" w:sz="0" w:space="0" w:color="auto"/>
            <w:left w:val="none" w:sz="0" w:space="0" w:color="auto"/>
            <w:bottom w:val="none" w:sz="0" w:space="0" w:color="auto"/>
            <w:right w:val="none" w:sz="0" w:space="0" w:color="auto"/>
          </w:divBdr>
        </w:div>
        <w:div w:id="242489305">
          <w:marLeft w:val="0"/>
          <w:marRight w:val="0"/>
          <w:marTop w:val="0"/>
          <w:marBottom w:val="0"/>
          <w:divBdr>
            <w:top w:val="none" w:sz="0" w:space="0" w:color="auto"/>
            <w:left w:val="none" w:sz="0" w:space="0" w:color="auto"/>
            <w:bottom w:val="none" w:sz="0" w:space="0" w:color="auto"/>
            <w:right w:val="none" w:sz="0" w:space="0" w:color="auto"/>
          </w:divBdr>
        </w:div>
        <w:div w:id="1970937023">
          <w:marLeft w:val="0"/>
          <w:marRight w:val="0"/>
          <w:marTop w:val="0"/>
          <w:marBottom w:val="0"/>
          <w:divBdr>
            <w:top w:val="none" w:sz="0" w:space="0" w:color="auto"/>
            <w:left w:val="none" w:sz="0" w:space="0" w:color="auto"/>
            <w:bottom w:val="none" w:sz="0" w:space="0" w:color="auto"/>
            <w:right w:val="none" w:sz="0" w:space="0" w:color="auto"/>
          </w:divBdr>
        </w:div>
        <w:div w:id="1383358966">
          <w:marLeft w:val="0"/>
          <w:marRight w:val="0"/>
          <w:marTop w:val="0"/>
          <w:marBottom w:val="0"/>
          <w:divBdr>
            <w:top w:val="none" w:sz="0" w:space="0" w:color="auto"/>
            <w:left w:val="none" w:sz="0" w:space="0" w:color="auto"/>
            <w:bottom w:val="none" w:sz="0" w:space="0" w:color="auto"/>
            <w:right w:val="none" w:sz="0" w:space="0" w:color="auto"/>
          </w:divBdr>
        </w:div>
        <w:div w:id="800029389">
          <w:marLeft w:val="0"/>
          <w:marRight w:val="0"/>
          <w:marTop w:val="0"/>
          <w:marBottom w:val="0"/>
          <w:divBdr>
            <w:top w:val="none" w:sz="0" w:space="0" w:color="auto"/>
            <w:left w:val="none" w:sz="0" w:space="0" w:color="auto"/>
            <w:bottom w:val="none" w:sz="0" w:space="0" w:color="auto"/>
            <w:right w:val="none" w:sz="0" w:space="0" w:color="auto"/>
          </w:divBdr>
        </w:div>
        <w:div w:id="958495093">
          <w:marLeft w:val="0"/>
          <w:marRight w:val="0"/>
          <w:marTop w:val="0"/>
          <w:marBottom w:val="0"/>
          <w:divBdr>
            <w:top w:val="none" w:sz="0" w:space="0" w:color="auto"/>
            <w:left w:val="none" w:sz="0" w:space="0" w:color="auto"/>
            <w:bottom w:val="none" w:sz="0" w:space="0" w:color="auto"/>
            <w:right w:val="none" w:sz="0" w:space="0" w:color="auto"/>
          </w:divBdr>
        </w:div>
        <w:div w:id="475880714">
          <w:marLeft w:val="0"/>
          <w:marRight w:val="0"/>
          <w:marTop w:val="0"/>
          <w:marBottom w:val="0"/>
          <w:divBdr>
            <w:top w:val="none" w:sz="0" w:space="0" w:color="auto"/>
            <w:left w:val="none" w:sz="0" w:space="0" w:color="auto"/>
            <w:bottom w:val="none" w:sz="0" w:space="0" w:color="auto"/>
            <w:right w:val="none" w:sz="0" w:space="0" w:color="auto"/>
          </w:divBdr>
        </w:div>
        <w:div w:id="1623227070">
          <w:marLeft w:val="0"/>
          <w:marRight w:val="0"/>
          <w:marTop w:val="0"/>
          <w:marBottom w:val="0"/>
          <w:divBdr>
            <w:top w:val="none" w:sz="0" w:space="0" w:color="auto"/>
            <w:left w:val="none" w:sz="0" w:space="0" w:color="auto"/>
            <w:bottom w:val="none" w:sz="0" w:space="0" w:color="auto"/>
            <w:right w:val="none" w:sz="0" w:space="0" w:color="auto"/>
          </w:divBdr>
        </w:div>
        <w:div w:id="114326615">
          <w:marLeft w:val="0"/>
          <w:marRight w:val="0"/>
          <w:marTop w:val="0"/>
          <w:marBottom w:val="0"/>
          <w:divBdr>
            <w:top w:val="none" w:sz="0" w:space="0" w:color="auto"/>
            <w:left w:val="none" w:sz="0" w:space="0" w:color="auto"/>
            <w:bottom w:val="none" w:sz="0" w:space="0" w:color="auto"/>
            <w:right w:val="none" w:sz="0" w:space="0" w:color="auto"/>
          </w:divBdr>
        </w:div>
        <w:div w:id="863594781">
          <w:marLeft w:val="0"/>
          <w:marRight w:val="0"/>
          <w:marTop w:val="0"/>
          <w:marBottom w:val="0"/>
          <w:divBdr>
            <w:top w:val="none" w:sz="0" w:space="0" w:color="auto"/>
            <w:left w:val="none" w:sz="0" w:space="0" w:color="auto"/>
            <w:bottom w:val="none" w:sz="0" w:space="0" w:color="auto"/>
            <w:right w:val="none" w:sz="0" w:space="0" w:color="auto"/>
          </w:divBdr>
        </w:div>
        <w:div w:id="815537583">
          <w:marLeft w:val="0"/>
          <w:marRight w:val="0"/>
          <w:marTop w:val="0"/>
          <w:marBottom w:val="0"/>
          <w:divBdr>
            <w:top w:val="none" w:sz="0" w:space="0" w:color="auto"/>
            <w:left w:val="none" w:sz="0" w:space="0" w:color="auto"/>
            <w:bottom w:val="none" w:sz="0" w:space="0" w:color="auto"/>
            <w:right w:val="none" w:sz="0" w:space="0" w:color="auto"/>
          </w:divBdr>
        </w:div>
      </w:divsChild>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03886949">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 w:id="1941525801">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4177704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01EF-8B49-46C1-96A3-F5A57F14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2414</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2015-03-27T04:50:00Z</dcterms:created>
  <dcterms:modified xsi:type="dcterms:W3CDTF">2015-03-27T04:50:00Z</dcterms:modified>
  <cp:contentStatus/>
</cp:coreProperties>
</file>