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A3" w:rsidRDefault="006B4EA3">
      <w:pPr>
        <w:pStyle w:val="NoSpacing"/>
        <w:jc w:val="center"/>
        <w:rPr>
          <w:rFonts w:ascii="Arial" w:hAnsi="Arial" w:cs="Arial"/>
          <w:color w:val="00000A"/>
          <w:sz w:val="22"/>
          <w:szCs w:val="22"/>
        </w:rPr>
      </w:pPr>
      <w:bookmarkStart w:id="0" w:name="_GoBack"/>
      <w:bookmarkEnd w:id="0"/>
    </w:p>
    <w:p w:rsidR="006B4EA3" w:rsidRDefault="006B4EA3">
      <w:pPr>
        <w:pStyle w:val="NoSpacing"/>
        <w:jc w:val="center"/>
        <w:rPr>
          <w:rFonts w:ascii="Arial" w:hAnsi="Arial" w:cs="Arial"/>
          <w:color w:val="00000A"/>
          <w:sz w:val="22"/>
          <w:szCs w:val="22"/>
        </w:rPr>
      </w:pPr>
    </w:p>
    <w:p w:rsidR="006B4EA3" w:rsidRDefault="0048114E">
      <w:pPr>
        <w:pStyle w:val="NoSpacing"/>
        <w:jc w:val="center"/>
        <w:rPr>
          <w:rFonts w:ascii="Arial" w:hAnsi="Arial" w:cs="Arial"/>
          <w:b/>
          <w:color w:val="00000A"/>
          <w:sz w:val="22"/>
          <w:szCs w:val="22"/>
        </w:rPr>
      </w:pPr>
      <w:r>
        <w:rPr>
          <w:rFonts w:ascii="Arial" w:hAnsi="Arial" w:cs="Arial"/>
          <w:b/>
          <w:color w:val="00000A"/>
          <w:sz w:val="22"/>
          <w:szCs w:val="22"/>
        </w:rPr>
        <w:t xml:space="preserve">REVIEW OF </w:t>
      </w:r>
      <w:r w:rsidR="004A6364">
        <w:rPr>
          <w:rFonts w:ascii="Arial" w:hAnsi="Arial" w:cs="Arial"/>
          <w:b/>
          <w:color w:val="00000A"/>
          <w:sz w:val="22"/>
          <w:szCs w:val="22"/>
        </w:rPr>
        <w:t xml:space="preserve">THE OWNER DRIVERS AND FORESTRY CONTRACTORS ACT 2005 </w:t>
      </w:r>
    </w:p>
    <w:p w:rsidR="004A6364" w:rsidRDefault="004A6364">
      <w:pPr>
        <w:pStyle w:val="NoSpacing"/>
        <w:jc w:val="center"/>
        <w:rPr>
          <w:rFonts w:ascii="Arial" w:hAnsi="Arial" w:cs="Arial"/>
          <w:b/>
          <w:color w:val="00000A"/>
          <w:sz w:val="22"/>
          <w:szCs w:val="22"/>
        </w:rPr>
      </w:pPr>
    </w:p>
    <w:p w:rsidR="006B4EA3" w:rsidRDefault="0048114E">
      <w:pPr>
        <w:pStyle w:val="NoSpacing"/>
        <w:jc w:val="center"/>
        <w:rPr>
          <w:rFonts w:ascii="Arial" w:hAnsi="Arial" w:cs="Arial"/>
          <w:b/>
          <w:color w:val="00000A"/>
          <w:sz w:val="22"/>
          <w:szCs w:val="22"/>
        </w:rPr>
      </w:pPr>
      <w:r>
        <w:rPr>
          <w:rFonts w:ascii="Arial" w:hAnsi="Arial" w:cs="Arial"/>
          <w:b/>
          <w:color w:val="00000A"/>
          <w:sz w:val="22"/>
          <w:szCs w:val="22"/>
        </w:rPr>
        <w:t xml:space="preserve">AUSTRALIAN TRUCKING ASSOCIATION </w:t>
      </w:r>
      <w:r w:rsidR="004A6364">
        <w:rPr>
          <w:rFonts w:ascii="Arial" w:hAnsi="Arial" w:cs="Arial"/>
          <w:b/>
          <w:color w:val="00000A"/>
          <w:sz w:val="22"/>
          <w:szCs w:val="22"/>
        </w:rPr>
        <w:t>SUBMISSION</w:t>
      </w:r>
    </w:p>
    <w:p w:rsidR="006B4EA3" w:rsidRDefault="004A6364">
      <w:pPr>
        <w:pStyle w:val="NoSpacing"/>
        <w:jc w:val="center"/>
        <w:rPr>
          <w:rFonts w:ascii="Arial" w:hAnsi="Arial" w:cs="Arial"/>
          <w:b/>
          <w:color w:val="00000A"/>
          <w:sz w:val="22"/>
          <w:szCs w:val="22"/>
        </w:rPr>
      </w:pPr>
      <w:r>
        <w:rPr>
          <w:rFonts w:ascii="Arial" w:hAnsi="Arial" w:cs="Arial"/>
          <w:b/>
          <w:color w:val="00000A"/>
          <w:sz w:val="22"/>
          <w:szCs w:val="22"/>
        </w:rPr>
        <w:t>31 JANUARY 2017</w:t>
      </w:r>
    </w:p>
    <w:p w:rsidR="006B4EA3" w:rsidRDefault="006B4EA3">
      <w:pPr>
        <w:pStyle w:val="NoSpacing"/>
        <w:jc w:val="center"/>
        <w:rPr>
          <w:rFonts w:ascii="Arial" w:hAnsi="Arial" w:cs="Arial"/>
          <w:b/>
          <w:color w:val="00000A"/>
          <w:sz w:val="22"/>
          <w:szCs w:val="22"/>
        </w:rPr>
      </w:pPr>
    </w:p>
    <w:p w:rsidR="006B4EA3" w:rsidRDefault="006B4EA3">
      <w:pPr>
        <w:pStyle w:val="NoSpacing"/>
        <w:rPr>
          <w:rFonts w:ascii="Arial" w:hAnsi="Arial" w:cs="Arial"/>
          <w:color w:val="00000A"/>
          <w:sz w:val="22"/>
          <w:szCs w:val="22"/>
        </w:rPr>
      </w:pPr>
    </w:p>
    <w:p w:rsidR="007F6602" w:rsidRDefault="007F6602">
      <w:pPr>
        <w:pStyle w:val="NoSpacing"/>
        <w:rPr>
          <w:rFonts w:ascii="Arial" w:hAnsi="Arial" w:cs="Arial"/>
          <w:color w:val="00000A"/>
          <w:sz w:val="22"/>
          <w:szCs w:val="22"/>
        </w:rPr>
      </w:pPr>
    </w:p>
    <w:p w:rsidR="006B4EA3" w:rsidRDefault="007F6602" w:rsidP="005D311E">
      <w:pPr>
        <w:pStyle w:val="NoSpacing"/>
        <w:numPr>
          <w:ilvl w:val="0"/>
          <w:numId w:val="16"/>
        </w:numPr>
        <w:rPr>
          <w:rFonts w:ascii="Arial" w:hAnsi="Arial" w:cs="Arial"/>
          <w:color w:val="00000A"/>
          <w:sz w:val="22"/>
          <w:szCs w:val="22"/>
        </w:rPr>
      </w:pPr>
      <w:r>
        <w:rPr>
          <w:rFonts w:ascii="Arial" w:hAnsi="Arial" w:cs="Arial"/>
          <w:b/>
          <w:color w:val="00000A"/>
          <w:sz w:val="22"/>
          <w:szCs w:val="22"/>
        </w:rPr>
        <w:t>About the Australian Trucking Association</w:t>
      </w:r>
    </w:p>
    <w:p w:rsidR="006B4EA3" w:rsidRDefault="006B4EA3">
      <w:pPr>
        <w:pStyle w:val="NoSpacing"/>
        <w:rPr>
          <w:rFonts w:ascii="Arial" w:hAnsi="Arial" w:cs="Arial"/>
          <w:color w:val="00000A"/>
          <w:sz w:val="22"/>
          <w:szCs w:val="22"/>
        </w:rPr>
      </w:pPr>
    </w:p>
    <w:p w:rsidR="00233B71" w:rsidRDefault="004A6364" w:rsidP="00233B71">
      <w:pPr>
        <w:pStyle w:val="BodyText1"/>
        <w:spacing w:before="0"/>
        <w:rPr>
          <w:rFonts w:cs="Arial"/>
          <w:sz w:val="22"/>
          <w:szCs w:val="22"/>
        </w:rPr>
      </w:pPr>
      <w:r>
        <w:rPr>
          <w:rFonts w:cs="Arial"/>
          <w:sz w:val="22"/>
          <w:szCs w:val="22"/>
        </w:rPr>
        <w:t>The Australian Trucking Association (ATA) is the peak body representing trucking operators. Its members include state and sector associations, some of Australia’s major logistics companies and businesses with leading expertise in truck technology. Through its members, the ATA represents many thousands of trucking</w:t>
      </w:r>
      <w:r w:rsidR="00B95E74">
        <w:rPr>
          <w:rFonts w:cs="Arial"/>
          <w:sz w:val="22"/>
          <w:szCs w:val="22"/>
        </w:rPr>
        <w:t xml:space="preserve"> businesses, ranging from owner </w:t>
      </w:r>
      <w:r>
        <w:rPr>
          <w:rFonts w:cs="Arial"/>
          <w:sz w:val="22"/>
          <w:szCs w:val="22"/>
        </w:rPr>
        <w:t>drivers to large fleets.</w:t>
      </w:r>
    </w:p>
    <w:p w:rsidR="00233B71" w:rsidRDefault="00233B71" w:rsidP="00233B71">
      <w:pPr>
        <w:pStyle w:val="BodyText1"/>
        <w:spacing w:before="0"/>
        <w:rPr>
          <w:rFonts w:cs="Arial"/>
          <w:sz w:val="22"/>
          <w:szCs w:val="22"/>
        </w:rPr>
      </w:pPr>
    </w:p>
    <w:p w:rsidR="001E2F0D" w:rsidRDefault="001E2F0D" w:rsidP="00233B71">
      <w:pPr>
        <w:pStyle w:val="BodyText1"/>
        <w:spacing w:before="0"/>
        <w:rPr>
          <w:rFonts w:cs="Arial"/>
          <w:sz w:val="22"/>
          <w:szCs w:val="22"/>
        </w:rPr>
      </w:pPr>
    </w:p>
    <w:p w:rsidR="007F6602" w:rsidRPr="007F6602" w:rsidRDefault="007F6602" w:rsidP="005D311E">
      <w:pPr>
        <w:pStyle w:val="Heading1"/>
        <w:numPr>
          <w:ilvl w:val="0"/>
          <w:numId w:val="16"/>
        </w:numPr>
        <w:rPr>
          <w:color w:val="auto"/>
          <w:sz w:val="22"/>
          <w:szCs w:val="22"/>
        </w:rPr>
      </w:pPr>
      <w:r w:rsidRPr="007F6602">
        <w:rPr>
          <w:color w:val="auto"/>
          <w:sz w:val="22"/>
          <w:szCs w:val="22"/>
        </w:rPr>
        <w:t>Introduction</w:t>
      </w:r>
    </w:p>
    <w:p w:rsidR="007F6602" w:rsidRPr="001E2F0D" w:rsidRDefault="007F6602" w:rsidP="007F6602">
      <w:pPr>
        <w:rPr>
          <w:rFonts w:ascii="Arial" w:hAnsi="Arial" w:cs="Arial"/>
          <w:bCs/>
          <w:sz w:val="22"/>
          <w:szCs w:val="22"/>
        </w:rPr>
      </w:pPr>
    </w:p>
    <w:p w:rsidR="007F6602" w:rsidRPr="007F6602" w:rsidRDefault="007F6602" w:rsidP="007F6602">
      <w:pPr>
        <w:rPr>
          <w:rFonts w:ascii="Arial" w:hAnsi="Arial" w:cs="Arial"/>
        </w:rPr>
      </w:pPr>
      <w:r w:rsidRPr="007F6602">
        <w:rPr>
          <w:rFonts w:ascii="Arial" w:hAnsi="Arial" w:cs="Arial"/>
          <w:sz w:val="22"/>
          <w:szCs w:val="22"/>
        </w:rPr>
        <w:t xml:space="preserve">The </w:t>
      </w:r>
      <w:r w:rsidRPr="007F6602">
        <w:rPr>
          <w:rFonts w:ascii="Arial" w:hAnsi="Arial" w:cs="Arial"/>
          <w:i/>
          <w:iCs/>
          <w:sz w:val="22"/>
          <w:szCs w:val="22"/>
        </w:rPr>
        <w:t>Owner Drivers and Forestry Contractors Act 2005</w:t>
      </w:r>
      <w:r w:rsidRPr="007F6602">
        <w:rPr>
          <w:rFonts w:ascii="Arial" w:hAnsi="Arial" w:cs="Arial"/>
          <w:sz w:val="22"/>
          <w:szCs w:val="22"/>
        </w:rPr>
        <w:t xml:space="preserve"> (Vic) and its subordinate </w:t>
      </w:r>
      <w:r w:rsidR="00B95E74">
        <w:rPr>
          <w:rFonts w:ascii="Arial" w:hAnsi="Arial" w:cs="Arial"/>
          <w:sz w:val="22"/>
          <w:szCs w:val="22"/>
        </w:rPr>
        <w:t>legislation</w:t>
      </w:r>
      <w:r w:rsidRPr="007F6602">
        <w:rPr>
          <w:rFonts w:ascii="Arial" w:hAnsi="Arial" w:cs="Arial"/>
          <w:sz w:val="22"/>
          <w:szCs w:val="22"/>
        </w:rPr>
        <w:t xml:space="preserve"> establish a light-handed regime for supporting the state's owner drivers.</w:t>
      </w:r>
    </w:p>
    <w:p w:rsidR="007F6602" w:rsidRPr="007F6602" w:rsidRDefault="007F6602" w:rsidP="007F6602">
      <w:pPr>
        <w:rPr>
          <w:rFonts w:ascii="Arial" w:hAnsi="Arial" w:cs="Arial"/>
        </w:rPr>
      </w:pPr>
    </w:p>
    <w:p w:rsidR="007F6602" w:rsidRPr="007F6602" w:rsidRDefault="00DB683C" w:rsidP="007F6602">
      <w:pPr>
        <w:rPr>
          <w:rFonts w:ascii="Arial" w:hAnsi="Arial" w:cs="Arial"/>
        </w:rPr>
      </w:pPr>
      <w:r>
        <w:rPr>
          <w:rFonts w:ascii="Arial" w:hAnsi="Arial" w:cs="Arial"/>
          <w:sz w:val="22"/>
          <w:szCs w:val="22"/>
        </w:rPr>
        <w:t>The regime includes</w:t>
      </w:r>
      <w:r w:rsidR="007F6602" w:rsidRPr="007F6602">
        <w:rPr>
          <w:rFonts w:ascii="Arial" w:hAnsi="Arial" w:cs="Arial"/>
          <w:sz w:val="22"/>
          <w:szCs w:val="22"/>
        </w:rPr>
        <w:t xml:space="preserve"> indicative rates and costs schedul</w:t>
      </w:r>
      <w:r>
        <w:rPr>
          <w:rFonts w:ascii="Arial" w:hAnsi="Arial" w:cs="Arial"/>
          <w:sz w:val="22"/>
          <w:szCs w:val="22"/>
        </w:rPr>
        <w:t>es, which are developed under s </w:t>
      </w:r>
      <w:r w:rsidR="007F6602" w:rsidRPr="007F6602">
        <w:rPr>
          <w:rFonts w:ascii="Arial" w:hAnsi="Arial" w:cs="Arial"/>
          <w:sz w:val="22"/>
          <w:szCs w:val="22"/>
        </w:rPr>
        <w:t>14 of the Act and revised at least annually. The schedules assist owner drivers and hirers to better understand the typical operating costs of an owner driver business and to inform their negotiations.</w:t>
      </w:r>
    </w:p>
    <w:p w:rsidR="007F6602" w:rsidRPr="007F6602" w:rsidRDefault="007F6602" w:rsidP="007F6602">
      <w:pPr>
        <w:rPr>
          <w:rFonts w:ascii="Arial" w:hAnsi="Arial" w:cs="Arial"/>
        </w:rPr>
      </w:pPr>
    </w:p>
    <w:p w:rsidR="007F6602" w:rsidRPr="007F6602" w:rsidRDefault="007F6602" w:rsidP="007F6602">
      <w:pPr>
        <w:rPr>
          <w:rFonts w:ascii="Arial" w:hAnsi="Arial" w:cs="Arial"/>
          <w:sz w:val="22"/>
          <w:szCs w:val="22"/>
        </w:rPr>
      </w:pPr>
      <w:r w:rsidRPr="007F6602">
        <w:rPr>
          <w:rFonts w:ascii="Arial" w:hAnsi="Arial" w:cs="Arial"/>
          <w:sz w:val="22"/>
          <w:szCs w:val="22"/>
        </w:rPr>
        <w:t>The schedules make it clear that the rates are indicative, and that there can be substantial differences in cost due to:</w:t>
      </w:r>
    </w:p>
    <w:p w:rsidR="007F6602" w:rsidRPr="007F6602" w:rsidRDefault="007F6602" w:rsidP="007F6602">
      <w:pPr>
        <w:rPr>
          <w:rFonts w:ascii="Arial" w:hAnsi="Arial" w:cs="Arial"/>
          <w:sz w:val="22"/>
          <w:szCs w:val="22"/>
        </w:rPr>
      </w:pPr>
    </w:p>
    <w:p w:rsidR="007F6602" w:rsidRPr="007F6602" w:rsidRDefault="007F6602" w:rsidP="007F6602">
      <w:pPr>
        <w:widowControl w:val="0"/>
        <w:numPr>
          <w:ilvl w:val="0"/>
          <w:numId w:val="2"/>
        </w:numPr>
        <w:tabs>
          <w:tab w:val="clear" w:pos="0"/>
          <w:tab w:val="num" w:pos="720"/>
        </w:tabs>
        <w:rPr>
          <w:rFonts w:ascii="Arial" w:eastAsia="TimesNewRomanPSMT" w:hAnsi="Arial" w:cs="Arial"/>
          <w:sz w:val="22"/>
          <w:szCs w:val="22"/>
        </w:rPr>
      </w:pPr>
      <w:r w:rsidRPr="007F6602">
        <w:rPr>
          <w:rFonts w:ascii="Arial" w:eastAsia="TimesNewRomanPSMT" w:hAnsi="Arial" w:cs="Arial"/>
          <w:sz w:val="22"/>
          <w:szCs w:val="22"/>
        </w:rPr>
        <w:t>the age, current capital value (or both) of the vehicle</w:t>
      </w:r>
      <w:r w:rsidR="00B95E74">
        <w:rPr>
          <w:rFonts w:ascii="Arial" w:eastAsia="TimesNewRomanPSMT" w:hAnsi="Arial" w:cs="Arial"/>
          <w:sz w:val="22"/>
          <w:szCs w:val="22"/>
        </w:rPr>
        <w:t>s</w:t>
      </w:r>
      <w:r w:rsidRPr="007F6602">
        <w:rPr>
          <w:rFonts w:ascii="Arial" w:eastAsia="TimesNewRomanPSMT" w:hAnsi="Arial" w:cs="Arial"/>
          <w:sz w:val="22"/>
          <w:szCs w:val="22"/>
        </w:rPr>
        <w:t xml:space="preserve"> </w:t>
      </w:r>
      <w:r w:rsidR="00B95E74">
        <w:rPr>
          <w:rFonts w:ascii="Arial" w:eastAsia="TimesNewRomanPSMT" w:hAnsi="Arial" w:cs="Arial"/>
          <w:sz w:val="22"/>
          <w:szCs w:val="22"/>
        </w:rPr>
        <w:t>involved</w:t>
      </w:r>
    </w:p>
    <w:p w:rsidR="007F6602" w:rsidRPr="007F6602" w:rsidRDefault="007F6602" w:rsidP="007F6602">
      <w:pPr>
        <w:widowControl w:val="0"/>
        <w:numPr>
          <w:ilvl w:val="0"/>
          <w:numId w:val="2"/>
        </w:numPr>
        <w:tabs>
          <w:tab w:val="clear" w:pos="0"/>
          <w:tab w:val="num" w:pos="720"/>
        </w:tabs>
        <w:autoSpaceDE w:val="0"/>
        <w:rPr>
          <w:rFonts w:ascii="Arial" w:eastAsia="TimesNewRomanPSMT" w:hAnsi="Arial" w:cs="Arial"/>
          <w:sz w:val="22"/>
          <w:szCs w:val="22"/>
        </w:rPr>
      </w:pPr>
      <w:r w:rsidRPr="007F6602">
        <w:rPr>
          <w:rFonts w:ascii="Arial" w:eastAsia="TimesNewRomanPSMT" w:hAnsi="Arial" w:cs="Arial"/>
          <w:sz w:val="22"/>
          <w:szCs w:val="22"/>
        </w:rPr>
        <w:t>the vehicles</w:t>
      </w:r>
      <w:r w:rsidR="00B95E74">
        <w:rPr>
          <w:rFonts w:ascii="Arial" w:eastAsia="TimesNewRomanPSMT" w:hAnsi="Arial" w:cs="Arial"/>
          <w:sz w:val="22"/>
          <w:szCs w:val="22"/>
        </w:rPr>
        <w:t>’</w:t>
      </w:r>
      <w:r w:rsidRPr="007F6602">
        <w:rPr>
          <w:rFonts w:ascii="Arial" w:eastAsia="TimesNewRomanPSMT" w:hAnsi="Arial" w:cs="Arial"/>
          <w:sz w:val="22"/>
          <w:szCs w:val="22"/>
        </w:rPr>
        <w:t xml:space="preserve"> financing arrangements</w:t>
      </w:r>
    </w:p>
    <w:p w:rsidR="007F6602" w:rsidRPr="007F6602" w:rsidRDefault="007F6602" w:rsidP="007F6602">
      <w:pPr>
        <w:widowControl w:val="0"/>
        <w:numPr>
          <w:ilvl w:val="0"/>
          <w:numId w:val="2"/>
        </w:numPr>
        <w:tabs>
          <w:tab w:val="clear" w:pos="0"/>
          <w:tab w:val="num" w:pos="720"/>
        </w:tabs>
        <w:autoSpaceDE w:val="0"/>
        <w:rPr>
          <w:rFonts w:ascii="Arial" w:hAnsi="Arial" w:cs="Arial"/>
          <w:sz w:val="22"/>
          <w:szCs w:val="22"/>
        </w:rPr>
      </w:pPr>
      <w:r w:rsidRPr="007F6602">
        <w:rPr>
          <w:rFonts w:ascii="Arial" w:eastAsia="TimesNewRomanPSMT" w:hAnsi="Arial" w:cs="Arial"/>
          <w:sz w:val="22"/>
          <w:szCs w:val="22"/>
        </w:rPr>
        <w:t>the number of hours worked each year.</w:t>
      </w:r>
      <w:r w:rsidR="005D311E">
        <w:rPr>
          <w:rStyle w:val="FootnoteReference"/>
          <w:rFonts w:ascii="Arial" w:eastAsia="TimesNewRomanPSMT" w:hAnsi="Arial" w:cs="Arial"/>
          <w:sz w:val="22"/>
          <w:szCs w:val="22"/>
        </w:rPr>
        <w:footnoteReference w:id="1"/>
      </w:r>
    </w:p>
    <w:p w:rsidR="007F6602" w:rsidRPr="007F6602" w:rsidRDefault="007F6602" w:rsidP="007F6602">
      <w:pPr>
        <w:autoSpaceDE w:val="0"/>
        <w:rPr>
          <w:rFonts w:ascii="Arial" w:hAnsi="Arial" w:cs="Arial"/>
          <w:sz w:val="22"/>
          <w:szCs w:val="22"/>
        </w:rPr>
      </w:pPr>
    </w:p>
    <w:p w:rsidR="007F6602" w:rsidRPr="007F6602" w:rsidRDefault="007F6602" w:rsidP="007F6602">
      <w:pPr>
        <w:autoSpaceDE w:val="0"/>
        <w:rPr>
          <w:rFonts w:ascii="Arial" w:hAnsi="Arial" w:cs="Arial"/>
          <w:sz w:val="22"/>
          <w:szCs w:val="22"/>
        </w:rPr>
      </w:pPr>
      <w:r w:rsidRPr="007F6602">
        <w:rPr>
          <w:rFonts w:ascii="Arial" w:eastAsia="TimesNewRomanPSMT" w:hAnsi="Arial" w:cs="Arial"/>
          <w:sz w:val="22"/>
          <w:szCs w:val="22"/>
        </w:rPr>
        <w:t>The schedules also leave it up to owner drivers to determine their desired return on investment.</w:t>
      </w:r>
      <w:r w:rsidR="005D311E">
        <w:rPr>
          <w:rStyle w:val="FootnoteReference"/>
          <w:rFonts w:ascii="Arial" w:eastAsia="TimesNewRomanPSMT" w:hAnsi="Arial" w:cs="Arial"/>
          <w:sz w:val="22"/>
          <w:szCs w:val="22"/>
        </w:rPr>
        <w:footnoteReference w:id="2"/>
      </w:r>
    </w:p>
    <w:p w:rsidR="007F6602" w:rsidRPr="007F6602" w:rsidRDefault="007F6602" w:rsidP="007F6602">
      <w:pPr>
        <w:autoSpaceDE w:val="0"/>
        <w:rPr>
          <w:rFonts w:ascii="Arial" w:hAnsi="Arial" w:cs="Arial"/>
          <w:sz w:val="22"/>
          <w:szCs w:val="22"/>
        </w:rPr>
      </w:pPr>
    </w:p>
    <w:p w:rsidR="005D311E" w:rsidRDefault="007F6602" w:rsidP="007F6602">
      <w:pPr>
        <w:autoSpaceDE w:val="0"/>
        <w:rPr>
          <w:rFonts w:ascii="Arial" w:eastAsia="TimesNewRomanPSMT" w:hAnsi="Arial" w:cs="Arial"/>
          <w:sz w:val="22"/>
          <w:szCs w:val="22"/>
        </w:rPr>
      </w:pPr>
      <w:r w:rsidRPr="007F6602">
        <w:rPr>
          <w:rFonts w:ascii="Arial" w:eastAsia="TimesNewRomanPSMT" w:hAnsi="Arial" w:cs="Arial"/>
          <w:sz w:val="22"/>
          <w:szCs w:val="22"/>
        </w:rPr>
        <w:t xml:space="preserve">The ATA supports this approach to assisting owner drivers in their commercial dealings. </w:t>
      </w:r>
    </w:p>
    <w:p w:rsidR="005D311E" w:rsidRDefault="005D311E" w:rsidP="007F6602">
      <w:pPr>
        <w:autoSpaceDE w:val="0"/>
        <w:rPr>
          <w:rFonts w:ascii="Arial" w:eastAsia="TimesNewRomanPSMT" w:hAnsi="Arial" w:cs="Arial"/>
          <w:sz w:val="22"/>
          <w:szCs w:val="22"/>
        </w:rPr>
      </w:pPr>
    </w:p>
    <w:p w:rsidR="007F6602" w:rsidRPr="007F6602" w:rsidRDefault="005D311E" w:rsidP="007F6602">
      <w:pPr>
        <w:autoSpaceDE w:val="0"/>
        <w:rPr>
          <w:rFonts w:ascii="Arial" w:hAnsi="Arial" w:cs="Arial"/>
          <w:sz w:val="22"/>
          <w:szCs w:val="22"/>
        </w:rPr>
      </w:pPr>
      <w:r>
        <w:rPr>
          <w:rFonts w:ascii="Arial" w:eastAsia="TimesNewRomanPSMT" w:hAnsi="Arial" w:cs="Arial"/>
          <w:sz w:val="22"/>
          <w:szCs w:val="22"/>
        </w:rPr>
        <w:t>This submission raises three</w:t>
      </w:r>
      <w:r w:rsidR="007F6602" w:rsidRPr="007F6602">
        <w:rPr>
          <w:rFonts w:ascii="Arial" w:eastAsia="TimesNewRomanPSMT" w:hAnsi="Arial" w:cs="Arial"/>
          <w:sz w:val="22"/>
          <w:szCs w:val="22"/>
        </w:rPr>
        <w:t xml:space="preserve"> issues with respect to the regime: technical issue</w:t>
      </w:r>
      <w:r>
        <w:rPr>
          <w:rFonts w:ascii="Arial" w:eastAsia="TimesNewRomanPSMT" w:hAnsi="Arial" w:cs="Arial"/>
          <w:sz w:val="22"/>
          <w:szCs w:val="22"/>
        </w:rPr>
        <w:t>s</w:t>
      </w:r>
      <w:r w:rsidR="007F6602" w:rsidRPr="007F6602">
        <w:rPr>
          <w:rFonts w:ascii="Arial" w:eastAsia="TimesNewRomanPSMT" w:hAnsi="Arial" w:cs="Arial"/>
          <w:sz w:val="22"/>
          <w:szCs w:val="22"/>
        </w:rPr>
        <w:t xml:space="preserve"> concerning its handling of fuel tax credits </w:t>
      </w:r>
      <w:r>
        <w:rPr>
          <w:rFonts w:ascii="Arial" w:eastAsia="TimesNewRomanPSMT" w:hAnsi="Arial" w:cs="Arial"/>
          <w:sz w:val="22"/>
          <w:szCs w:val="22"/>
        </w:rPr>
        <w:t>(section 3) and recipient created tax invoices (section 4)</w:t>
      </w:r>
      <w:r w:rsidR="007F6602" w:rsidRPr="007F6602">
        <w:rPr>
          <w:rFonts w:ascii="Arial" w:eastAsia="TimesNewRomanPSMT" w:hAnsi="Arial" w:cs="Arial"/>
          <w:sz w:val="22"/>
          <w:szCs w:val="22"/>
        </w:rPr>
        <w:t xml:space="preserve"> and, </w:t>
      </w:r>
      <w:r w:rsidR="00250DC6">
        <w:rPr>
          <w:rFonts w:ascii="Arial" w:eastAsia="TimesNewRomanPSMT" w:hAnsi="Arial" w:cs="Arial"/>
          <w:sz w:val="22"/>
          <w:szCs w:val="22"/>
        </w:rPr>
        <w:t>more broadly</w:t>
      </w:r>
      <w:r w:rsidR="007F6602" w:rsidRPr="007F6602">
        <w:rPr>
          <w:rFonts w:ascii="Arial" w:eastAsia="TimesNewRomanPSMT" w:hAnsi="Arial" w:cs="Arial"/>
          <w:sz w:val="22"/>
          <w:szCs w:val="22"/>
        </w:rPr>
        <w:t xml:space="preserve">, the ATA's concerns about the possible </w:t>
      </w:r>
      <w:r w:rsidR="00DB683C">
        <w:rPr>
          <w:rFonts w:ascii="Arial" w:eastAsia="TimesNewRomanPSMT" w:hAnsi="Arial" w:cs="Arial"/>
          <w:sz w:val="22"/>
          <w:szCs w:val="22"/>
        </w:rPr>
        <w:t>introduction of fixed instead of indicative rates</w:t>
      </w:r>
      <w:r>
        <w:rPr>
          <w:rFonts w:ascii="Arial" w:eastAsia="TimesNewRomanPSMT" w:hAnsi="Arial" w:cs="Arial"/>
          <w:sz w:val="22"/>
          <w:szCs w:val="22"/>
        </w:rPr>
        <w:t xml:space="preserve"> (section 5).</w:t>
      </w:r>
      <w:r w:rsidR="007F6602" w:rsidRPr="007F6602">
        <w:rPr>
          <w:rFonts w:ascii="Arial" w:eastAsia="TimesNewRomanPSMT" w:hAnsi="Arial" w:cs="Arial"/>
          <w:sz w:val="22"/>
          <w:szCs w:val="22"/>
        </w:rPr>
        <w:t xml:space="preserve"> </w:t>
      </w:r>
    </w:p>
    <w:p w:rsidR="007F6602" w:rsidRPr="007F6602" w:rsidRDefault="007F6602" w:rsidP="007F6602">
      <w:pPr>
        <w:autoSpaceDE w:val="0"/>
        <w:rPr>
          <w:rFonts w:ascii="Arial" w:hAnsi="Arial" w:cs="Arial"/>
          <w:sz w:val="22"/>
          <w:szCs w:val="22"/>
        </w:rPr>
      </w:pPr>
    </w:p>
    <w:p w:rsidR="007F6602" w:rsidRPr="007F6602" w:rsidRDefault="007F6602" w:rsidP="007F6602">
      <w:pPr>
        <w:autoSpaceDE w:val="0"/>
        <w:rPr>
          <w:rFonts w:ascii="Arial" w:hAnsi="Arial" w:cs="Arial"/>
          <w:sz w:val="22"/>
          <w:szCs w:val="22"/>
        </w:rPr>
      </w:pPr>
    </w:p>
    <w:p w:rsidR="007F6602" w:rsidRPr="005D311E" w:rsidRDefault="007F6602" w:rsidP="005D311E">
      <w:pPr>
        <w:pStyle w:val="ListParagraph"/>
        <w:keepNext/>
        <w:numPr>
          <w:ilvl w:val="0"/>
          <w:numId w:val="16"/>
        </w:numPr>
        <w:autoSpaceDE w:val="0"/>
        <w:spacing w:after="0" w:line="240" w:lineRule="auto"/>
        <w:rPr>
          <w:rFonts w:ascii="Arial" w:hAnsi="Arial" w:cs="Arial"/>
          <w:b/>
          <w:bCs/>
          <w:sz w:val="22"/>
          <w:szCs w:val="22"/>
        </w:rPr>
      </w:pPr>
      <w:r w:rsidRPr="005D311E">
        <w:rPr>
          <w:rFonts w:ascii="Arial" w:eastAsia="TimesNewRomanPSMT" w:hAnsi="Arial" w:cs="Arial"/>
          <w:b/>
          <w:bCs/>
          <w:sz w:val="22"/>
          <w:szCs w:val="22"/>
        </w:rPr>
        <w:lastRenderedPageBreak/>
        <w:t>Inclusion of fuel tax credits in the indicative rates</w:t>
      </w:r>
    </w:p>
    <w:p w:rsidR="007F6602" w:rsidRPr="007F6602" w:rsidRDefault="007F6602" w:rsidP="005D311E">
      <w:pPr>
        <w:keepNext/>
        <w:autoSpaceDE w:val="0"/>
        <w:rPr>
          <w:rFonts w:ascii="Arial" w:hAnsi="Arial" w:cs="Arial"/>
          <w:b/>
          <w:bCs/>
          <w:sz w:val="22"/>
          <w:szCs w:val="22"/>
        </w:rPr>
      </w:pPr>
    </w:p>
    <w:p w:rsidR="007F6602" w:rsidRPr="007F6602" w:rsidRDefault="007F6602" w:rsidP="001E2F0D">
      <w:pPr>
        <w:keepNext/>
        <w:autoSpaceDE w:val="0"/>
        <w:rPr>
          <w:rFonts w:ascii="Arial" w:hAnsi="Arial" w:cs="Arial"/>
          <w:sz w:val="22"/>
          <w:szCs w:val="22"/>
        </w:rPr>
      </w:pPr>
      <w:r w:rsidRPr="007F6602">
        <w:rPr>
          <w:rFonts w:ascii="Arial" w:eastAsia="TimesNewRomanPSMT" w:hAnsi="Arial" w:cs="Arial"/>
          <w:sz w:val="22"/>
          <w:szCs w:val="22"/>
        </w:rPr>
        <w:t xml:space="preserve">Under the </w:t>
      </w:r>
      <w:r w:rsidRPr="007F6602">
        <w:rPr>
          <w:rFonts w:ascii="Arial" w:eastAsia="TimesNewRomanPSMT" w:hAnsi="Arial" w:cs="Arial"/>
          <w:i/>
          <w:iCs/>
          <w:sz w:val="22"/>
          <w:szCs w:val="22"/>
        </w:rPr>
        <w:t xml:space="preserve">Fuel Tax Act 2006 </w:t>
      </w:r>
      <w:r w:rsidRPr="007F6602">
        <w:rPr>
          <w:rFonts w:ascii="Arial" w:eastAsia="TimesNewRomanPSMT" w:hAnsi="Arial" w:cs="Arial"/>
          <w:sz w:val="22"/>
          <w:szCs w:val="22"/>
        </w:rPr>
        <w:t>(</w:t>
      </w:r>
      <w:r w:rsidR="00A853A1">
        <w:rPr>
          <w:rFonts w:ascii="Arial" w:eastAsia="TimesNewRomanPSMT" w:hAnsi="Arial" w:cs="Arial"/>
          <w:sz w:val="22"/>
          <w:szCs w:val="22"/>
        </w:rPr>
        <w:t>Cth</w:t>
      </w:r>
      <w:r w:rsidRPr="007F6602">
        <w:rPr>
          <w:rFonts w:ascii="Arial" w:eastAsia="TimesNewRomanPSMT" w:hAnsi="Arial" w:cs="Arial"/>
          <w:sz w:val="22"/>
          <w:szCs w:val="22"/>
        </w:rPr>
        <w:t>), on-road users of heavy vehicles weighing more than 4.5 tonnes can claim fuel tax credits through the BAS system. Heavy diesel vehicles used on public roads must meet one of four environmental criteria.</w:t>
      </w:r>
      <w:r w:rsidR="00250DC6">
        <w:rPr>
          <w:rStyle w:val="FootnoteReference"/>
          <w:rFonts w:ascii="Arial" w:eastAsia="TimesNewRomanPSMT" w:hAnsi="Arial" w:cs="Arial"/>
          <w:sz w:val="22"/>
          <w:szCs w:val="22"/>
        </w:rPr>
        <w:footnoteReference w:id="3"/>
      </w:r>
    </w:p>
    <w:p w:rsidR="007F6602" w:rsidRPr="007F6602" w:rsidRDefault="007F6602" w:rsidP="007F6602">
      <w:pPr>
        <w:autoSpaceDE w:val="0"/>
        <w:rPr>
          <w:rFonts w:ascii="Arial" w:hAnsi="Arial" w:cs="Arial"/>
          <w:sz w:val="22"/>
          <w:szCs w:val="22"/>
        </w:rPr>
      </w:pPr>
    </w:p>
    <w:p w:rsidR="007F6602" w:rsidRPr="007F6602" w:rsidRDefault="005D311E" w:rsidP="007F6602">
      <w:pPr>
        <w:autoSpaceDE w:val="0"/>
        <w:rPr>
          <w:rFonts w:ascii="Arial" w:hAnsi="Arial" w:cs="Arial"/>
          <w:sz w:val="22"/>
          <w:szCs w:val="22"/>
        </w:rPr>
      </w:pPr>
      <w:r>
        <w:rPr>
          <w:rFonts w:ascii="Arial" w:eastAsia="TimesNewRomanPSMT" w:hAnsi="Arial" w:cs="Arial"/>
          <w:sz w:val="22"/>
          <w:szCs w:val="22"/>
        </w:rPr>
        <w:t xml:space="preserve">From 1 August 2016 to </w:t>
      </w:r>
      <w:r w:rsidR="007F6602" w:rsidRPr="007F6602">
        <w:rPr>
          <w:rFonts w:ascii="Arial" w:eastAsia="TimesNewRomanPSMT" w:hAnsi="Arial" w:cs="Arial"/>
          <w:sz w:val="22"/>
          <w:szCs w:val="22"/>
        </w:rPr>
        <w:t xml:space="preserve">31 January 2017, the fuel tax credit rate for fuel used </w:t>
      </w:r>
      <w:r w:rsidR="00A41445">
        <w:rPr>
          <w:rFonts w:ascii="Arial" w:eastAsia="TimesNewRomanPSMT" w:hAnsi="Arial" w:cs="Arial"/>
          <w:sz w:val="22"/>
          <w:szCs w:val="22"/>
        </w:rPr>
        <w:t>for</w:t>
      </w:r>
      <w:r w:rsidR="007F6602" w:rsidRPr="007F6602">
        <w:rPr>
          <w:rFonts w:ascii="Arial" w:eastAsia="TimesNewRomanPSMT" w:hAnsi="Arial" w:cs="Arial"/>
          <w:sz w:val="22"/>
          <w:szCs w:val="22"/>
        </w:rPr>
        <w:t xml:space="preserve"> travel</w:t>
      </w:r>
      <w:r w:rsidR="00A41445">
        <w:rPr>
          <w:rFonts w:ascii="Arial" w:eastAsia="TimesNewRomanPSMT" w:hAnsi="Arial" w:cs="Arial"/>
          <w:sz w:val="22"/>
          <w:szCs w:val="22"/>
        </w:rPr>
        <w:t>ling</w:t>
      </w:r>
      <w:r w:rsidR="007F6602" w:rsidRPr="007F6602">
        <w:rPr>
          <w:rFonts w:ascii="Arial" w:eastAsia="TimesNewRomanPSMT" w:hAnsi="Arial" w:cs="Arial"/>
          <w:sz w:val="22"/>
          <w:szCs w:val="22"/>
        </w:rPr>
        <w:t xml:space="preserve"> on public road</w:t>
      </w:r>
      <w:r>
        <w:rPr>
          <w:rFonts w:ascii="Arial" w:eastAsia="TimesNewRomanPSMT" w:hAnsi="Arial" w:cs="Arial"/>
          <w:sz w:val="22"/>
          <w:szCs w:val="22"/>
        </w:rPr>
        <w:t>s</w:t>
      </w:r>
      <w:r w:rsidR="007F6602" w:rsidRPr="007F6602">
        <w:rPr>
          <w:rFonts w:ascii="Arial" w:eastAsia="TimesNewRomanPSMT" w:hAnsi="Arial" w:cs="Arial"/>
          <w:sz w:val="22"/>
          <w:szCs w:val="22"/>
        </w:rPr>
        <w:t xml:space="preserve"> was 13.7 cents per litre. The rate will increase </w:t>
      </w:r>
      <w:r w:rsidR="00250DC6">
        <w:rPr>
          <w:rFonts w:ascii="Arial" w:eastAsia="TimesNewRomanPSMT" w:hAnsi="Arial" w:cs="Arial"/>
          <w:sz w:val="22"/>
          <w:szCs w:val="22"/>
        </w:rPr>
        <w:t xml:space="preserve">to 14.2 cents per litre </w:t>
      </w:r>
      <w:r w:rsidR="007F6602" w:rsidRPr="007F6602">
        <w:rPr>
          <w:rFonts w:ascii="Arial" w:eastAsia="TimesNewRomanPSMT" w:hAnsi="Arial" w:cs="Arial"/>
          <w:sz w:val="22"/>
          <w:szCs w:val="22"/>
        </w:rPr>
        <w:t xml:space="preserve">on 1 February 2017 to reflect the biannual indexation of the fuel tax rate. </w:t>
      </w:r>
    </w:p>
    <w:p w:rsidR="007F6602" w:rsidRPr="007F6602" w:rsidRDefault="007F6602" w:rsidP="007F6602">
      <w:pPr>
        <w:autoSpaceDE w:val="0"/>
        <w:rPr>
          <w:rFonts w:ascii="Arial" w:hAnsi="Arial" w:cs="Arial"/>
          <w:sz w:val="22"/>
          <w:szCs w:val="22"/>
        </w:rPr>
      </w:pPr>
    </w:p>
    <w:p w:rsidR="007F6602" w:rsidRPr="007F6602" w:rsidRDefault="00486AE6" w:rsidP="007F6602">
      <w:pPr>
        <w:autoSpaceDE w:val="0"/>
        <w:rPr>
          <w:rFonts w:ascii="Arial" w:hAnsi="Arial" w:cs="Arial"/>
          <w:sz w:val="22"/>
          <w:szCs w:val="22"/>
        </w:rPr>
      </w:pPr>
      <w:r>
        <w:rPr>
          <w:rFonts w:ascii="Arial" w:eastAsia="TimesNewRomanPSMT" w:hAnsi="Arial" w:cs="Arial"/>
          <w:sz w:val="22"/>
          <w:szCs w:val="22"/>
        </w:rPr>
        <w:t>T</w:t>
      </w:r>
      <w:r w:rsidR="007F6602" w:rsidRPr="007F6602">
        <w:rPr>
          <w:rFonts w:ascii="Arial" w:eastAsia="TimesNewRomanPSMT" w:hAnsi="Arial" w:cs="Arial"/>
          <w:sz w:val="22"/>
          <w:szCs w:val="22"/>
        </w:rPr>
        <w:t xml:space="preserve">hese tax credits are a vital part of the cost structure of many small trucking businesses, and are generally factored into </w:t>
      </w:r>
      <w:r>
        <w:rPr>
          <w:rFonts w:ascii="Arial" w:eastAsia="TimesNewRomanPSMT" w:hAnsi="Arial" w:cs="Arial"/>
          <w:sz w:val="22"/>
          <w:szCs w:val="22"/>
        </w:rPr>
        <w:t xml:space="preserve">their </w:t>
      </w:r>
      <w:r w:rsidR="007F6602" w:rsidRPr="007F6602">
        <w:rPr>
          <w:rFonts w:ascii="Arial" w:eastAsia="TimesNewRomanPSMT" w:hAnsi="Arial" w:cs="Arial"/>
          <w:sz w:val="22"/>
          <w:szCs w:val="22"/>
        </w:rPr>
        <w:t xml:space="preserve">freight rates. </w:t>
      </w:r>
    </w:p>
    <w:p w:rsidR="007F6602" w:rsidRPr="007F6602" w:rsidRDefault="007F6602" w:rsidP="007F6602">
      <w:pPr>
        <w:autoSpaceDE w:val="0"/>
        <w:rPr>
          <w:rFonts w:ascii="Arial" w:hAnsi="Arial" w:cs="Arial"/>
          <w:sz w:val="22"/>
          <w:szCs w:val="22"/>
        </w:rPr>
      </w:pPr>
    </w:p>
    <w:p w:rsidR="007F6602" w:rsidRPr="007F6602" w:rsidRDefault="007F6602" w:rsidP="007F6602">
      <w:pPr>
        <w:autoSpaceDE w:val="0"/>
        <w:rPr>
          <w:rFonts w:ascii="Arial" w:hAnsi="Arial" w:cs="Arial"/>
          <w:sz w:val="22"/>
          <w:szCs w:val="22"/>
        </w:rPr>
      </w:pPr>
      <w:r w:rsidRPr="007F6602">
        <w:rPr>
          <w:rFonts w:ascii="Arial" w:eastAsia="TimesNewRomanPSMT" w:hAnsi="Arial" w:cs="Arial"/>
          <w:sz w:val="22"/>
          <w:szCs w:val="22"/>
        </w:rPr>
        <w:t xml:space="preserve">The rates and cost schedules </w:t>
      </w:r>
      <w:r w:rsidR="00486AE6">
        <w:rPr>
          <w:rFonts w:ascii="Arial" w:eastAsia="TimesNewRomanPSMT" w:hAnsi="Arial" w:cs="Arial"/>
          <w:sz w:val="22"/>
          <w:szCs w:val="22"/>
        </w:rPr>
        <w:t xml:space="preserve">issued under the Act </w:t>
      </w:r>
      <w:r w:rsidRPr="007F6602">
        <w:rPr>
          <w:rFonts w:ascii="Arial" w:eastAsia="TimesNewRomanPSMT" w:hAnsi="Arial" w:cs="Arial"/>
          <w:sz w:val="22"/>
          <w:szCs w:val="22"/>
        </w:rPr>
        <w:t xml:space="preserve">do not </w:t>
      </w:r>
      <w:r w:rsidR="00486AE6">
        <w:rPr>
          <w:rFonts w:ascii="Arial" w:eastAsia="TimesNewRomanPSMT" w:hAnsi="Arial" w:cs="Arial"/>
          <w:sz w:val="22"/>
          <w:szCs w:val="22"/>
        </w:rPr>
        <w:t xml:space="preserve">provide owner drivers with advice on the potential impact of fuel tax credits on their cost structures. The fuel prices for the vehicles potentially eligible for </w:t>
      </w:r>
      <w:r w:rsidR="00B378C0">
        <w:rPr>
          <w:rFonts w:ascii="Arial" w:eastAsia="TimesNewRomanPSMT" w:hAnsi="Arial" w:cs="Arial"/>
          <w:sz w:val="22"/>
          <w:szCs w:val="22"/>
        </w:rPr>
        <w:t>the</w:t>
      </w:r>
      <w:r w:rsidR="00486AE6">
        <w:rPr>
          <w:rFonts w:ascii="Arial" w:eastAsia="TimesNewRomanPSMT" w:hAnsi="Arial" w:cs="Arial"/>
          <w:sz w:val="22"/>
          <w:szCs w:val="22"/>
        </w:rPr>
        <w:t xml:space="preserve"> credits are based on ex-GST diesel prices only.</w:t>
      </w:r>
      <w:r w:rsidR="00B378C0">
        <w:rPr>
          <w:rStyle w:val="FootnoteReference"/>
          <w:rFonts w:ascii="Arial" w:eastAsia="TimesNewRomanPSMT" w:hAnsi="Arial" w:cs="Arial"/>
          <w:sz w:val="22"/>
          <w:szCs w:val="22"/>
        </w:rPr>
        <w:footnoteReference w:id="4"/>
      </w:r>
      <w:r w:rsidR="00486AE6">
        <w:rPr>
          <w:rFonts w:ascii="Arial" w:eastAsia="TimesNewRomanPSMT" w:hAnsi="Arial" w:cs="Arial"/>
          <w:sz w:val="22"/>
          <w:szCs w:val="22"/>
        </w:rPr>
        <w:t xml:space="preserve"> </w:t>
      </w:r>
    </w:p>
    <w:p w:rsidR="007F6602" w:rsidRPr="007F6602" w:rsidRDefault="007F6602" w:rsidP="007F6602">
      <w:pPr>
        <w:autoSpaceDE w:val="0"/>
        <w:rPr>
          <w:rFonts w:ascii="Arial" w:hAnsi="Arial" w:cs="Arial"/>
          <w:sz w:val="22"/>
          <w:szCs w:val="22"/>
        </w:rPr>
      </w:pPr>
    </w:p>
    <w:p w:rsidR="007F6602" w:rsidRPr="007F6602" w:rsidRDefault="00B378C0" w:rsidP="007F6602">
      <w:pPr>
        <w:autoSpaceDE w:val="0"/>
        <w:rPr>
          <w:rFonts w:ascii="Arial" w:hAnsi="Arial" w:cs="Arial"/>
          <w:sz w:val="22"/>
          <w:szCs w:val="22"/>
        </w:rPr>
      </w:pPr>
      <w:r>
        <w:rPr>
          <w:rFonts w:ascii="Arial" w:eastAsia="TimesNewRomanPSMT" w:hAnsi="Arial" w:cs="Arial"/>
          <w:sz w:val="22"/>
          <w:szCs w:val="22"/>
        </w:rPr>
        <w:t>To increase their usefulness, t</w:t>
      </w:r>
      <w:r w:rsidR="007F6602" w:rsidRPr="007F6602">
        <w:rPr>
          <w:rFonts w:ascii="Arial" w:eastAsia="TimesNewRomanPSMT" w:hAnsi="Arial" w:cs="Arial"/>
          <w:sz w:val="22"/>
          <w:szCs w:val="22"/>
        </w:rPr>
        <w:t xml:space="preserve">he </w:t>
      </w:r>
      <w:r>
        <w:rPr>
          <w:rFonts w:ascii="Arial" w:eastAsia="TimesNewRomanPSMT" w:hAnsi="Arial" w:cs="Arial"/>
          <w:sz w:val="22"/>
          <w:szCs w:val="22"/>
        </w:rPr>
        <w:t xml:space="preserve">rates and costs </w:t>
      </w:r>
      <w:r w:rsidR="007F6602" w:rsidRPr="007F6602">
        <w:rPr>
          <w:rFonts w:ascii="Arial" w:eastAsia="TimesNewRomanPSMT" w:hAnsi="Arial" w:cs="Arial"/>
          <w:sz w:val="22"/>
          <w:szCs w:val="22"/>
        </w:rPr>
        <w:t>schedules</w:t>
      </w:r>
      <w:r>
        <w:rPr>
          <w:rFonts w:ascii="Arial" w:eastAsia="TimesNewRomanPSMT" w:hAnsi="Arial" w:cs="Arial"/>
          <w:sz w:val="22"/>
          <w:szCs w:val="22"/>
        </w:rPr>
        <w:t xml:space="preserve"> should be amended to include information about fuel tax credits</w:t>
      </w:r>
      <w:r w:rsidR="007F6602" w:rsidRPr="007F6602">
        <w:rPr>
          <w:rFonts w:ascii="Arial" w:eastAsia="TimesNewRomanPSMT" w:hAnsi="Arial" w:cs="Arial"/>
          <w:sz w:val="22"/>
          <w:szCs w:val="22"/>
        </w:rPr>
        <w:t xml:space="preserve">. The schedules should warn owner drivers of the environmental criteria </w:t>
      </w:r>
      <w:r>
        <w:rPr>
          <w:rFonts w:ascii="Arial" w:eastAsia="TimesNewRomanPSMT" w:hAnsi="Arial" w:cs="Arial"/>
          <w:sz w:val="22"/>
          <w:szCs w:val="22"/>
        </w:rPr>
        <w:t xml:space="preserve">for heavy diesel vehicles </w:t>
      </w:r>
      <w:r w:rsidR="007F6602" w:rsidRPr="007F6602">
        <w:rPr>
          <w:rFonts w:ascii="Arial" w:eastAsia="TimesNewRomanPSMT" w:hAnsi="Arial" w:cs="Arial"/>
          <w:sz w:val="22"/>
          <w:szCs w:val="22"/>
        </w:rPr>
        <w:t>and the need to be aware of t</w:t>
      </w:r>
      <w:r>
        <w:rPr>
          <w:rFonts w:ascii="Arial" w:eastAsia="TimesNewRomanPSMT" w:hAnsi="Arial" w:cs="Arial"/>
          <w:sz w:val="22"/>
          <w:szCs w:val="22"/>
        </w:rPr>
        <w:t>he current fuel tax credit rate, given it can vary up to three times per year.</w:t>
      </w:r>
    </w:p>
    <w:p w:rsidR="007F6602" w:rsidRDefault="007F6602" w:rsidP="007F6602">
      <w:pPr>
        <w:autoSpaceDE w:val="0"/>
        <w:rPr>
          <w:rFonts w:ascii="Arial" w:hAnsi="Arial" w:cs="Arial"/>
          <w:sz w:val="22"/>
          <w:szCs w:val="22"/>
        </w:rPr>
      </w:pPr>
    </w:p>
    <w:p w:rsidR="00250DC6" w:rsidRPr="007F6602" w:rsidRDefault="00250DC6" w:rsidP="007F6602">
      <w:pPr>
        <w:autoSpaceDE w:val="0"/>
        <w:rPr>
          <w:rFonts w:ascii="Arial" w:hAnsi="Arial" w:cs="Arial"/>
          <w:sz w:val="22"/>
          <w:szCs w:val="22"/>
        </w:rPr>
      </w:pPr>
      <w:r>
        <w:rPr>
          <w:rFonts w:ascii="Arial" w:hAnsi="Arial" w:cs="Arial"/>
          <w:sz w:val="22"/>
          <w:szCs w:val="22"/>
        </w:rPr>
        <w:t>The Victorian owner driver information booklet should also be updated.</w:t>
      </w:r>
    </w:p>
    <w:p w:rsidR="007F6602" w:rsidRDefault="007F6602" w:rsidP="007F6602">
      <w:pPr>
        <w:autoSpaceDE w:val="0"/>
        <w:rPr>
          <w:rFonts w:ascii="Arial" w:hAnsi="Arial" w:cs="Arial"/>
          <w:sz w:val="22"/>
          <w:szCs w:val="22"/>
        </w:rPr>
      </w:pPr>
    </w:p>
    <w:p w:rsidR="00287270" w:rsidRPr="007F6602" w:rsidRDefault="00287270" w:rsidP="007F6602">
      <w:pPr>
        <w:autoSpaceDE w:val="0"/>
        <w:rPr>
          <w:rFonts w:ascii="Arial" w:hAnsi="Arial" w:cs="Arial"/>
          <w:sz w:val="22"/>
          <w:szCs w:val="22"/>
        </w:rPr>
      </w:pPr>
    </w:p>
    <w:p w:rsidR="007F6602" w:rsidRPr="007F6602" w:rsidRDefault="007F6602" w:rsidP="007F6602">
      <w:pPr>
        <w:autoSpaceDE w:val="0"/>
        <w:rPr>
          <w:rFonts w:ascii="Arial" w:hAnsi="Arial" w:cs="Arial"/>
          <w:b/>
          <w:bCs/>
          <w:sz w:val="22"/>
          <w:szCs w:val="22"/>
        </w:rPr>
      </w:pPr>
      <w:r w:rsidRPr="007F6602">
        <w:rPr>
          <w:rFonts w:ascii="Arial" w:eastAsia="TimesNewRomanPSMT" w:hAnsi="Arial" w:cs="Arial"/>
          <w:b/>
          <w:bCs/>
          <w:sz w:val="22"/>
          <w:szCs w:val="22"/>
        </w:rPr>
        <w:t>Recommendation 1</w:t>
      </w:r>
    </w:p>
    <w:p w:rsidR="007F6602" w:rsidRPr="007F6602" w:rsidRDefault="007F6602" w:rsidP="007F6602">
      <w:pPr>
        <w:autoSpaceDE w:val="0"/>
        <w:rPr>
          <w:rFonts w:ascii="Arial" w:hAnsi="Arial" w:cs="Arial"/>
          <w:b/>
          <w:bCs/>
          <w:sz w:val="22"/>
          <w:szCs w:val="22"/>
        </w:rPr>
      </w:pPr>
    </w:p>
    <w:p w:rsidR="007F6602" w:rsidRPr="007F6602" w:rsidRDefault="007F6602" w:rsidP="007F6602">
      <w:pPr>
        <w:autoSpaceDE w:val="0"/>
        <w:rPr>
          <w:rFonts w:ascii="Arial" w:hAnsi="Arial" w:cs="Arial"/>
          <w:sz w:val="22"/>
          <w:szCs w:val="22"/>
        </w:rPr>
      </w:pPr>
      <w:r w:rsidRPr="007F6602">
        <w:rPr>
          <w:rFonts w:ascii="Arial" w:eastAsia="TimesNewRomanPSMT" w:hAnsi="Arial" w:cs="Arial"/>
          <w:sz w:val="22"/>
          <w:szCs w:val="22"/>
        </w:rPr>
        <w:t xml:space="preserve">The rates and cost schedules for vehicles weighing more than 4.5 tonnes should </w:t>
      </w:r>
      <w:r w:rsidR="00B378C0">
        <w:rPr>
          <w:rFonts w:ascii="Arial" w:eastAsia="TimesNewRomanPSMT" w:hAnsi="Arial" w:cs="Arial"/>
          <w:sz w:val="22"/>
          <w:szCs w:val="22"/>
        </w:rPr>
        <w:t>include information about fuel tax credits</w:t>
      </w:r>
      <w:r w:rsidRPr="007F6602">
        <w:rPr>
          <w:rFonts w:ascii="Arial" w:eastAsia="TimesNewRomanPSMT" w:hAnsi="Arial" w:cs="Arial"/>
          <w:sz w:val="22"/>
          <w:szCs w:val="22"/>
        </w:rPr>
        <w:t>.</w:t>
      </w:r>
    </w:p>
    <w:p w:rsidR="007F6602" w:rsidRDefault="007F6602" w:rsidP="00233B71">
      <w:pPr>
        <w:pStyle w:val="BodyText1"/>
        <w:spacing w:before="0"/>
        <w:rPr>
          <w:rFonts w:cs="Arial"/>
          <w:sz w:val="22"/>
          <w:szCs w:val="22"/>
        </w:rPr>
      </w:pPr>
    </w:p>
    <w:p w:rsidR="00250DC6" w:rsidRPr="007F6602" w:rsidRDefault="00250DC6" w:rsidP="00250DC6">
      <w:pPr>
        <w:autoSpaceDE w:val="0"/>
        <w:rPr>
          <w:rFonts w:ascii="Arial" w:hAnsi="Arial" w:cs="Arial"/>
          <w:sz w:val="22"/>
          <w:szCs w:val="22"/>
        </w:rPr>
      </w:pPr>
      <w:r>
        <w:rPr>
          <w:rFonts w:ascii="Arial" w:hAnsi="Arial" w:cs="Arial"/>
          <w:sz w:val="22"/>
          <w:szCs w:val="22"/>
        </w:rPr>
        <w:t>The Victorian owner driver information booklet should also be updated.</w:t>
      </w:r>
    </w:p>
    <w:p w:rsidR="00250DC6" w:rsidRDefault="00250DC6" w:rsidP="00233B71">
      <w:pPr>
        <w:pStyle w:val="BodyText1"/>
        <w:spacing w:before="0"/>
        <w:rPr>
          <w:rFonts w:cs="Arial"/>
          <w:sz w:val="22"/>
          <w:szCs w:val="22"/>
        </w:rPr>
      </w:pPr>
    </w:p>
    <w:p w:rsidR="00A67EB3" w:rsidRDefault="00A67EB3" w:rsidP="00233B71">
      <w:pPr>
        <w:pStyle w:val="BodyText1"/>
        <w:spacing w:before="0"/>
        <w:rPr>
          <w:rFonts w:cs="Arial"/>
          <w:sz w:val="22"/>
          <w:szCs w:val="22"/>
        </w:rPr>
      </w:pPr>
    </w:p>
    <w:p w:rsidR="005D311E" w:rsidRPr="005D311E" w:rsidRDefault="005D311E" w:rsidP="005D311E">
      <w:pPr>
        <w:pStyle w:val="BodyText1"/>
        <w:numPr>
          <w:ilvl w:val="0"/>
          <w:numId w:val="16"/>
        </w:numPr>
        <w:spacing w:before="0"/>
        <w:rPr>
          <w:rFonts w:cs="Arial"/>
          <w:b/>
          <w:sz w:val="22"/>
          <w:szCs w:val="22"/>
        </w:rPr>
      </w:pPr>
      <w:r w:rsidRPr="005D311E">
        <w:rPr>
          <w:rFonts w:cs="Arial"/>
          <w:b/>
          <w:sz w:val="22"/>
          <w:szCs w:val="22"/>
        </w:rPr>
        <w:t>Recipient created tax invoices</w:t>
      </w:r>
    </w:p>
    <w:p w:rsidR="005D311E" w:rsidRDefault="005D311E" w:rsidP="00B378C0">
      <w:pPr>
        <w:pStyle w:val="BodyText1"/>
        <w:spacing w:before="0"/>
        <w:rPr>
          <w:rFonts w:cs="Arial"/>
          <w:sz w:val="22"/>
          <w:szCs w:val="22"/>
        </w:rPr>
      </w:pPr>
    </w:p>
    <w:p w:rsidR="00B378C0" w:rsidRDefault="00164429" w:rsidP="00B378C0">
      <w:pPr>
        <w:pStyle w:val="BodyText1"/>
        <w:spacing w:before="0"/>
        <w:rPr>
          <w:rFonts w:cs="Arial"/>
          <w:sz w:val="22"/>
          <w:szCs w:val="22"/>
        </w:rPr>
      </w:pPr>
      <w:r>
        <w:rPr>
          <w:rFonts w:cs="Arial"/>
          <w:sz w:val="22"/>
          <w:szCs w:val="22"/>
        </w:rPr>
        <w:t>Section 14 of the Owner Drivers and Forestry Contractors Code of Practice warns that a contract term allowing a hirer to pay an owner driver more than 30 days after the presentation of a properly completed invoice is likely to be</w:t>
      </w:r>
      <w:r w:rsidR="00A853A1">
        <w:rPr>
          <w:rFonts w:cs="Arial"/>
          <w:sz w:val="22"/>
          <w:szCs w:val="22"/>
        </w:rPr>
        <w:t xml:space="preserve"> considered unjust under s </w:t>
      </w:r>
      <w:r>
        <w:rPr>
          <w:rFonts w:cs="Arial"/>
          <w:sz w:val="22"/>
          <w:szCs w:val="22"/>
        </w:rPr>
        <w:t>44(1)(g) of the principal Act.</w:t>
      </w:r>
    </w:p>
    <w:p w:rsidR="00164429" w:rsidRDefault="00164429" w:rsidP="00B378C0">
      <w:pPr>
        <w:pStyle w:val="BodyText1"/>
        <w:spacing w:before="0"/>
        <w:rPr>
          <w:rFonts w:cs="Arial"/>
          <w:sz w:val="22"/>
          <w:szCs w:val="22"/>
        </w:rPr>
      </w:pPr>
    </w:p>
    <w:p w:rsidR="00164429" w:rsidRDefault="00164429" w:rsidP="00B378C0">
      <w:pPr>
        <w:pStyle w:val="BodyText1"/>
        <w:spacing w:before="0"/>
        <w:rPr>
          <w:rFonts w:cs="Arial"/>
          <w:sz w:val="22"/>
          <w:szCs w:val="22"/>
        </w:rPr>
      </w:pPr>
      <w:r>
        <w:rPr>
          <w:rFonts w:cs="Arial"/>
          <w:sz w:val="22"/>
          <w:szCs w:val="22"/>
        </w:rPr>
        <w:t xml:space="preserve">The ATA strongly supports this guidance, and has separately argued that 30 day payment terms for small trucking businesses should be mandated through a code of conduct under Part IVB the </w:t>
      </w:r>
      <w:r w:rsidRPr="00164429">
        <w:rPr>
          <w:rFonts w:cs="Arial"/>
          <w:i/>
          <w:sz w:val="22"/>
          <w:szCs w:val="22"/>
        </w:rPr>
        <w:t>Competition and Consumer Act</w:t>
      </w:r>
      <w:r w:rsidR="00A853A1">
        <w:rPr>
          <w:rFonts w:cs="Arial"/>
          <w:sz w:val="22"/>
          <w:szCs w:val="22"/>
        </w:rPr>
        <w:t xml:space="preserve"> (C</w:t>
      </w:r>
      <w:r>
        <w:rPr>
          <w:rFonts w:cs="Arial"/>
          <w:sz w:val="22"/>
          <w:szCs w:val="22"/>
        </w:rPr>
        <w:t>th).</w:t>
      </w:r>
      <w:r>
        <w:rPr>
          <w:rStyle w:val="FootnoteReference"/>
          <w:rFonts w:cs="Arial"/>
          <w:sz w:val="22"/>
          <w:szCs w:val="22"/>
        </w:rPr>
        <w:footnoteReference w:id="5"/>
      </w:r>
    </w:p>
    <w:p w:rsidR="00E32A3B" w:rsidRDefault="00E32A3B" w:rsidP="00233B71">
      <w:pPr>
        <w:pStyle w:val="BodyText1"/>
        <w:spacing w:before="0"/>
        <w:rPr>
          <w:rFonts w:cs="Arial"/>
          <w:sz w:val="22"/>
          <w:szCs w:val="22"/>
        </w:rPr>
      </w:pPr>
    </w:p>
    <w:p w:rsidR="00164429" w:rsidRDefault="00164429" w:rsidP="00233B71">
      <w:pPr>
        <w:pStyle w:val="BodyText1"/>
        <w:spacing w:before="0"/>
        <w:rPr>
          <w:rFonts w:cs="Arial"/>
          <w:sz w:val="22"/>
          <w:szCs w:val="22"/>
        </w:rPr>
      </w:pPr>
      <w:r>
        <w:rPr>
          <w:rFonts w:cs="Arial"/>
          <w:sz w:val="22"/>
          <w:szCs w:val="22"/>
        </w:rPr>
        <w:lastRenderedPageBreak/>
        <w:t xml:space="preserve">The guidance </w:t>
      </w:r>
      <w:r w:rsidR="008216E1">
        <w:rPr>
          <w:rFonts w:cs="Arial"/>
          <w:sz w:val="22"/>
          <w:szCs w:val="22"/>
        </w:rPr>
        <w:t>in the Victorian code is</w:t>
      </w:r>
      <w:r>
        <w:rPr>
          <w:rFonts w:cs="Arial"/>
          <w:sz w:val="22"/>
          <w:szCs w:val="22"/>
        </w:rPr>
        <w:t xml:space="preserve"> written on the basis that owner drivers issue their own tax invoices. Commercially, however, some large hirers choose to issue recipient created tax invoices (RCTIs)</w:t>
      </w:r>
      <w:r w:rsidR="005F639E">
        <w:rPr>
          <w:rFonts w:cs="Arial"/>
          <w:sz w:val="22"/>
          <w:szCs w:val="22"/>
        </w:rPr>
        <w:t xml:space="preserve">. </w:t>
      </w:r>
    </w:p>
    <w:p w:rsidR="005F639E" w:rsidRDefault="005F639E" w:rsidP="00233B71">
      <w:pPr>
        <w:pStyle w:val="BodyText1"/>
        <w:spacing w:before="0"/>
        <w:rPr>
          <w:rFonts w:cs="Arial"/>
          <w:sz w:val="22"/>
          <w:szCs w:val="22"/>
        </w:rPr>
      </w:pPr>
    </w:p>
    <w:p w:rsidR="005F639E" w:rsidRDefault="005F639E" w:rsidP="00233B71">
      <w:pPr>
        <w:pStyle w:val="BodyText1"/>
        <w:spacing w:before="0"/>
        <w:rPr>
          <w:rFonts w:cs="Arial"/>
          <w:sz w:val="22"/>
          <w:szCs w:val="22"/>
        </w:rPr>
      </w:pPr>
      <w:r>
        <w:rPr>
          <w:rFonts w:cs="Arial"/>
          <w:sz w:val="22"/>
          <w:szCs w:val="22"/>
        </w:rPr>
        <w:t>The use of RCTIs could enable hirers to artificially extend their payment terms by delaying the issue of</w:t>
      </w:r>
      <w:r w:rsidR="008216E1">
        <w:rPr>
          <w:rFonts w:cs="Arial"/>
          <w:sz w:val="22"/>
          <w:szCs w:val="22"/>
        </w:rPr>
        <w:t xml:space="preserve"> those</w:t>
      </w:r>
      <w:r>
        <w:rPr>
          <w:rFonts w:cs="Arial"/>
          <w:sz w:val="22"/>
          <w:szCs w:val="22"/>
        </w:rPr>
        <w:t xml:space="preserve"> invoices.</w:t>
      </w:r>
    </w:p>
    <w:p w:rsidR="005F639E" w:rsidRDefault="005F639E" w:rsidP="00233B71">
      <w:pPr>
        <w:pStyle w:val="BodyText1"/>
        <w:spacing w:before="0"/>
        <w:rPr>
          <w:rFonts w:cs="Arial"/>
          <w:sz w:val="22"/>
          <w:szCs w:val="22"/>
        </w:rPr>
      </w:pPr>
    </w:p>
    <w:p w:rsidR="005F639E" w:rsidRDefault="005F639E" w:rsidP="00233B71">
      <w:pPr>
        <w:pStyle w:val="BodyText1"/>
        <w:spacing w:before="0"/>
        <w:rPr>
          <w:rFonts w:cs="Arial"/>
          <w:sz w:val="22"/>
          <w:szCs w:val="22"/>
        </w:rPr>
      </w:pPr>
      <w:r>
        <w:rPr>
          <w:rFonts w:cs="Arial"/>
          <w:sz w:val="22"/>
          <w:szCs w:val="22"/>
        </w:rPr>
        <w:t>The ATA considers that s 14 of the code should be amended to provide guidance warning against this practice.</w:t>
      </w:r>
    </w:p>
    <w:p w:rsidR="005F639E" w:rsidRDefault="005F639E" w:rsidP="00233B71">
      <w:pPr>
        <w:pStyle w:val="BodyText1"/>
        <w:spacing w:before="0"/>
        <w:rPr>
          <w:rFonts w:cs="Arial"/>
          <w:sz w:val="22"/>
          <w:szCs w:val="22"/>
        </w:rPr>
      </w:pPr>
    </w:p>
    <w:p w:rsidR="005F639E" w:rsidRDefault="005F639E" w:rsidP="00233B71">
      <w:pPr>
        <w:pStyle w:val="BodyText1"/>
        <w:spacing w:before="0"/>
        <w:rPr>
          <w:rFonts w:cs="Arial"/>
          <w:sz w:val="22"/>
          <w:szCs w:val="22"/>
        </w:rPr>
      </w:pPr>
    </w:p>
    <w:p w:rsidR="005F639E" w:rsidRPr="005F639E" w:rsidRDefault="005F639E" w:rsidP="00233B71">
      <w:pPr>
        <w:pStyle w:val="BodyText1"/>
        <w:spacing w:before="0"/>
        <w:rPr>
          <w:rFonts w:cs="Arial"/>
          <w:b/>
          <w:sz w:val="22"/>
          <w:szCs w:val="22"/>
        </w:rPr>
      </w:pPr>
      <w:r w:rsidRPr="005F639E">
        <w:rPr>
          <w:rFonts w:cs="Arial"/>
          <w:b/>
          <w:sz w:val="22"/>
          <w:szCs w:val="22"/>
        </w:rPr>
        <w:t>Recommendation 2</w:t>
      </w:r>
    </w:p>
    <w:p w:rsidR="005F639E" w:rsidRDefault="005F639E" w:rsidP="00233B71">
      <w:pPr>
        <w:pStyle w:val="BodyText1"/>
        <w:spacing w:before="0"/>
        <w:rPr>
          <w:rFonts w:cs="Arial"/>
          <w:sz w:val="22"/>
          <w:szCs w:val="22"/>
        </w:rPr>
      </w:pPr>
    </w:p>
    <w:p w:rsidR="005F639E" w:rsidRDefault="005F639E" w:rsidP="00233B71">
      <w:pPr>
        <w:pStyle w:val="BodyText1"/>
        <w:spacing w:before="0"/>
        <w:rPr>
          <w:rFonts w:cs="Arial"/>
          <w:sz w:val="22"/>
          <w:szCs w:val="22"/>
        </w:rPr>
      </w:pPr>
      <w:r>
        <w:rPr>
          <w:rFonts w:cs="Arial"/>
          <w:sz w:val="22"/>
          <w:szCs w:val="22"/>
        </w:rPr>
        <w:t>Section 14 of the Owner Drivers and Forestry Contractors Code of Practice should be amended to warn against using RCTIs to artificially extend payment terms beyond 30 days.</w:t>
      </w:r>
    </w:p>
    <w:p w:rsidR="00E32A3B" w:rsidRDefault="00E32A3B" w:rsidP="00233B71">
      <w:pPr>
        <w:pStyle w:val="BodyText1"/>
        <w:spacing w:before="0"/>
        <w:rPr>
          <w:rFonts w:cs="Arial"/>
          <w:sz w:val="22"/>
          <w:szCs w:val="22"/>
        </w:rPr>
      </w:pPr>
    </w:p>
    <w:p w:rsidR="005F639E" w:rsidRDefault="005F639E" w:rsidP="00233B71">
      <w:pPr>
        <w:pStyle w:val="BodyText1"/>
        <w:spacing w:before="0"/>
        <w:rPr>
          <w:rFonts w:cs="Arial"/>
          <w:sz w:val="22"/>
          <w:szCs w:val="22"/>
        </w:rPr>
      </w:pPr>
    </w:p>
    <w:p w:rsidR="00A67EB3" w:rsidRPr="00A67EB3" w:rsidRDefault="00014999" w:rsidP="005D311E">
      <w:pPr>
        <w:pStyle w:val="BodyText1"/>
        <w:numPr>
          <w:ilvl w:val="0"/>
          <w:numId w:val="16"/>
        </w:numPr>
        <w:spacing w:before="0"/>
        <w:rPr>
          <w:rFonts w:cs="Arial"/>
          <w:b/>
          <w:sz w:val="22"/>
          <w:szCs w:val="22"/>
        </w:rPr>
      </w:pPr>
      <w:r>
        <w:rPr>
          <w:rFonts w:cs="Arial"/>
          <w:b/>
          <w:sz w:val="22"/>
          <w:szCs w:val="22"/>
        </w:rPr>
        <w:t>F</w:t>
      </w:r>
      <w:r w:rsidR="005F639E">
        <w:rPr>
          <w:rFonts w:cs="Arial"/>
          <w:b/>
          <w:sz w:val="22"/>
          <w:szCs w:val="22"/>
        </w:rPr>
        <w:t>ixed</w:t>
      </w:r>
      <w:r>
        <w:rPr>
          <w:rFonts w:cs="Arial"/>
          <w:b/>
          <w:sz w:val="22"/>
          <w:szCs w:val="22"/>
        </w:rPr>
        <w:t xml:space="preserve"> payment rates </w:t>
      </w:r>
    </w:p>
    <w:p w:rsidR="00A67EB3" w:rsidRDefault="00A67EB3">
      <w:pPr>
        <w:pStyle w:val="BodyText1"/>
        <w:spacing w:before="0"/>
        <w:rPr>
          <w:sz w:val="22"/>
          <w:szCs w:val="22"/>
        </w:rPr>
      </w:pPr>
    </w:p>
    <w:p w:rsidR="00A67EB3" w:rsidRDefault="00E413F7">
      <w:pPr>
        <w:pStyle w:val="BodyText1"/>
        <w:spacing w:before="0"/>
        <w:rPr>
          <w:sz w:val="22"/>
          <w:szCs w:val="22"/>
        </w:rPr>
      </w:pPr>
      <w:r>
        <w:rPr>
          <w:sz w:val="22"/>
          <w:szCs w:val="22"/>
        </w:rPr>
        <w:t>T</w:t>
      </w:r>
      <w:r w:rsidR="00CB2EBE" w:rsidRPr="00CB2EBE">
        <w:rPr>
          <w:sz w:val="22"/>
          <w:szCs w:val="22"/>
        </w:rPr>
        <w:t>he rate of fatal articulated truck crashes fell 80 per cent between 1982 and 2015, despite the enormous growth in the number of trucks on the road.</w:t>
      </w:r>
      <w:r w:rsidR="000A57EE">
        <w:rPr>
          <w:rStyle w:val="FootnoteReference"/>
          <w:sz w:val="22"/>
          <w:szCs w:val="22"/>
        </w:rPr>
        <w:footnoteReference w:id="6"/>
      </w:r>
      <w:r w:rsidR="00CB2EBE" w:rsidRPr="00CB2EBE">
        <w:rPr>
          <w:sz w:val="22"/>
          <w:szCs w:val="22"/>
        </w:rPr>
        <w:t xml:space="preserve"> </w:t>
      </w:r>
    </w:p>
    <w:p w:rsidR="007F6602" w:rsidRPr="007F6602" w:rsidRDefault="007F6602" w:rsidP="007F6602">
      <w:pPr>
        <w:autoSpaceDE w:val="0"/>
        <w:rPr>
          <w:rFonts w:ascii="Arial" w:hAnsi="Arial" w:cs="Arial"/>
          <w:b/>
          <w:bCs/>
          <w:sz w:val="22"/>
          <w:szCs w:val="22"/>
        </w:rPr>
      </w:pPr>
    </w:p>
    <w:p w:rsidR="00EE6E8F" w:rsidRPr="004B7374" w:rsidRDefault="007F6602" w:rsidP="004B7374">
      <w:pPr>
        <w:autoSpaceDE w:val="0"/>
        <w:rPr>
          <w:rFonts w:ascii="Arial" w:eastAsia="TimesNewRomanPSMT" w:hAnsi="Arial" w:cs="Arial"/>
          <w:sz w:val="22"/>
          <w:szCs w:val="22"/>
        </w:rPr>
      </w:pPr>
      <w:r w:rsidRPr="007F6602">
        <w:rPr>
          <w:rFonts w:ascii="Arial" w:eastAsia="TimesNewRomanPSMT" w:hAnsi="Arial" w:cs="Arial"/>
          <w:sz w:val="22"/>
          <w:szCs w:val="22"/>
        </w:rPr>
        <w:t xml:space="preserve">Despite the industry's improving safety record, </w:t>
      </w:r>
      <w:r w:rsidR="00E413F7">
        <w:rPr>
          <w:rFonts w:ascii="Arial" w:eastAsia="TimesNewRomanPSMT" w:hAnsi="Arial" w:cs="Arial"/>
          <w:sz w:val="22"/>
          <w:szCs w:val="22"/>
        </w:rPr>
        <w:t>it has been</w:t>
      </w:r>
      <w:r w:rsidRPr="007F6602">
        <w:rPr>
          <w:rFonts w:ascii="Arial" w:eastAsia="TimesNewRomanPSMT" w:hAnsi="Arial" w:cs="Arial"/>
          <w:sz w:val="22"/>
          <w:szCs w:val="22"/>
        </w:rPr>
        <w:t xml:space="preserve"> asserted </w:t>
      </w:r>
      <w:r w:rsidR="004B7374">
        <w:rPr>
          <w:rFonts w:ascii="Arial" w:eastAsia="TimesNewRomanPSMT" w:hAnsi="Arial" w:cs="Arial"/>
          <w:sz w:val="22"/>
          <w:szCs w:val="22"/>
        </w:rPr>
        <w:t xml:space="preserve">– most notably in the debate about the </w:t>
      </w:r>
      <w:r w:rsidR="004B7374" w:rsidRPr="004B7374">
        <w:rPr>
          <w:rFonts w:ascii="Arial" w:eastAsia="TimesNewRomanPSMT" w:hAnsi="Arial" w:cs="Arial"/>
          <w:i/>
          <w:sz w:val="22"/>
          <w:szCs w:val="22"/>
        </w:rPr>
        <w:t>Road Safety Remuneration Act</w:t>
      </w:r>
      <w:r w:rsidR="00A853A1">
        <w:rPr>
          <w:rFonts w:ascii="Arial" w:eastAsia="TimesNewRomanPSMT" w:hAnsi="Arial" w:cs="Arial"/>
          <w:sz w:val="22"/>
          <w:szCs w:val="22"/>
        </w:rPr>
        <w:t xml:space="preserve"> (C</w:t>
      </w:r>
      <w:r w:rsidR="004B7374">
        <w:rPr>
          <w:rFonts w:ascii="Arial" w:eastAsia="TimesNewRomanPSMT" w:hAnsi="Arial" w:cs="Arial"/>
          <w:sz w:val="22"/>
          <w:szCs w:val="22"/>
        </w:rPr>
        <w:t xml:space="preserve">th) – </w:t>
      </w:r>
      <w:r w:rsidRPr="007F6602">
        <w:rPr>
          <w:rFonts w:ascii="Arial" w:eastAsia="TimesNewRomanPSMT" w:hAnsi="Arial" w:cs="Arial"/>
          <w:sz w:val="22"/>
          <w:szCs w:val="22"/>
        </w:rPr>
        <w:t xml:space="preserve">that </w:t>
      </w:r>
      <w:r w:rsidR="00E413F7">
        <w:rPr>
          <w:rFonts w:ascii="Arial" w:eastAsia="TimesNewRomanPSMT" w:hAnsi="Arial" w:cs="Arial"/>
          <w:sz w:val="22"/>
          <w:szCs w:val="22"/>
        </w:rPr>
        <w:t>f</w:t>
      </w:r>
      <w:r w:rsidR="008216E1">
        <w:rPr>
          <w:rFonts w:ascii="Arial" w:eastAsia="TimesNewRomanPSMT" w:hAnsi="Arial" w:cs="Arial"/>
          <w:sz w:val="22"/>
          <w:szCs w:val="22"/>
        </w:rPr>
        <w:t>ixed</w:t>
      </w:r>
      <w:r w:rsidR="00E413F7">
        <w:rPr>
          <w:rFonts w:ascii="Arial" w:eastAsia="TimesNewRomanPSMT" w:hAnsi="Arial" w:cs="Arial"/>
          <w:sz w:val="22"/>
          <w:szCs w:val="22"/>
        </w:rPr>
        <w:t xml:space="preserve"> rates would improve safety</w:t>
      </w:r>
      <w:r w:rsidR="004B7374">
        <w:rPr>
          <w:rFonts w:ascii="Arial" w:eastAsia="TimesNewRomanPSMT" w:hAnsi="Arial" w:cs="Arial"/>
          <w:sz w:val="22"/>
          <w:szCs w:val="22"/>
        </w:rPr>
        <w:t xml:space="preserve"> by ensuring that drivers do not have remuneration related incentives to work in an unsafe </w:t>
      </w:r>
      <w:r w:rsidR="00250DC6">
        <w:rPr>
          <w:rFonts w:ascii="Arial" w:eastAsia="TimesNewRomanPSMT" w:hAnsi="Arial" w:cs="Arial"/>
          <w:sz w:val="22"/>
          <w:szCs w:val="22"/>
        </w:rPr>
        <w:t>manner</w:t>
      </w:r>
      <w:r w:rsidR="004B7374">
        <w:rPr>
          <w:rFonts w:ascii="Arial" w:eastAsia="TimesNewRomanPSMT" w:hAnsi="Arial" w:cs="Arial"/>
          <w:sz w:val="22"/>
          <w:szCs w:val="22"/>
        </w:rPr>
        <w:t>.</w:t>
      </w:r>
      <w:r w:rsidR="004B7374">
        <w:rPr>
          <w:rStyle w:val="FootnoteReference"/>
          <w:rFonts w:ascii="Arial" w:eastAsia="TimesNewRomanPSMT" w:hAnsi="Arial" w:cs="Arial"/>
          <w:sz w:val="22"/>
          <w:szCs w:val="22"/>
        </w:rPr>
        <w:footnoteReference w:id="7"/>
      </w:r>
    </w:p>
    <w:p w:rsidR="00EE6E8F" w:rsidRDefault="00EE6E8F" w:rsidP="007F6602">
      <w:pPr>
        <w:autoSpaceDE w:val="0"/>
        <w:rPr>
          <w:rFonts w:ascii="Arial" w:eastAsia="TimesNewRomanPSMT" w:hAnsi="Arial" w:cs="Arial"/>
          <w:sz w:val="22"/>
          <w:szCs w:val="22"/>
        </w:rPr>
      </w:pPr>
    </w:p>
    <w:p w:rsidR="00E413F7" w:rsidRDefault="00E413F7" w:rsidP="007F6602">
      <w:pPr>
        <w:autoSpaceDE w:val="0"/>
        <w:rPr>
          <w:rFonts w:ascii="Arial" w:eastAsia="TimesNewRomanPSMT" w:hAnsi="Arial" w:cs="Arial"/>
          <w:sz w:val="22"/>
          <w:szCs w:val="22"/>
        </w:rPr>
      </w:pPr>
      <w:r>
        <w:rPr>
          <w:rFonts w:ascii="Arial" w:eastAsia="TimesNewRomanPSMT" w:hAnsi="Arial" w:cs="Arial"/>
          <w:sz w:val="22"/>
          <w:szCs w:val="22"/>
        </w:rPr>
        <w:t xml:space="preserve">In reality, the link between fixed rates and safety </w:t>
      </w:r>
      <w:r w:rsidR="00014999">
        <w:rPr>
          <w:rFonts w:ascii="Arial" w:eastAsia="TimesNewRomanPSMT" w:hAnsi="Arial" w:cs="Arial"/>
          <w:sz w:val="22"/>
          <w:szCs w:val="22"/>
        </w:rPr>
        <w:t xml:space="preserve">outcomes </w:t>
      </w:r>
      <w:r>
        <w:rPr>
          <w:rFonts w:ascii="Arial" w:eastAsia="TimesNewRomanPSMT" w:hAnsi="Arial" w:cs="Arial"/>
          <w:sz w:val="22"/>
          <w:szCs w:val="22"/>
        </w:rPr>
        <w:t>is not so clear, because:</w:t>
      </w:r>
    </w:p>
    <w:p w:rsidR="00E413F7" w:rsidRPr="005B4DCA" w:rsidRDefault="00E413F7" w:rsidP="007F6602">
      <w:pPr>
        <w:autoSpaceDE w:val="0"/>
        <w:rPr>
          <w:rFonts w:ascii="Arial" w:eastAsia="TimesNewRomanPSMT" w:hAnsi="Arial" w:cs="Arial"/>
          <w:color w:val="auto"/>
          <w:sz w:val="22"/>
          <w:szCs w:val="22"/>
        </w:rPr>
      </w:pPr>
    </w:p>
    <w:p w:rsidR="005B4DCA" w:rsidRDefault="00E413F7" w:rsidP="005B4DCA">
      <w:pPr>
        <w:pStyle w:val="NoSpacing"/>
        <w:numPr>
          <w:ilvl w:val="0"/>
          <w:numId w:val="13"/>
        </w:numPr>
        <w:rPr>
          <w:rFonts w:ascii="Arial" w:eastAsia="TimesNewRomanPSMT" w:hAnsi="Arial" w:cs="Arial"/>
          <w:color w:val="auto"/>
          <w:sz w:val="22"/>
          <w:szCs w:val="22"/>
        </w:rPr>
      </w:pPr>
      <w:r w:rsidRPr="005B4DCA">
        <w:rPr>
          <w:rFonts w:ascii="Arial" w:eastAsia="TimesNewRomanPSMT" w:hAnsi="Arial" w:cs="Arial"/>
          <w:color w:val="auto"/>
          <w:sz w:val="22"/>
          <w:szCs w:val="22"/>
        </w:rPr>
        <w:t>truck drivers and trucking businesses work in an environment where many safety hazards are out of their control.</w:t>
      </w:r>
    </w:p>
    <w:p w:rsidR="005B4DCA" w:rsidRDefault="005B4DCA" w:rsidP="005B4DCA">
      <w:pPr>
        <w:pStyle w:val="NoSpacing"/>
        <w:rPr>
          <w:rFonts w:ascii="Arial" w:eastAsia="TimesNewRomanPSMT" w:hAnsi="Arial" w:cs="Arial"/>
          <w:color w:val="auto"/>
          <w:sz w:val="22"/>
          <w:szCs w:val="22"/>
        </w:rPr>
      </w:pPr>
    </w:p>
    <w:p w:rsidR="005B4DCA" w:rsidRDefault="005B4DCA" w:rsidP="005B4DCA">
      <w:pPr>
        <w:pStyle w:val="NoSpacing"/>
        <w:ind w:left="720"/>
        <w:rPr>
          <w:rFonts w:ascii="Arial" w:hAnsi="Arial" w:cs="Arial"/>
          <w:color w:val="auto"/>
          <w:sz w:val="22"/>
          <w:szCs w:val="22"/>
          <w:lang w:eastAsia="en-US"/>
        </w:rPr>
      </w:pPr>
      <w:r w:rsidRPr="005D3BC8">
        <w:rPr>
          <w:rFonts w:ascii="Arial" w:hAnsi="Arial" w:cs="Arial"/>
          <w:color w:val="auto"/>
          <w:sz w:val="22"/>
          <w:szCs w:val="22"/>
          <w:lang w:eastAsia="en-US"/>
        </w:rPr>
        <w:t xml:space="preserve">In its 2015 major accident investigation report, </w:t>
      </w:r>
      <w:r>
        <w:rPr>
          <w:rFonts w:ascii="Arial" w:hAnsi="Arial" w:cs="Arial"/>
          <w:color w:val="auto"/>
          <w:sz w:val="22"/>
          <w:szCs w:val="22"/>
          <w:lang w:eastAsia="en-US"/>
        </w:rPr>
        <w:t xml:space="preserve">for example, </w:t>
      </w:r>
      <w:r w:rsidRPr="005D3BC8">
        <w:rPr>
          <w:rFonts w:ascii="Arial" w:hAnsi="Arial" w:cs="Arial"/>
          <w:color w:val="auto"/>
          <w:sz w:val="22"/>
          <w:szCs w:val="22"/>
          <w:lang w:eastAsia="en-US"/>
        </w:rPr>
        <w:t xml:space="preserve">Australia’s leading truck insurer, NTI, </w:t>
      </w:r>
      <w:r>
        <w:rPr>
          <w:rFonts w:ascii="Arial" w:hAnsi="Arial" w:cs="Arial"/>
          <w:color w:val="auto"/>
          <w:sz w:val="22"/>
          <w:szCs w:val="22"/>
          <w:lang w:eastAsia="en-US"/>
        </w:rPr>
        <w:t xml:space="preserve">concluded </w:t>
      </w:r>
      <w:r w:rsidRPr="005D3BC8">
        <w:rPr>
          <w:rFonts w:ascii="Arial" w:hAnsi="Arial" w:cs="Arial"/>
          <w:color w:val="auto"/>
          <w:sz w:val="22"/>
          <w:szCs w:val="22"/>
          <w:lang w:eastAsia="en-US"/>
        </w:rPr>
        <w:t>that other vehicle</w:t>
      </w:r>
      <w:r>
        <w:rPr>
          <w:rFonts w:ascii="Arial" w:hAnsi="Arial" w:cs="Arial"/>
          <w:color w:val="auto"/>
          <w:sz w:val="22"/>
          <w:szCs w:val="22"/>
          <w:lang w:eastAsia="en-US"/>
        </w:rPr>
        <w:t>s</w:t>
      </w:r>
      <w:r w:rsidRPr="005D3BC8">
        <w:rPr>
          <w:rFonts w:ascii="Arial" w:hAnsi="Arial" w:cs="Arial"/>
          <w:color w:val="auto"/>
          <w:sz w:val="22"/>
          <w:szCs w:val="22"/>
          <w:lang w:eastAsia="en-US"/>
        </w:rPr>
        <w:t xml:space="preserve"> </w:t>
      </w:r>
      <w:r>
        <w:rPr>
          <w:rFonts w:ascii="Arial" w:hAnsi="Arial" w:cs="Arial"/>
          <w:color w:val="auto"/>
          <w:sz w:val="22"/>
          <w:szCs w:val="22"/>
          <w:lang w:eastAsia="en-US"/>
        </w:rPr>
        <w:t xml:space="preserve">were </w:t>
      </w:r>
      <w:r w:rsidRPr="005D3BC8">
        <w:rPr>
          <w:rFonts w:ascii="Arial" w:hAnsi="Arial" w:cs="Arial"/>
          <w:color w:val="auto"/>
          <w:sz w:val="22"/>
          <w:szCs w:val="22"/>
          <w:lang w:eastAsia="en-US"/>
        </w:rPr>
        <w:t xml:space="preserve">at fault in 84 per cent of the fatal multi-vehicle accidents </w:t>
      </w:r>
      <w:r>
        <w:rPr>
          <w:rFonts w:ascii="Arial" w:hAnsi="Arial" w:cs="Arial"/>
          <w:color w:val="auto"/>
          <w:sz w:val="22"/>
          <w:szCs w:val="22"/>
          <w:lang w:eastAsia="en-US"/>
        </w:rPr>
        <w:t>in its sample</w:t>
      </w:r>
      <w:r w:rsidRPr="005D3BC8">
        <w:rPr>
          <w:rFonts w:ascii="Arial" w:hAnsi="Arial" w:cs="Arial"/>
          <w:color w:val="auto"/>
          <w:sz w:val="22"/>
          <w:szCs w:val="22"/>
          <w:lang w:eastAsia="en-US"/>
        </w:rPr>
        <w:t>.</w:t>
      </w:r>
      <w:r>
        <w:rPr>
          <w:rStyle w:val="FootnoteReference"/>
          <w:rFonts w:ascii="Arial" w:hAnsi="Arial"/>
          <w:color w:val="auto"/>
          <w:sz w:val="22"/>
          <w:szCs w:val="22"/>
          <w:lang w:eastAsia="en-US"/>
        </w:rPr>
        <w:footnoteReference w:id="8"/>
      </w:r>
      <w:r>
        <w:rPr>
          <w:rFonts w:ascii="Arial" w:hAnsi="Arial" w:cs="Arial"/>
          <w:color w:val="auto"/>
          <w:sz w:val="22"/>
          <w:szCs w:val="22"/>
          <w:lang w:eastAsia="en-US"/>
        </w:rPr>
        <w:t xml:space="preserve"> </w:t>
      </w:r>
    </w:p>
    <w:p w:rsidR="005B4DCA" w:rsidRPr="005B4DCA" w:rsidRDefault="005B4DCA" w:rsidP="005B4DCA">
      <w:pPr>
        <w:pStyle w:val="NoSpacing"/>
        <w:rPr>
          <w:rFonts w:ascii="Arial" w:hAnsi="Arial" w:cs="Arial"/>
          <w:color w:val="auto"/>
          <w:sz w:val="22"/>
          <w:szCs w:val="22"/>
          <w:lang w:eastAsia="en-US"/>
        </w:rPr>
      </w:pPr>
    </w:p>
    <w:p w:rsidR="005B4DCA" w:rsidRPr="005B4DCA" w:rsidRDefault="00014999" w:rsidP="005B4DCA">
      <w:pPr>
        <w:pStyle w:val="NoSpacing"/>
        <w:ind w:left="720"/>
        <w:rPr>
          <w:rFonts w:ascii="Arial" w:hAnsi="Arial" w:cs="Arial"/>
          <w:color w:val="auto"/>
          <w:sz w:val="22"/>
          <w:szCs w:val="22"/>
          <w:lang w:eastAsia="en-US"/>
        </w:rPr>
      </w:pPr>
      <w:r>
        <w:rPr>
          <w:rFonts w:ascii="Arial" w:hAnsi="Arial" w:cs="Arial"/>
          <w:color w:val="auto"/>
          <w:sz w:val="22"/>
          <w:szCs w:val="22"/>
        </w:rPr>
        <w:t>On another front</w:t>
      </w:r>
      <w:r w:rsidR="005B4DCA">
        <w:rPr>
          <w:rFonts w:ascii="Arial" w:hAnsi="Arial" w:cs="Arial"/>
          <w:color w:val="auto"/>
          <w:sz w:val="22"/>
          <w:szCs w:val="22"/>
        </w:rPr>
        <w:t xml:space="preserve">, the intergovernmental road research agency, </w:t>
      </w:r>
      <w:r w:rsidR="005B4DCA" w:rsidRPr="005B4DCA">
        <w:rPr>
          <w:rFonts w:ascii="Arial" w:hAnsi="Arial" w:cs="Arial"/>
          <w:color w:val="auto"/>
          <w:sz w:val="22"/>
          <w:szCs w:val="22"/>
        </w:rPr>
        <w:t>Austroads</w:t>
      </w:r>
      <w:r w:rsidR="005B4DCA">
        <w:rPr>
          <w:rFonts w:ascii="Arial" w:hAnsi="Arial" w:cs="Arial"/>
          <w:color w:val="auto"/>
          <w:sz w:val="22"/>
          <w:szCs w:val="22"/>
        </w:rPr>
        <w:t>,</w:t>
      </w:r>
      <w:r w:rsidR="005B4DCA" w:rsidRPr="005B4DCA">
        <w:rPr>
          <w:rFonts w:ascii="Arial" w:hAnsi="Arial" w:cs="Arial"/>
          <w:color w:val="auto"/>
          <w:sz w:val="22"/>
          <w:szCs w:val="22"/>
        </w:rPr>
        <w:t xml:space="preserve"> has </w:t>
      </w:r>
      <w:r w:rsidR="005B4DCA">
        <w:rPr>
          <w:rFonts w:ascii="Arial" w:hAnsi="Arial" w:cs="Arial"/>
          <w:color w:val="auto"/>
          <w:sz w:val="22"/>
          <w:szCs w:val="22"/>
        </w:rPr>
        <w:t xml:space="preserve">concluded </w:t>
      </w:r>
      <w:r w:rsidR="005B4DCA" w:rsidRPr="005B4DCA">
        <w:rPr>
          <w:rFonts w:ascii="Arial" w:hAnsi="Arial" w:cs="Arial"/>
          <w:color w:val="auto"/>
          <w:sz w:val="22"/>
          <w:szCs w:val="22"/>
        </w:rPr>
        <w:t>that the road is</w:t>
      </w:r>
      <w:r w:rsidR="005B4DCA">
        <w:rPr>
          <w:rFonts w:ascii="Arial" w:hAnsi="Arial" w:cs="Arial"/>
          <w:color w:val="auto"/>
          <w:sz w:val="22"/>
          <w:szCs w:val="22"/>
        </w:rPr>
        <w:t xml:space="preserve"> a causation factor in about 30 per cent</w:t>
      </w:r>
      <w:r w:rsidR="005B4DCA" w:rsidRPr="005B4DCA">
        <w:rPr>
          <w:rFonts w:ascii="Arial" w:hAnsi="Arial" w:cs="Arial"/>
          <w:color w:val="auto"/>
          <w:sz w:val="22"/>
          <w:szCs w:val="22"/>
        </w:rPr>
        <w:t xml:space="preserve"> of all crashes, </w:t>
      </w:r>
      <w:r w:rsidR="005B4DCA">
        <w:rPr>
          <w:rFonts w:ascii="Arial" w:hAnsi="Arial" w:cs="Arial"/>
          <w:color w:val="auto"/>
          <w:sz w:val="22"/>
          <w:szCs w:val="22"/>
        </w:rPr>
        <w:t xml:space="preserve">and </w:t>
      </w:r>
      <w:r w:rsidR="005B4DCA" w:rsidRPr="005B4DCA">
        <w:rPr>
          <w:rFonts w:ascii="Arial" w:hAnsi="Arial" w:cs="Arial"/>
          <w:color w:val="auto"/>
          <w:sz w:val="22"/>
          <w:szCs w:val="22"/>
        </w:rPr>
        <w:t>is known to be a factor in the sever</w:t>
      </w:r>
      <w:r w:rsidR="005B4DCA">
        <w:rPr>
          <w:rFonts w:ascii="Arial" w:hAnsi="Arial" w:cs="Arial"/>
          <w:color w:val="auto"/>
          <w:sz w:val="22"/>
          <w:szCs w:val="22"/>
        </w:rPr>
        <w:t>ity outcome of 100 per cent of crashes.</w:t>
      </w:r>
      <w:r w:rsidR="005B4DCA" w:rsidRPr="005B4DCA">
        <w:rPr>
          <w:rStyle w:val="FootnoteReference"/>
          <w:rFonts w:ascii="Arial" w:hAnsi="Arial"/>
          <w:color w:val="auto"/>
          <w:sz w:val="22"/>
          <w:szCs w:val="22"/>
        </w:rPr>
        <w:footnoteReference w:id="9"/>
      </w:r>
    </w:p>
    <w:p w:rsidR="00E413F7" w:rsidRDefault="00E413F7" w:rsidP="007F6602">
      <w:pPr>
        <w:autoSpaceDE w:val="0"/>
        <w:rPr>
          <w:rFonts w:ascii="Arial" w:eastAsia="TimesNewRomanPSMT" w:hAnsi="Arial" w:cs="Arial"/>
          <w:sz w:val="22"/>
          <w:szCs w:val="22"/>
        </w:rPr>
      </w:pPr>
    </w:p>
    <w:p w:rsidR="00014999" w:rsidRDefault="005B4DCA" w:rsidP="005B4DCA">
      <w:pPr>
        <w:pStyle w:val="ListParagraph"/>
        <w:numPr>
          <w:ilvl w:val="0"/>
          <w:numId w:val="13"/>
        </w:numPr>
        <w:autoSpaceDE w:val="0"/>
        <w:spacing w:after="0" w:line="240" w:lineRule="auto"/>
        <w:ind w:left="714" w:hanging="357"/>
        <w:rPr>
          <w:rFonts w:ascii="Arial" w:eastAsia="TimesNewRomanPSMT" w:hAnsi="Arial" w:cs="Arial"/>
          <w:sz w:val="22"/>
          <w:szCs w:val="22"/>
        </w:rPr>
      </w:pPr>
      <w:r w:rsidRPr="00E55078">
        <w:rPr>
          <w:rFonts w:ascii="Arial" w:eastAsia="TimesNewRomanPSMT" w:hAnsi="Arial" w:cs="Arial"/>
          <w:sz w:val="22"/>
          <w:szCs w:val="22"/>
        </w:rPr>
        <w:t>the relationship between work hours, fatigue and accidents is complex</w:t>
      </w:r>
      <w:r w:rsidR="00E55078">
        <w:rPr>
          <w:rFonts w:ascii="Arial" w:eastAsia="TimesNewRomanPSMT" w:hAnsi="Arial" w:cs="Arial"/>
          <w:sz w:val="22"/>
          <w:szCs w:val="22"/>
        </w:rPr>
        <w:t xml:space="preserve">. NTI’s </w:t>
      </w:r>
      <w:r w:rsidR="00014999">
        <w:rPr>
          <w:rFonts w:ascii="Arial" w:eastAsia="TimesNewRomanPSMT" w:hAnsi="Arial" w:cs="Arial"/>
          <w:sz w:val="22"/>
          <w:szCs w:val="22"/>
        </w:rPr>
        <w:t xml:space="preserve">2015 </w:t>
      </w:r>
      <w:r w:rsidR="00E55078">
        <w:rPr>
          <w:rFonts w:ascii="Arial" w:eastAsia="TimesNewRomanPSMT" w:hAnsi="Arial" w:cs="Arial"/>
          <w:sz w:val="22"/>
          <w:szCs w:val="22"/>
        </w:rPr>
        <w:t xml:space="preserve">major accident research, for example, showed that more than 60 per cent </w:t>
      </w:r>
      <w:r w:rsidR="00E55078">
        <w:rPr>
          <w:rFonts w:ascii="Arial" w:eastAsia="TimesNewRomanPSMT" w:hAnsi="Arial" w:cs="Arial"/>
          <w:sz w:val="22"/>
          <w:szCs w:val="22"/>
        </w:rPr>
        <w:lastRenderedPageBreak/>
        <w:t>of the 2013 calendar year crashes it examined occurred within 250 km of the point of departure.</w:t>
      </w:r>
      <w:r w:rsidR="00E55078">
        <w:rPr>
          <w:rStyle w:val="FootnoteReference"/>
          <w:rFonts w:ascii="Arial" w:eastAsia="TimesNewRomanPSMT" w:hAnsi="Arial" w:cs="Arial"/>
          <w:sz w:val="22"/>
          <w:szCs w:val="22"/>
        </w:rPr>
        <w:footnoteReference w:id="10"/>
      </w:r>
      <w:r w:rsidR="00E55078">
        <w:rPr>
          <w:rFonts w:ascii="Arial" w:eastAsia="TimesNewRomanPSMT" w:hAnsi="Arial" w:cs="Arial"/>
          <w:sz w:val="22"/>
          <w:szCs w:val="22"/>
        </w:rPr>
        <w:t xml:space="preserve"> </w:t>
      </w:r>
    </w:p>
    <w:p w:rsidR="00014999" w:rsidRDefault="00014999" w:rsidP="00014999">
      <w:pPr>
        <w:pStyle w:val="ListParagraph"/>
        <w:autoSpaceDE w:val="0"/>
        <w:spacing w:after="0" w:line="240" w:lineRule="auto"/>
        <w:ind w:left="714"/>
        <w:rPr>
          <w:rFonts w:ascii="Arial" w:eastAsia="TimesNewRomanPSMT" w:hAnsi="Arial" w:cs="Arial"/>
          <w:sz w:val="22"/>
          <w:szCs w:val="22"/>
        </w:rPr>
      </w:pPr>
    </w:p>
    <w:p w:rsidR="00E413F7" w:rsidRPr="00014999" w:rsidRDefault="00E55078" w:rsidP="00014999">
      <w:pPr>
        <w:autoSpaceDE w:val="0"/>
        <w:ind w:left="714"/>
        <w:rPr>
          <w:rFonts w:ascii="Arial" w:eastAsia="TimesNewRomanPSMT" w:hAnsi="Arial" w:cs="Arial"/>
          <w:sz w:val="22"/>
          <w:szCs w:val="22"/>
        </w:rPr>
      </w:pPr>
      <w:r w:rsidRPr="00014999">
        <w:rPr>
          <w:rFonts w:ascii="Arial" w:eastAsia="TimesNewRomanPSMT" w:hAnsi="Arial" w:cs="Arial"/>
          <w:sz w:val="22"/>
          <w:szCs w:val="22"/>
        </w:rPr>
        <w:t xml:space="preserve">The National Transport Commission (NTC) and the CRC for Alertness, Safety and Productivity are </w:t>
      </w:r>
      <w:r w:rsidR="00014999">
        <w:rPr>
          <w:rFonts w:ascii="Arial" w:eastAsia="TimesNewRomanPSMT" w:hAnsi="Arial" w:cs="Arial"/>
          <w:sz w:val="22"/>
          <w:szCs w:val="22"/>
        </w:rPr>
        <w:t xml:space="preserve">now </w:t>
      </w:r>
      <w:r w:rsidRPr="00014999">
        <w:rPr>
          <w:rFonts w:ascii="Arial" w:eastAsia="TimesNewRomanPSMT" w:hAnsi="Arial" w:cs="Arial"/>
          <w:sz w:val="22"/>
          <w:szCs w:val="22"/>
        </w:rPr>
        <w:t xml:space="preserve">collaborating on a research project </w:t>
      </w:r>
      <w:r w:rsidR="00014999" w:rsidRPr="00014999">
        <w:rPr>
          <w:rFonts w:ascii="Arial" w:eastAsia="TimesNewRomanPSMT" w:hAnsi="Arial" w:cs="Arial"/>
          <w:sz w:val="22"/>
          <w:szCs w:val="22"/>
        </w:rPr>
        <w:t xml:space="preserve">to evaluate scientifically the impact of the current HVNL fatigue laws. </w:t>
      </w:r>
    </w:p>
    <w:p w:rsidR="001408B3" w:rsidRDefault="001408B3" w:rsidP="007F6602">
      <w:pPr>
        <w:autoSpaceDE w:val="0"/>
        <w:rPr>
          <w:rFonts w:ascii="Arial" w:eastAsia="TimesNewRomanPSMT" w:hAnsi="Arial" w:cs="Arial"/>
          <w:sz w:val="22"/>
          <w:szCs w:val="22"/>
        </w:rPr>
      </w:pPr>
    </w:p>
    <w:p w:rsidR="0022693B" w:rsidRDefault="00014999" w:rsidP="007F6602">
      <w:pPr>
        <w:autoSpaceDE w:val="0"/>
        <w:rPr>
          <w:rFonts w:ascii="Arial" w:eastAsia="TimesNewRomanPSMT" w:hAnsi="Arial" w:cs="Arial"/>
          <w:sz w:val="22"/>
          <w:szCs w:val="22"/>
        </w:rPr>
      </w:pPr>
      <w:r>
        <w:rPr>
          <w:rFonts w:ascii="Arial" w:eastAsia="TimesNewRomanPSMT" w:hAnsi="Arial" w:cs="Arial"/>
          <w:sz w:val="22"/>
          <w:szCs w:val="22"/>
        </w:rPr>
        <w:t xml:space="preserve">Against the complexity of the asserted </w:t>
      </w:r>
      <w:r w:rsidR="0022693B">
        <w:rPr>
          <w:rFonts w:ascii="Arial" w:eastAsia="TimesNewRomanPSMT" w:hAnsi="Arial" w:cs="Arial"/>
          <w:sz w:val="22"/>
          <w:szCs w:val="22"/>
        </w:rPr>
        <w:t>link between fixed</w:t>
      </w:r>
      <w:r>
        <w:rPr>
          <w:rFonts w:ascii="Arial" w:eastAsia="TimesNewRomanPSMT" w:hAnsi="Arial" w:cs="Arial"/>
          <w:sz w:val="22"/>
          <w:szCs w:val="22"/>
        </w:rPr>
        <w:t xml:space="preserve"> rates and safety, </w:t>
      </w:r>
      <w:r w:rsidR="0022693B">
        <w:rPr>
          <w:rFonts w:ascii="Arial" w:eastAsia="TimesNewRomanPSMT" w:hAnsi="Arial" w:cs="Arial"/>
          <w:sz w:val="22"/>
          <w:szCs w:val="22"/>
        </w:rPr>
        <w:t xml:space="preserve">PricewaterhouseCoopers found in 2016 that the Commonwealth road safety remuneration system had an overall </w:t>
      </w:r>
      <w:r w:rsidR="0022693B" w:rsidRPr="00E32A3B">
        <w:rPr>
          <w:rFonts w:ascii="Arial" w:hAnsi="Arial" w:cs="Arial"/>
          <w:b/>
          <w:color w:val="00000A"/>
          <w:sz w:val="22"/>
          <w:szCs w:val="22"/>
        </w:rPr>
        <w:t xml:space="preserve">BCR </w:t>
      </w:r>
      <w:r w:rsidR="0022693B">
        <w:rPr>
          <w:rFonts w:ascii="Arial" w:hAnsi="Arial" w:cs="Arial"/>
          <w:b/>
          <w:color w:val="00000A"/>
          <w:sz w:val="22"/>
          <w:szCs w:val="22"/>
        </w:rPr>
        <w:t>of only</w:t>
      </w:r>
      <w:r w:rsidR="0022693B" w:rsidRPr="00E32A3B">
        <w:rPr>
          <w:rFonts w:ascii="Arial" w:hAnsi="Arial" w:cs="Arial"/>
          <w:b/>
          <w:color w:val="00000A"/>
          <w:sz w:val="22"/>
          <w:szCs w:val="22"/>
        </w:rPr>
        <w:t xml:space="preserve"> 0.38, with a net cost of $2.3 billion in NPV terms over 15 years from 2012.</w:t>
      </w:r>
      <w:r w:rsidR="0022693B">
        <w:rPr>
          <w:rStyle w:val="FootnoteReference"/>
          <w:rFonts w:ascii="Arial" w:hAnsi="Arial" w:cs="Arial"/>
          <w:color w:val="00000A"/>
          <w:sz w:val="22"/>
          <w:szCs w:val="22"/>
        </w:rPr>
        <w:footnoteReference w:id="11"/>
      </w:r>
    </w:p>
    <w:p w:rsidR="0022693B" w:rsidRDefault="0022693B" w:rsidP="007F6602">
      <w:pPr>
        <w:autoSpaceDE w:val="0"/>
        <w:rPr>
          <w:rFonts w:ascii="Arial" w:eastAsia="TimesNewRomanPSMT" w:hAnsi="Arial" w:cs="Arial"/>
          <w:sz w:val="22"/>
          <w:szCs w:val="22"/>
        </w:rPr>
      </w:pPr>
    </w:p>
    <w:p w:rsidR="0022693B" w:rsidRDefault="0022693B" w:rsidP="007F6602">
      <w:pPr>
        <w:autoSpaceDE w:val="0"/>
        <w:rPr>
          <w:rFonts w:ascii="Arial" w:eastAsia="TimesNewRomanPSMT" w:hAnsi="Arial" w:cs="Arial"/>
          <w:sz w:val="22"/>
          <w:szCs w:val="22"/>
        </w:rPr>
      </w:pPr>
      <w:r>
        <w:rPr>
          <w:rFonts w:ascii="Arial" w:eastAsia="TimesNewRomanPSMT" w:hAnsi="Arial" w:cs="Arial"/>
          <w:sz w:val="22"/>
          <w:szCs w:val="22"/>
        </w:rPr>
        <w:t xml:space="preserve">In other words, the road safety remuneration system cost </w:t>
      </w:r>
      <w:r w:rsidR="00634247">
        <w:rPr>
          <w:rFonts w:ascii="Arial" w:eastAsia="TimesNewRomanPSMT" w:hAnsi="Arial" w:cs="Arial"/>
          <w:sz w:val="22"/>
          <w:szCs w:val="22"/>
        </w:rPr>
        <w:t>resources</w:t>
      </w:r>
      <w:r>
        <w:rPr>
          <w:rFonts w:ascii="Arial" w:eastAsia="TimesNewRomanPSMT" w:hAnsi="Arial" w:cs="Arial"/>
          <w:sz w:val="22"/>
          <w:szCs w:val="22"/>
        </w:rPr>
        <w:t xml:space="preserve"> that could have been used for other purposes, including practical, evidence-based road safety measures</w:t>
      </w:r>
      <w:r w:rsidR="00A41445">
        <w:rPr>
          <w:rFonts w:ascii="Arial" w:eastAsia="TimesNewRomanPSMT" w:hAnsi="Arial" w:cs="Arial"/>
          <w:sz w:val="22"/>
          <w:szCs w:val="22"/>
        </w:rPr>
        <w:t xml:space="preserve"> that would have been more effective</w:t>
      </w:r>
      <w:r>
        <w:rPr>
          <w:rFonts w:ascii="Arial" w:eastAsia="TimesNewRomanPSMT" w:hAnsi="Arial" w:cs="Arial"/>
          <w:sz w:val="22"/>
          <w:szCs w:val="22"/>
        </w:rPr>
        <w:t>.</w:t>
      </w:r>
    </w:p>
    <w:p w:rsidR="0022693B" w:rsidRDefault="0022693B" w:rsidP="007F6602">
      <w:pPr>
        <w:autoSpaceDE w:val="0"/>
        <w:rPr>
          <w:rFonts w:ascii="Arial" w:eastAsia="TimesNewRomanPSMT" w:hAnsi="Arial" w:cs="Arial"/>
          <w:sz w:val="22"/>
          <w:szCs w:val="22"/>
        </w:rPr>
      </w:pPr>
    </w:p>
    <w:p w:rsidR="001408B3" w:rsidRDefault="0022693B" w:rsidP="007F6602">
      <w:pPr>
        <w:autoSpaceDE w:val="0"/>
        <w:rPr>
          <w:rFonts w:ascii="Arial" w:eastAsia="TimesNewRomanPSMT" w:hAnsi="Arial" w:cs="Arial"/>
          <w:sz w:val="22"/>
          <w:szCs w:val="22"/>
        </w:rPr>
      </w:pPr>
      <w:r>
        <w:rPr>
          <w:rFonts w:ascii="Arial" w:eastAsia="TimesNewRomanPSMT" w:hAnsi="Arial" w:cs="Arial"/>
          <w:sz w:val="22"/>
          <w:szCs w:val="22"/>
        </w:rPr>
        <w:t>PwC pointed to submissions to the Road Safety Remuneration Tribunal</w:t>
      </w:r>
      <w:r w:rsidR="00A853A1">
        <w:rPr>
          <w:rFonts w:ascii="Arial" w:eastAsia="TimesNewRomanPSMT" w:hAnsi="Arial" w:cs="Arial"/>
          <w:sz w:val="22"/>
          <w:szCs w:val="22"/>
        </w:rPr>
        <w:t xml:space="preserve"> finding</w:t>
      </w:r>
      <w:r>
        <w:rPr>
          <w:rFonts w:ascii="Arial" w:eastAsia="TimesNewRomanPSMT" w:hAnsi="Arial" w:cs="Arial"/>
          <w:sz w:val="22"/>
          <w:szCs w:val="22"/>
        </w:rPr>
        <w:t xml:space="preserve"> that its payments order would increase</w:t>
      </w:r>
      <w:r w:rsidR="00014999">
        <w:rPr>
          <w:rFonts w:ascii="Arial" w:eastAsia="TimesNewRomanPSMT" w:hAnsi="Arial" w:cs="Arial"/>
          <w:sz w:val="22"/>
          <w:szCs w:val="22"/>
        </w:rPr>
        <w:t xml:space="preserve"> costs by 20-30 per cent, making </w:t>
      </w:r>
      <w:r>
        <w:rPr>
          <w:rFonts w:ascii="Arial" w:eastAsia="TimesNewRomanPSMT" w:hAnsi="Arial" w:cs="Arial"/>
          <w:sz w:val="22"/>
          <w:szCs w:val="22"/>
        </w:rPr>
        <w:t xml:space="preserve">owner drivers </w:t>
      </w:r>
      <w:r w:rsidR="00014999">
        <w:rPr>
          <w:rFonts w:ascii="Arial" w:eastAsia="TimesNewRomanPSMT" w:hAnsi="Arial" w:cs="Arial"/>
          <w:sz w:val="22"/>
          <w:szCs w:val="22"/>
        </w:rPr>
        <w:t>uncompetitive.</w:t>
      </w:r>
      <w:r>
        <w:rPr>
          <w:rStyle w:val="FootnoteReference"/>
          <w:rFonts w:ascii="Arial" w:eastAsia="TimesNewRomanPSMT" w:hAnsi="Arial" w:cs="Arial"/>
          <w:sz w:val="22"/>
          <w:szCs w:val="22"/>
        </w:rPr>
        <w:footnoteReference w:id="12"/>
      </w:r>
    </w:p>
    <w:p w:rsidR="00014999" w:rsidRDefault="00014999" w:rsidP="007F6602">
      <w:pPr>
        <w:autoSpaceDE w:val="0"/>
        <w:rPr>
          <w:rFonts w:ascii="Arial" w:eastAsia="TimesNewRomanPSMT" w:hAnsi="Arial" w:cs="Arial"/>
          <w:sz w:val="22"/>
          <w:szCs w:val="22"/>
        </w:rPr>
      </w:pPr>
    </w:p>
    <w:p w:rsidR="00E32A3B" w:rsidRDefault="0022693B" w:rsidP="0022693B">
      <w:pPr>
        <w:autoSpaceDE w:val="0"/>
        <w:rPr>
          <w:rFonts w:ascii="Arial" w:hAnsi="Arial" w:cs="Arial"/>
          <w:color w:val="00000A"/>
          <w:sz w:val="22"/>
          <w:szCs w:val="22"/>
        </w:rPr>
      </w:pPr>
      <w:r>
        <w:rPr>
          <w:rFonts w:ascii="Arial" w:eastAsia="TimesNewRomanPSMT" w:hAnsi="Arial" w:cs="Arial"/>
          <w:sz w:val="22"/>
          <w:szCs w:val="22"/>
        </w:rPr>
        <w:t>The PwC also noted practical concerns about setting fixed rates, particularly in relation to backloading and split loads.</w:t>
      </w:r>
      <w:r>
        <w:rPr>
          <w:rStyle w:val="FootnoteReference"/>
          <w:rFonts w:ascii="Arial" w:eastAsia="TimesNewRomanPSMT" w:hAnsi="Arial" w:cs="Arial"/>
          <w:sz w:val="22"/>
          <w:szCs w:val="22"/>
        </w:rPr>
        <w:footnoteReference w:id="13"/>
      </w:r>
      <w:r>
        <w:rPr>
          <w:rFonts w:ascii="Arial" w:eastAsia="TimesNewRomanPSMT" w:hAnsi="Arial" w:cs="Arial"/>
          <w:sz w:val="22"/>
          <w:szCs w:val="22"/>
        </w:rPr>
        <w:t xml:space="preserve"> </w:t>
      </w:r>
    </w:p>
    <w:p w:rsidR="00E32A3B" w:rsidRDefault="00E32A3B" w:rsidP="00233B71">
      <w:pPr>
        <w:pStyle w:val="NoSpacing"/>
        <w:rPr>
          <w:rFonts w:ascii="Arial" w:hAnsi="Arial" w:cs="Arial"/>
          <w:color w:val="00000A"/>
          <w:sz w:val="22"/>
          <w:szCs w:val="22"/>
        </w:rPr>
      </w:pPr>
    </w:p>
    <w:p w:rsidR="00EE6E8F" w:rsidRDefault="00E32A3B" w:rsidP="00233B71">
      <w:pPr>
        <w:pStyle w:val="NoSpacing"/>
        <w:rPr>
          <w:rFonts w:ascii="Arial" w:hAnsi="Arial" w:cs="Arial"/>
          <w:color w:val="00000A"/>
          <w:sz w:val="22"/>
          <w:szCs w:val="22"/>
        </w:rPr>
      </w:pPr>
      <w:r>
        <w:rPr>
          <w:rFonts w:ascii="Arial" w:hAnsi="Arial" w:cs="Arial"/>
          <w:color w:val="00000A"/>
          <w:sz w:val="22"/>
          <w:szCs w:val="22"/>
        </w:rPr>
        <w:t xml:space="preserve">It should be noted that the review deliberately sought to maximise the number of </w:t>
      </w:r>
      <w:r w:rsidR="008216E1">
        <w:rPr>
          <w:rFonts w:ascii="Arial" w:hAnsi="Arial" w:cs="Arial"/>
          <w:color w:val="00000A"/>
          <w:sz w:val="22"/>
          <w:szCs w:val="22"/>
        </w:rPr>
        <w:t>accidents</w:t>
      </w:r>
      <w:r>
        <w:rPr>
          <w:rFonts w:ascii="Arial" w:hAnsi="Arial" w:cs="Arial"/>
          <w:color w:val="00000A"/>
          <w:sz w:val="22"/>
          <w:szCs w:val="22"/>
        </w:rPr>
        <w:t xml:space="preserve"> imputed to heavy vehicle drivers in its analysis, to allow a generous estimation of the benefits attributable to the road safety remuneration system.</w:t>
      </w:r>
      <w:r>
        <w:rPr>
          <w:rStyle w:val="FootnoteReference"/>
          <w:rFonts w:ascii="Arial" w:hAnsi="Arial" w:cs="Arial"/>
          <w:color w:val="00000A"/>
          <w:sz w:val="22"/>
          <w:szCs w:val="22"/>
        </w:rPr>
        <w:footnoteReference w:id="14"/>
      </w:r>
    </w:p>
    <w:p w:rsidR="00EE6E8F" w:rsidRDefault="00EE6E8F" w:rsidP="00233B71">
      <w:pPr>
        <w:pStyle w:val="NoSpacing"/>
        <w:rPr>
          <w:rFonts w:ascii="Arial" w:hAnsi="Arial" w:cs="Arial"/>
          <w:color w:val="00000A"/>
          <w:sz w:val="22"/>
          <w:szCs w:val="22"/>
        </w:rPr>
      </w:pPr>
    </w:p>
    <w:p w:rsidR="00E32A3B" w:rsidRDefault="00E32A3B" w:rsidP="008B5CDA">
      <w:pPr>
        <w:pStyle w:val="NoSpacing"/>
        <w:keepNext/>
        <w:rPr>
          <w:rFonts w:ascii="Arial" w:hAnsi="Arial" w:cs="Arial"/>
          <w:color w:val="00000A"/>
          <w:sz w:val="22"/>
          <w:szCs w:val="22"/>
        </w:rPr>
      </w:pPr>
      <w:r>
        <w:rPr>
          <w:rFonts w:ascii="Arial" w:hAnsi="Arial" w:cs="Arial"/>
          <w:color w:val="00000A"/>
          <w:sz w:val="22"/>
          <w:szCs w:val="22"/>
        </w:rPr>
        <w:t>Given the very poor BCR of the Commonwealth road safety remuneration system</w:t>
      </w:r>
      <w:r w:rsidR="0022693B">
        <w:rPr>
          <w:rFonts w:ascii="Arial" w:hAnsi="Arial" w:cs="Arial"/>
          <w:color w:val="00000A"/>
          <w:sz w:val="22"/>
          <w:szCs w:val="22"/>
        </w:rPr>
        <w:t>, and the likely similar result</w:t>
      </w:r>
      <w:r>
        <w:rPr>
          <w:rFonts w:ascii="Arial" w:hAnsi="Arial" w:cs="Arial"/>
          <w:color w:val="00000A"/>
          <w:sz w:val="22"/>
          <w:szCs w:val="22"/>
        </w:rPr>
        <w:t xml:space="preserve"> if fixed rates were introduced in Victoria, the ATA recommends:</w:t>
      </w:r>
    </w:p>
    <w:p w:rsidR="00E32A3B" w:rsidRDefault="00E32A3B" w:rsidP="008B5CDA">
      <w:pPr>
        <w:pStyle w:val="NoSpacing"/>
        <w:keepNext/>
        <w:rPr>
          <w:rFonts w:ascii="Arial" w:hAnsi="Arial" w:cs="Arial"/>
          <w:color w:val="00000A"/>
          <w:sz w:val="22"/>
          <w:szCs w:val="22"/>
        </w:rPr>
      </w:pPr>
    </w:p>
    <w:p w:rsidR="00E32A3B" w:rsidRDefault="00E32A3B" w:rsidP="008B5CDA">
      <w:pPr>
        <w:pStyle w:val="NoSpacing"/>
        <w:keepNext/>
        <w:rPr>
          <w:rFonts w:ascii="Arial" w:hAnsi="Arial" w:cs="Arial"/>
          <w:color w:val="00000A"/>
          <w:sz w:val="22"/>
          <w:szCs w:val="22"/>
        </w:rPr>
      </w:pPr>
    </w:p>
    <w:p w:rsidR="00E32A3B" w:rsidRPr="00E32A3B" w:rsidRDefault="00E32A3B" w:rsidP="008B5CDA">
      <w:pPr>
        <w:pStyle w:val="NoSpacing"/>
        <w:keepNext/>
        <w:rPr>
          <w:rFonts w:ascii="Arial" w:hAnsi="Arial" w:cs="Arial"/>
          <w:b/>
          <w:color w:val="00000A"/>
          <w:sz w:val="22"/>
          <w:szCs w:val="22"/>
        </w:rPr>
      </w:pPr>
      <w:r>
        <w:rPr>
          <w:rFonts w:ascii="Arial" w:hAnsi="Arial" w:cs="Arial"/>
          <w:b/>
          <w:color w:val="00000A"/>
          <w:sz w:val="22"/>
          <w:szCs w:val="22"/>
        </w:rPr>
        <w:t>Recommendation 3</w:t>
      </w:r>
    </w:p>
    <w:p w:rsidR="00E32A3B" w:rsidRDefault="00E32A3B" w:rsidP="008B5CDA">
      <w:pPr>
        <w:pStyle w:val="NoSpacing"/>
        <w:keepNext/>
        <w:rPr>
          <w:rFonts w:ascii="Arial" w:hAnsi="Arial" w:cs="Arial"/>
          <w:color w:val="00000A"/>
          <w:sz w:val="22"/>
          <w:szCs w:val="22"/>
        </w:rPr>
      </w:pPr>
    </w:p>
    <w:p w:rsidR="00A853A1" w:rsidRDefault="00E32A3B" w:rsidP="008B5CDA">
      <w:pPr>
        <w:pStyle w:val="NoSpacing"/>
        <w:keepNext/>
        <w:rPr>
          <w:rFonts w:ascii="Arial" w:hAnsi="Arial" w:cs="Arial"/>
          <w:color w:val="00000A"/>
          <w:sz w:val="22"/>
          <w:szCs w:val="22"/>
        </w:rPr>
      </w:pPr>
      <w:r>
        <w:rPr>
          <w:rFonts w:ascii="Arial" w:hAnsi="Arial" w:cs="Arial"/>
          <w:color w:val="00000A"/>
          <w:sz w:val="22"/>
          <w:szCs w:val="22"/>
        </w:rPr>
        <w:t>T</w:t>
      </w:r>
      <w:r w:rsidR="00A853A1">
        <w:rPr>
          <w:rFonts w:ascii="Arial" w:hAnsi="Arial" w:cs="Arial"/>
          <w:color w:val="00000A"/>
          <w:sz w:val="22"/>
          <w:szCs w:val="22"/>
        </w:rPr>
        <w:t>o maintain a competitive and fair operating environment for small trucking businesses in Victoria, the</w:t>
      </w:r>
      <w:r>
        <w:rPr>
          <w:rFonts w:ascii="Arial" w:hAnsi="Arial" w:cs="Arial"/>
          <w:color w:val="00000A"/>
          <w:sz w:val="22"/>
          <w:szCs w:val="22"/>
        </w:rPr>
        <w:t xml:space="preserve"> review should recommend against </w:t>
      </w:r>
      <w:r w:rsidR="00A853A1">
        <w:rPr>
          <w:rFonts w:ascii="Arial" w:hAnsi="Arial" w:cs="Arial"/>
          <w:color w:val="00000A"/>
          <w:sz w:val="22"/>
          <w:szCs w:val="22"/>
        </w:rPr>
        <w:t xml:space="preserve">the imposition of fixed rates. </w:t>
      </w:r>
    </w:p>
    <w:p w:rsidR="00A853A1" w:rsidRDefault="00A853A1" w:rsidP="00A853A1">
      <w:pPr>
        <w:pStyle w:val="NoSpacing"/>
        <w:rPr>
          <w:rFonts w:ascii="Arial" w:hAnsi="Arial" w:cs="Arial"/>
          <w:color w:val="00000A"/>
          <w:sz w:val="22"/>
          <w:szCs w:val="22"/>
        </w:rPr>
      </w:pPr>
    </w:p>
    <w:p w:rsidR="00E32A3B" w:rsidRDefault="00A853A1" w:rsidP="00A853A1">
      <w:pPr>
        <w:pStyle w:val="NoSpacing"/>
        <w:rPr>
          <w:rFonts w:ascii="Arial" w:hAnsi="Arial" w:cs="Arial"/>
          <w:color w:val="00000A"/>
          <w:sz w:val="22"/>
          <w:szCs w:val="22"/>
        </w:rPr>
      </w:pPr>
      <w:r>
        <w:rPr>
          <w:rFonts w:ascii="Arial" w:hAnsi="Arial" w:cs="Arial"/>
          <w:color w:val="00000A"/>
          <w:sz w:val="22"/>
          <w:szCs w:val="22"/>
        </w:rPr>
        <w:t>Owner drivers should be able to set their own rates, guided by the indicative rate</w:t>
      </w:r>
      <w:r w:rsidR="00287270">
        <w:rPr>
          <w:rFonts w:ascii="Arial" w:hAnsi="Arial" w:cs="Arial"/>
          <w:color w:val="00000A"/>
          <w:sz w:val="22"/>
          <w:szCs w:val="22"/>
        </w:rPr>
        <w:t>s</w:t>
      </w:r>
      <w:r>
        <w:rPr>
          <w:rFonts w:ascii="Arial" w:hAnsi="Arial" w:cs="Arial"/>
          <w:color w:val="00000A"/>
          <w:sz w:val="22"/>
          <w:szCs w:val="22"/>
        </w:rPr>
        <w:t xml:space="preserve"> and cost</w:t>
      </w:r>
      <w:r w:rsidR="00287270">
        <w:rPr>
          <w:rFonts w:ascii="Arial" w:hAnsi="Arial" w:cs="Arial"/>
          <w:color w:val="00000A"/>
          <w:sz w:val="22"/>
          <w:szCs w:val="22"/>
        </w:rPr>
        <w:t>s</w:t>
      </w:r>
      <w:r>
        <w:rPr>
          <w:rFonts w:ascii="Arial" w:hAnsi="Arial" w:cs="Arial"/>
          <w:color w:val="00000A"/>
          <w:sz w:val="22"/>
          <w:szCs w:val="22"/>
        </w:rPr>
        <w:t xml:space="preserve"> schedules published under s 14 of the Act. </w:t>
      </w:r>
    </w:p>
    <w:p w:rsidR="00E32A3B" w:rsidRDefault="00E32A3B" w:rsidP="00233B71">
      <w:pPr>
        <w:pStyle w:val="NoSpacing"/>
        <w:rPr>
          <w:rFonts w:ascii="Arial" w:hAnsi="Arial" w:cs="Arial"/>
          <w:color w:val="00000A"/>
          <w:sz w:val="22"/>
          <w:szCs w:val="22"/>
        </w:rPr>
      </w:pPr>
    </w:p>
    <w:p w:rsidR="00E32A3B" w:rsidRDefault="00E32A3B" w:rsidP="00233B71">
      <w:pPr>
        <w:pStyle w:val="NoSpacing"/>
        <w:rPr>
          <w:rFonts w:ascii="Arial" w:hAnsi="Arial" w:cs="Arial"/>
          <w:color w:val="00000A"/>
          <w:sz w:val="22"/>
          <w:szCs w:val="22"/>
        </w:rPr>
      </w:pPr>
    </w:p>
    <w:p w:rsidR="00E32A3B" w:rsidRPr="00E32A3B" w:rsidRDefault="00E32A3B" w:rsidP="00287270">
      <w:pPr>
        <w:pStyle w:val="NoSpacing"/>
        <w:keepNext/>
        <w:numPr>
          <w:ilvl w:val="0"/>
          <w:numId w:val="16"/>
        </w:numPr>
        <w:rPr>
          <w:rFonts w:ascii="Arial" w:hAnsi="Arial" w:cs="Arial"/>
          <w:b/>
          <w:color w:val="00000A"/>
          <w:sz w:val="22"/>
          <w:szCs w:val="22"/>
        </w:rPr>
      </w:pPr>
      <w:r w:rsidRPr="00E32A3B">
        <w:rPr>
          <w:rFonts w:ascii="Arial" w:hAnsi="Arial" w:cs="Arial"/>
          <w:b/>
          <w:color w:val="00000A"/>
          <w:sz w:val="22"/>
          <w:szCs w:val="22"/>
        </w:rPr>
        <w:lastRenderedPageBreak/>
        <w:t>Practical measures to increase safety</w:t>
      </w:r>
    </w:p>
    <w:p w:rsidR="00E32A3B" w:rsidRDefault="00E32A3B" w:rsidP="00287270">
      <w:pPr>
        <w:pStyle w:val="NoSpacing"/>
        <w:keepNext/>
        <w:rPr>
          <w:rFonts w:ascii="Arial" w:hAnsi="Arial" w:cs="Arial"/>
          <w:color w:val="00000A"/>
          <w:sz w:val="22"/>
          <w:szCs w:val="22"/>
        </w:rPr>
      </w:pPr>
    </w:p>
    <w:p w:rsidR="008B5CDA" w:rsidRDefault="008B5CDA" w:rsidP="00287270">
      <w:pPr>
        <w:pStyle w:val="NoSpacing"/>
        <w:keepNext/>
        <w:rPr>
          <w:rFonts w:ascii="Arial" w:hAnsi="Arial" w:cs="Arial"/>
          <w:color w:val="00000A"/>
          <w:sz w:val="22"/>
          <w:szCs w:val="22"/>
        </w:rPr>
      </w:pPr>
      <w:r>
        <w:rPr>
          <w:rFonts w:ascii="Arial" w:hAnsi="Arial" w:cs="Arial"/>
          <w:color w:val="00000A"/>
          <w:sz w:val="22"/>
          <w:szCs w:val="22"/>
        </w:rPr>
        <w:t xml:space="preserve">The Victorian Government and the trucking industry are supporting a host of </w:t>
      </w:r>
      <w:r w:rsidR="00212ABE">
        <w:rPr>
          <w:rFonts w:ascii="Arial" w:hAnsi="Arial" w:cs="Arial"/>
          <w:color w:val="00000A"/>
          <w:sz w:val="22"/>
          <w:szCs w:val="22"/>
        </w:rPr>
        <w:t xml:space="preserve">practical </w:t>
      </w:r>
      <w:r>
        <w:rPr>
          <w:rFonts w:ascii="Arial" w:hAnsi="Arial" w:cs="Arial"/>
          <w:color w:val="00000A"/>
          <w:sz w:val="22"/>
          <w:szCs w:val="22"/>
        </w:rPr>
        <w:t xml:space="preserve">measures </w:t>
      </w:r>
      <w:r w:rsidR="00212ABE">
        <w:rPr>
          <w:rFonts w:ascii="Arial" w:hAnsi="Arial" w:cs="Arial"/>
          <w:color w:val="00000A"/>
          <w:sz w:val="22"/>
          <w:szCs w:val="22"/>
        </w:rPr>
        <w:t xml:space="preserve">to improve road and truck driver safety. </w:t>
      </w:r>
      <w:r>
        <w:rPr>
          <w:rFonts w:ascii="Arial" w:hAnsi="Arial" w:cs="Arial"/>
          <w:color w:val="00000A"/>
          <w:sz w:val="22"/>
          <w:szCs w:val="22"/>
        </w:rPr>
        <w:t>These measures</w:t>
      </w:r>
      <w:r w:rsidR="00212ABE">
        <w:rPr>
          <w:rFonts w:ascii="Arial" w:hAnsi="Arial" w:cs="Arial"/>
          <w:color w:val="00000A"/>
          <w:sz w:val="22"/>
          <w:szCs w:val="22"/>
        </w:rPr>
        <w:t xml:space="preserve"> </w:t>
      </w:r>
      <w:r>
        <w:rPr>
          <w:rFonts w:ascii="Arial" w:hAnsi="Arial" w:cs="Arial"/>
          <w:color w:val="00000A"/>
          <w:sz w:val="22"/>
          <w:szCs w:val="22"/>
        </w:rPr>
        <w:t>include:</w:t>
      </w:r>
    </w:p>
    <w:p w:rsidR="008B5CDA" w:rsidRDefault="008B5CDA" w:rsidP="00287270">
      <w:pPr>
        <w:pStyle w:val="NoSpacing"/>
        <w:keepNext/>
        <w:rPr>
          <w:rFonts w:ascii="Arial" w:hAnsi="Arial" w:cs="Arial"/>
          <w:color w:val="00000A"/>
          <w:sz w:val="22"/>
          <w:szCs w:val="22"/>
        </w:rPr>
      </w:pPr>
    </w:p>
    <w:p w:rsidR="00C86318" w:rsidRDefault="00C86318" w:rsidP="00287270">
      <w:pPr>
        <w:pStyle w:val="NoSpacing"/>
        <w:keepNext/>
        <w:numPr>
          <w:ilvl w:val="0"/>
          <w:numId w:val="13"/>
        </w:numPr>
        <w:rPr>
          <w:rFonts w:ascii="Arial" w:hAnsi="Arial" w:cs="Arial"/>
          <w:color w:val="00000A"/>
          <w:sz w:val="22"/>
          <w:szCs w:val="22"/>
        </w:rPr>
      </w:pPr>
      <w:r>
        <w:rPr>
          <w:rFonts w:ascii="Arial" w:hAnsi="Arial" w:cs="Arial"/>
          <w:color w:val="00000A"/>
          <w:sz w:val="22"/>
          <w:szCs w:val="22"/>
        </w:rPr>
        <w:t xml:space="preserve">the Victorian Government’s </w:t>
      </w:r>
      <w:r w:rsidRPr="00C86318">
        <w:rPr>
          <w:rFonts w:ascii="Arial" w:hAnsi="Arial" w:cs="Arial"/>
          <w:b/>
          <w:color w:val="00000A"/>
          <w:sz w:val="22"/>
          <w:szCs w:val="22"/>
        </w:rPr>
        <w:t>$1.1 billion investment in its Toward Zero road safety strategy</w:t>
      </w:r>
      <w:r>
        <w:rPr>
          <w:rFonts w:ascii="Arial" w:hAnsi="Arial" w:cs="Arial"/>
          <w:color w:val="00000A"/>
          <w:sz w:val="22"/>
          <w:szCs w:val="22"/>
        </w:rPr>
        <w:t>, which is based on safe system concepts and proven measures, such as the roll out of barriers or audio-tactile line marking on more than 2,500 km of the rural road network.</w:t>
      </w:r>
      <w:r>
        <w:rPr>
          <w:rStyle w:val="FootnoteReference"/>
          <w:rFonts w:ascii="Arial" w:hAnsi="Arial" w:cs="Arial"/>
          <w:color w:val="00000A"/>
          <w:sz w:val="22"/>
          <w:szCs w:val="22"/>
        </w:rPr>
        <w:footnoteReference w:id="15"/>
      </w:r>
    </w:p>
    <w:p w:rsidR="00C86318" w:rsidRDefault="00C86318" w:rsidP="00C86318">
      <w:pPr>
        <w:pStyle w:val="NoSpacing"/>
        <w:ind w:left="720"/>
        <w:rPr>
          <w:rFonts w:ascii="Arial" w:hAnsi="Arial" w:cs="Arial"/>
          <w:color w:val="00000A"/>
          <w:sz w:val="22"/>
          <w:szCs w:val="22"/>
        </w:rPr>
      </w:pPr>
    </w:p>
    <w:p w:rsidR="008B5CDA" w:rsidRPr="008B5CDA" w:rsidRDefault="008B5CDA" w:rsidP="00212ABE">
      <w:pPr>
        <w:numPr>
          <w:ilvl w:val="0"/>
          <w:numId w:val="15"/>
        </w:numPr>
        <w:suppressAutoHyphens w:val="0"/>
        <w:ind w:left="714" w:hanging="357"/>
        <w:contextualSpacing/>
        <w:rPr>
          <w:rFonts w:ascii="Arial" w:eastAsiaTheme="minorHAnsi" w:hAnsi="Arial" w:cs="Arial"/>
          <w:color w:val="auto"/>
          <w:sz w:val="22"/>
          <w:szCs w:val="22"/>
          <w:lang w:eastAsia="en-US"/>
        </w:rPr>
      </w:pPr>
      <w:r w:rsidRPr="00212ABE">
        <w:rPr>
          <w:rFonts w:ascii="Arial" w:eastAsiaTheme="minorHAnsi" w:hAnsi="Arial" w:cs="Arial"/>
          <w:b/>
          <w:color w:val="auto"/>
          <w:sz w:val="22"/>
          <w:szCs w:val="22"/>
          <w:lang w:eastAsia="en-US"/>
        </w:rPr>
        <w:t>r</w:t>
      </w:r>
      <w:r w:rsidRPr="008B5CDA">
        <w:rPr>
          <w:rFonts w:ascii="Arial" w:eastAsiaTheme="minorHAnsi" w:hAnsi="Arial" w:cs="Arial"/>
          <w:b/>
          <w:color w:val="auto"/>
          <w:sz w:val="22"/>
          <w:szCs w:val="22"/>
          <w:lang w:eastAsia="en-US"/>
        </w:rPr>
        <w:t>eform</w:t>
      </w:r>
      <w:r w:rsidRPr="00212ABE">
        <w:rPr>
          <w:rFonts w:ascii="Arial" w:eastAsiaTheme="minorHAnsi" w:hAnsi="Arial" w:cs="Arial"/>
          <w:b/>
          <w:color w:val="auto"/>
          <w:sz w:val="22"/>
          <w:szCs w:val="22"/>
          <w:lang w:eastAsia="en-US"/>
        </w:rPr>
        <w:t>s</w:t>
      </w:r>
      <w:r w:rsidR="00F058A7">
        <w:rPr>
          <w:rFonts w:ascii="Arial" w:eastAsiaTheme="minorHAnsi" w:hAnsi="Arial" w:cs="Arial"/>
          <w:b/>
          <w:color w:val="auto"/>
          <w:sz w:val="22"/>
          <w:szCs w:val="22"/>
          <w:lang w:eastAsia="en-US"/>
        </w:rPr>
        <w:t xml:space="preserve"> to</w:t>
      </w:r>
      <w:r w:rsidRPr="008B5CDA">
        <w:rPr>
          <w:rFonts w:ascii="Arial" w:eastAsiaTheme="minorHAnsi" w:hAnsi="Arial" w:cs="Arial"/>
          <w:b/>
          <w:color w:val="auto"/>
          <w:sz w:val="22"/>
          <w:szCs w:val="22"/>
          <w:lang w:eastAsia="en-US"/>
        </w:rPr>
        <w:t xml:space="preserve"> t</w:t>
      </w:r>
      <w:r w:rsidR="00212ABE" w:rsidRPr="00212ABE">
        <w:rPr>
          <w:rFonts w:ascii="Arial" w:eastAsiaTheme="minorHAnsi" w:hAnsi="Arial" w:cs="Arial"/>
          <w:b/>
          <w:color w:val="auto"/>
          <w:sz w:val="22"/>
          <w:szCs w:val="22"/>
          <w:lang w:eastAsia="en-US"/>
        </w:rPr>
        <w:t xml:space="preserve">he </w:t>
      </w:r>
      <w:r w:rsidR="00C86318">
        <w:rPr>
          <w:rFonts w:ascii="Arial" w:eastAsiaTheme="minorHAnsi" w:hAnsi="Arial" w:cs="Arial"/>
          <w:b/>
          <w:color w:val="auto"/>
          <w:sz w:val="22"/>
          <w:szCs w:val="22"/>
          <w:lang w:eastAsia="en-US"/>
        </w:rPr>
        <w:t xml:space="preserve">heavy vehicle </w:t>
      </w:r>
      <w:r w:rsidR="00212ABE" w:rsidRPr="00212ABE">
        <w:rPr>
          <w:rFonts w:ascii="Arial" w:eastAsiaTheme="minorHAnsi" w:hAnsi="Arial" w:cs="Arial"/>
          <w:b/>
          <w:color w:val="auto"/>
          <w:sz w:val="22"/>
          <w:szCs w:val="22"/>
          <w:lang w:eastAsia="en-US"/>
        </w:rPr>
        <w:t>chain of responsibility laws</w:t>
      </w:r>
      <w:r w:rsidR="00212ABE" w:rsidRPr="00212ABE">
        <w:rPr>
          <w:rFonts w:ascii="Arial" w:eastAsiaTheme="minorHAnsi" w:hAnsi="Arial" w:cs="Arial"/>
          <w:color w:val="auto"/>
          <w:sz w:val="22"/>
          <w:szCs w:val="22"/>
          <w:lang w:eastAsia="en-US"/>
        </w:rPr>
        <w:t xml:space="preserve">, which will now include a </w:t>
      </w:r>
      <w:r w:rsidRPr="00212ABE">
        <w:rPr>
          <w:rFonts w:ascii="Arial" w:eastAsiaTheme="minorHAnsi" w:hAnsi="Arial" w:cs="Arial"/>
          <w:color w:val="auto"/>
          <w:sz w:val="22"/>
          <w:szCs w:val="22"/>
          <w:lang w:eastAsia="en-US"/>
        </w:rPr>
        <w:t xml:space="preserve">strong </w:t>
      </w:r>
      <w:r w:rsidR="00F058A7">
        <w:rPr>
          <w:rFonts w:ascii="Arial" w:eastAsiaTheme="minorHAnsi" w:hAnsi="Arial" w:cs="Arial"/>
          <w:color w:val="auto"/>
          <w:sz w:val="22"/>
          <w:szCs w:val="22"/>
          <w:lang w:eastAsia="en-US"/>
        </w:rPr>
        <w:t xml:space="preserve">general </w:t>
      </w:r>
      <w:r w:rsidR="00212ABE" w:rsidRPr="00212ABE">
        <w:rPr>
          <w:rFonts w:ascii="Arial" w:eastAsiaTheme="minorHAnsi" w:hAnsi="Arial" w:cs="Arial"/>
          <w:color w:val="auto"/>
          <w:sz w:val="22"/>
          <w:szCs w:val="22"/>
          <w:lang w:eastAsia="en-US"/>
        </w:rPr>
        <w:t xml:space="preserve">safety duty. The reforms will extend </w:t>
      </w:r>
      <w:r w:rsidRPr="008B5CDA">
        <w:rPr>
          <w:rFonts w:ascii="Arial" w:eastAsiaTheme="minorHAnsi" w:hAnsi="Arial" w:cs="Arial"/>
          <w:color w:val="auto"/>
          <w:sz w:val="22"/>
          <w:szCs w:val="22"/>
          <w:lang w:eastAsia="en-US"/>
        </w:rPr>
        <w:t>chain of responsibility to vehicle maintenance and roadworthiness</w:t>
      </w:r>
      <w:r w:rsidR="00A853A1">
        <w:rPr>
          <w:rFonts w:ascii="Arial" w:eastAsiaTheme="minorHAnsi" w:hAnsi="Arial" w:cs="Arial"/>
          <w:color w:val="auto"/>
          <w:sz w:val="22"/>
          <w:szCs w:val="22"/>
          <w:lang w:eastAsia="en-US"/>
        </w:rPr>
        <w:t>,</w:t>
      </w:r>
      <w:r w:rsidR="00212ABE" w:rsidRPr="00212ABE">
        <w:rPr>
          <w:rFonts w:ascii="Arial" w:eastAsiaTheme="minorHAnsi" w:hAnsi="Arial" w:cs="Arial"/>
          <w:color w:val="auto"/>
          <w:sz w:val="22"/>
          <w:szCs w:val="22"/>
          <w:lang w:eastAsia="en-US"/>
        </w:rPr>
        <w:t xml:space="preserve"> and </w:t>
      </w:r>
      <w:r w:rsidRPr="008B5CDA">
        <w:rPr>
          <w:rFonts w:ascii="Arial" w:eastAsiaTheme="minorHAnsi" w:hAnsi="Arial" w:cs="Arial"/>
          <w:color w:val="auto"/>
          <w:sz w:val="22"/>
          <w:szCs w:val="22"/>
          <w:lang w:eastAsia="en-US"/>
        </w:rPr>
        <w:t>massive</w:t>
      </w:r>
      <w:r w:rsidR="00212ABE">
        <w:rPr>
          <w:rFonts w:ascii="Arial" w:eastAsiaTheme="minorHAnsi" w:hAnsi="Arial" w:cs="Arial"/>
          <w:color w:val="auto"/>
          <w:sz w:val="22"/>
          <w:szCs w:val="22"/>
          <w:lang w:eastAsia="en-US"/>
        </w:rPr>
        <w:t>ly</w:t>
      </w:r>
      <w:r w:rsidRPr="008B5CDA">
        <w:rPr>
          <w:rFonts w:ascii="Arial" w:eastAsiaTheme="minorHAnsi" w:hAnsi="Arial" w:cs="Arial"/>
          <w:color w:val="auto"/>
          <w:sz w:val="22"/>
          <w:szCs w:val="22"/>
          <w:lang w:eastAsia="en-US"/>
        </w:rPr>
        <w:t xml:space="preserve"> increase maximum penalties for the most serious cases to bring them into line with the other national safety laws.</w:t>
      </w:r>
      <w:r w:rsidR="00212ABE">
        <w:rPr>
          <w:rFonts w:ascii="Arial" w:eastAsiaTheme="minorHAnsi" w:hAnsi="Arial" w:cs="Arial"/>
          <w:color w:val="auto"/>
          <w:sz w:val="22"/>
          <w:szCs w:val="22"/>
          <w:lang w:eastAsia="en-US"/>
        </w:rPr>
        <w:t xml:space="preserve"> The reforms will come into effect in the HVNL states, including Victoria, in the first part of 2018.</w:t>
      </w:r>
    </w:p>
    <w:p w:rsidR="008B5CDA" w:rsidRPr="008B5CDA" w:rsidRDefault="008B5CDA" w:rsidP="008B5CDA">
      <w:pPr>
        <w:suppressAutoHyphens w:val="0"/>
        <w:ind w:left="360"/>
        <w:contextualSpacing/>
        <w:rPr>
          <w:rFonts w:ascii="Arial" w:eastAsiaTheme="minorHAnsi" w:hAnsi="Arial" w:cs="Arial"/>
          <w:color w:val="auto"/>
          <w:sz w:val="22"/>
          <w:szCs w:val="22"/>
          <w:lang w:eastAsia="en-US"/>
        </w:rPr>
      </w:pPr>
    </w:p>
    <w:p w:rsidR="008B5CDA" w:rsidRPr="00AC69D3" w:rsidRDefault="00AC69D3" w:rsidP="00AC69D3">
      <w:pPr>
        <w:pStyle w:val="ListParagraph"/>
        <w:numPr>
          <w:ilvl w:val="2"/>
          <w:numId w:val="15"/>
        </w:numPr>
        <w:suppressAutoHyphens w:val="0"/>
        <w:spacing w:after="0" w:line="240" w:lineRule="auto"/>
        <w:ind w:left="714" w:hanging="357"/>
        <w:contextualSpacing/>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engaging with industry, including the ATA and VTA, through its </w:t>
      </w:r>
      <w:r w:rsidR="00B95E74">
        <w:rPr>
          <w:rFonts w:ascii="Arial" w:eastAsiaTheme="minorHAnsi" w:hAnsi="Arial" w:cs="Arial"/>
          <w:color w:val="auto"/>
          <w:sz w:val="22"/>
          <w:szCs w:val="22"/>
          <w:lang w:eastAsia="en-US"/>
        </w:rPr>
        <w:t xml:space="preserve">Truck and </w:t>
      </w:r>
      <w:r>
        <w:rPr>
          <w:rFonts w:ascii="Arial" w:eastAsiaTheme="minorHAnsi" w:hAnsi="Arial" w:cs="Arial"/>
          <w:color w:val="auto"/>
          <w:sz w:val="22"/>
          <w:szCs w:val="22"/>
          <w:lang w:eastAsia="en-US"/>
        </w:rPr>
        <w:t xml:space="preserve">Vulnerable Road Users Working Group </w:t>
      </w:r>
      <w:r w:rsidR="00B95E74">
        <w:rPr>
          <w:rFonts w:ascii="Arial" w:eastAsiaTheme="minorHAnsi" w:hAnsi="Arial" w:cs="Arial"/>
          <w:color w:val="auto"/>
          <w:sz w:val="22"/>
          <w:szCs w:val="22"/>
          <w:lang w:eastAsia="en-US"/>
        </w:rPr>
        <w:t xml:space="preserve">process </w:t>
      </w:r>
      <w:r>
        <w:rPr>
          <w:rFonts w:ascii="Arial" w:eastAsiaTheme="minorHAnsi" w:hAnsi="Arial" w:cs="Arial"/>
          <w:color w:val="auto"/>
          <w:sz w:val="22"/>
          <w:szCs w:val="22"/>
          <w:lang w:eastAsia="en-US"/>
        </w:rPr>
        <w:t xml:space="preserve">to </w:t>
      </w:r>
      <w:r w:rsidRPr="00B95E74">
        <w:rPr>
          <w:rFonts w:ascii="Arial" w:eastAsiaTheme="minorHAnsi" w:hAnsi="Arial" w:cs="Arial"/>
          <w:color w:val="auto"/>
          <w:sz w:val="22"/>
          <w:szCs w:val="22"/>
          <w:lang w:eastAsia="en-US"/>
        </w:rPr>
        <w:t>develop</w:t>
      </w:r>
      <w:r w:rsidRPr="00B95E74">
        <w:rPr>
          <w:rFonts w:ascii="Arial" w:eastAsiaTheme="minorHAnsi" w:hAnsi="Arial" w:cs="Arial"/>
          <w:b/>
          <w:color w:val="auto"/>
          <w:sz w:val="22"/>
          <w:szCs w:val="22"/>
          <w:lang w:eastAsia="en-US"/>
        </w:rPr>
        <w:t xml:space="preserve"> special measures</w:t>
      </w:r>
      <w:r w:rsidR="00B95E74">
        <w:rPr>
          <w:rFonts w:ascii="Arial" w:eastAsiaTheme="minorHAnsi" w:hAnsi="Arial" w:cs="Arial"/>
          <w:b/>
          <w:color w:val="auto"/>
          <w:sz w:val="22"/>
          <w:szCs w:val="22"/>
          <w:lang w:eastAsia="en-US"/>
        </w:rPr>
        <w:t xml:space="preserve"> and education campaigns</w:t>
      </w:r>
      <w:r w:rsidRPr="00B95E74">
        <w:rPr>
          <w:rFonts w:ascii="Arial" w:eastAsiaTheme="minorHAnsi" w:hAnsi="Arial" w:cs="Arial"/>
          <w:b/>
          <w:color w:val="auto"/>
          <w:sz w:val="22"/>
          <w:szCs w:val="22"/>
          <w:lang w:eastAsia="en-US"/>
        </w:rPr>
        <w:t xml:space="preserve"> to improve the safety of </w:t>
      </w:r>
      <w:r w:rsidR="00B95E74" w:rsidRPr="00B95E74">
        <w:rPr>
          <w:rFonts w:ascii="Arial" w:eastAsiaTheme="minorHAnsi" w:hAnsi="Arial" w:cs="Arial"/>
          <w:b/>
          <w:color w:val="auto"/>
          <w:sz w:val="22"/>
          <w:szCs w:val="22"/>
          <w:lang w:eastAsia="en-US"/>
        </w:rPr>
        <w:t xml:space="preserve">the construction </w:t>
      </w:r>
      <w:r w:rsidRPr="00B95E74">
        <w:rPr>
          <w:rFonts w:ascii="Arial" w:eastAsiaTheme="minorHAnsi" w:hAnsi="Arial" w:cs="Arial"/>
          <w:b/>
          <w:color w:val="auto"/>
          <w:sz w:val="22"/>
          <w:szCs w:val="22"/>
          <w:lang w:eastAsia="en-US"/>
        </w:rPr>
        <w:t>vehicles</w:t>
      </w:r>
      <w:r>
        <w:rPr>
          <w:rFonts w:ascii="Arial" w:eastAsiaTheme="minorHAnsi" w:hAnsi="Arial" w:cs="Arial"/>
          <w:color w:val="auto"/>
          <w:sz w:val="22"/>
          <w:szCs w:val="22"/>
          <w:lang w:eastAsia="en-US"/>
        </w:rPr>
        <w:t xml:space="preserve"> involved in its Melbourne </w:t>
      </w:r>
      <w:r w:rsidR="00B95E74">
        <w:rPr>
          <w:rFonts w:ascii="Arial" w:eastAsiaTheme="minorHAnsi" w:hAnsi="Arial" w:cs="Arial"/>
          <w:color w:val="auto"/>
          <w:sz w:val="22"/>
          <w:szCs w:val="22"/>
          <w:lang w:eastAsia="en-US"/>
        </w:rPr>
        <w:t>infrastructure rollout.</w:t>
      </w:r>
      <w:r>
        <w:rPr>
          <w:rFonts w:ascii="Arial" w:eastAsiaTheme="minorHAnsi" w:hAnsi="Arial" w:cs="Arial"/>
          <w:color w:val="auto"/>
          <w:sz w:val="22"/>
          <w:szCs w:val="22"/>
          <w:lang w:eastAsia="en-US"/>
        </w:rPr>
        <w:t xml:space="preserve"> </w:t>
      </w:r>
    </w:p>
    <w:p w:rsidR="008B5CDA" w:rsidRDefault="008B5CDA" w:rsidP="00233B71">
      <w:pPr>
        <w:pStyle w:val="NoSpacing"/>
        <w:rPr>
          <w:rFonts w:ascii="Arial" w:hAnsi="Arial" w:cs="Arial"/>
          <w:color w:val="00000A"/>
          <w:sz w:val="22"/>
          <w:szCs w:val="22"/>
        </w:rPr>
      </w:pPr>
    </w:p>
    <w:p w:rsidR="008216E1" w:rsidRDefault="008216E1" w:rsidP="00233B71">
      <w:pPr>
        <w:pStyle w:val="NoSpacing"/>
        <w:rPr>
          <w:rFonts w:ascii="Arial" w:hAnsi="Arial" w:cs="Arial"/>
          <w:color w:val="00000A"/>
          <w:sz w:val="22"/>
          <w:szCs w:val="22"/>
        </w:rPr>
      </w:pPr>
      <w:r>
        <w:rPr>
          <w:rFonts w:ascii="Arial" w:hAnsi="Arial" w:cs="Arial"/>
          <w:color w:val="00000A"/>
          <w:sz w:val="22"/>
          <w:szCs w:val="22"/>
        </w:rPr>
        <w:t>The Victorian Government and industry should press on with these practical, evidence-based safety measures.</w:t>
      </w:r>
    </w:p>
    <w:p w:rsidR="008216E1" w:rsidRDefault="008216E1" w:rsidP="00233B71">
      <w:pPr>
        <w:pStyle w:val="NoSpacing"/>
        <w:rPr>
          <w:rFonts w:ascii="Arial" w:hAnsi="Arial" w:cs="Arial"/>
          <w:color w:val="00000A"/>
          <w:sz w:val="22"/>
          <w:szCs w:val="22"/>
        </w:rPr>
      </w:pPr>
    </w:p>
    <w:p w:rsidR="00E32A3B" w:rsidRPr="007F6602" w:rsidRDefault="00E32A3B" w:rsidP="00233B71">
      <w:pPr>
        <w:pStyle w:val="NoSpacing"/>
        <w:rPr>
          <w:rFonts w:ascii="Arial" w:hAnsi="Arial" w:cs="Arial"/>
          <w:color w:val="00000A"/>
          <w:sz w:val="22"/>
          <w:szCs w:val="22"/>
        </w:rPr>
      </w:pPr>
    </w:p>
    <w:p w:rsidR="00233B71" w:rsidRDefault="00233B71" w:rsidP="008216E1">
      <w:pPr>
        <w:pStyle w:val="NoSpacing"/>
        <w:keepNext/>
        <w:numPr>
          <w:ilvl w:val="0"/>
          <w:numId w:val="16"/>
        </w:numPr>
        <w:rPr>
          <w:rFonts w:ascii="Arial" w:hAnsi="Arial" w:cs="Arial"/>
          <w:b/>
          <w:color w:val="00000A"/>
          <w:sz w:val="22"/>
          <w:szCs w:val="22"/>
        </w:rPr>
      </w:pPr>
      <w:r w:rsidRPr="00233B71">
        <w:rPr>
          <w:rFonts w:ascii="Arial" w:hAnsi="Arial" w:cs="Arial"/>
          <w:b/>
          <w:color w:val="00000A"/>
          <w:sz w:val="22"/>
          <w:szCs w:val="22"/>
        </w:rPr>
        <w:t>ATA contact</w:t>
      </w:r>
    </w:p>
    <w:p w:rsidR="00233B71" w:rsidRPr="00233B71" w:rsidRDefault="00233B71" w:rsidP="00233B71">
      <w:pPr>
        <w:pStyle w:val="NoSpacing"/>
        <w:rPr>
          <w:rFonts w:ascii="Arial" w:hAnsi="Arial" w:cs="Arial"/>
          <w:color w:val="00000A"/>
          <w:sz w:val="22"/>
          <w:szCs w:val="22"/>
        </w:rPr>
      </w:pPr>
    </w:p>
    <w:p w:rsidR="00233B71" w:rsidRPr="00233B71" w:rsidRDefault="00233B71" w:rsidP="00233B71">
      <w:pPr>
        <w:pStyle w:val="NoSpacing"/>
        <w:rPr>
          <w:rFonts w:ascii="Arial" w:hAnsi="Arial" w:cs="Arial"/>
          <w:color w:val="auto"/>
          <w:sz w:val="22"/>
          <w:szCs w:val="22"/>
        </w:rPr>
      </w:pPr>
      <w:r w:rsidRPr="00233B71">
        <w:rPr>
          <w:rFonts w:ascii="Arial" w:hAnsi="Arial" w:cs="Arial"/>
          <w:color w:val="auto"/>
          <w:sz w:val="22"/>
          <w:szCs w:val="22"/>
        </w:rPr>
        <w:t xml:space="preserve">The ATA contact for this </w:t>
      </w:r>
      <w:r w:rsidR="007F6602">
        <w:rPr>
          <w:rFonts w:ascii="Arial" w:hAnsi="Arial" w:cs="Arial"/>
          <w:color w:val="auto"/>
          <w:sz w:val="22"/>
          <w:szCs w:val="22"/>
        </w:rPr>
        <w:t>submission</w:t>
      </w:r>
      <w:r w:rsidRPr="00233B71">
        <w:rPr>
          <w:rFonts w:ascii="Arial" w:hAnsi="Arial" w:cs="Arial"/>
          <w:color w:val="auto"/>
          <w:sz w:val="22"/>
          <w:szCs w:val="22"/>
        </w:rPr>
        <w:t xml:space="preserve"> is Bill McKinley</w:t>
      </w:r>
      <w:r>
        <w:rPr>
          <w:rFonts w:ascii="Arial" w:hAnsi="Arial" w:cs="Arial"/>
          <w:color w:val="auto"/>
          <w:sz w:val="22"/>
          <w:szCs w:val="22"/>
        </w:rPr>
        <w:t>,</w:t>
      </w:r>
      <w:r w:rsidRPr="00233B71">
        <w:rPr>
          <w:rFonts w:ascii="Arial" w:hAnsi="Arial" w:cs="Arial"/>
          <w:color w:val="auto"/>
          <w:sz w:val="22"/>
          <w:szCs w:val="22"/>
        </w:rPr>
        <w:t xml:space="preserve"> Chief of Staff, on 02 6253 6900 or </w:t>
      </w:r>
      <w:hyperlink r:id="rId8" w:history="1">
        <w:r w:rsidRPr="00297CCF">
          <w:rPr>
            <w:rStyle w:val="Hyperlink"/>
            <w:rFonts w:ascii="Arial" w:hAnsi="Arial" w:cs="Arial"/>
            <w:sz w:val="22"/>
            <w:szCs w:val="22"/>
          </w:rPr>
          <w:t>bill.mckinley@truck.net.au</w:t>
        </w:r>
      </w:hyperlink>
      <w:r w:rsidRPr="00233B71">
        <w:rPr>
          <w:rFonts w:ascii="Arial" w:hAnsi="Arial" w:cs="Arial"/>
          <w:color w:val="auto"/>
          <w:sz w:val="22"/>
          <w:szCs w:val="22"/>
        </w:rPr>
        <w:t>.</w:t>
      </w:r>
    </w:p>
    <w:sectPr w:rsidR="00233B71" w:rsidRPr="00233B71" w:rsidSect="007B71D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A3" w:rsidRDefault="0048114E">
      <w:r>
        <w:separator/>
      </w:r>
    </w:p>
  </w:endnote>
  <w:endnote w:type="continuationSeparator" w:id="0">
    <w:p w:rsidR="006B4EA3" w:rsidRDefault="0048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3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74" w:rsidRDefault="00D57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74" w:rsidRDefault="00D57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74" w:rsidRDefault="00D5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A3" w:rsidRDefault="0048114E">
      <w:r>
        <w:separator/>
      </w:r>
    </w:p>
  </w:footnote>
  <w:footnote w:type="continuationSeparator" w:id="0">
    <w:p w:rsidR="006B4EA3" w:rsidRDefault="0048114E">
      <w:r>
        <w:continuationSeparator/>
      </w:r>
    </w:p>
  </w:footnote>
  <w:footnote w:id="1">
    <w:p w:rsidR="005D311E" w:rsidRPr="005D311E" w:rsidRDefault="005D311E" w:rsidP="005D311E">
      <w:pPr>
        <w:pStyle w:val="FootnoteText"/>
        <w:ind w:left="0" w:firstLine="0"/>
        <w:rPr>
          <w:rFonts w:ascii="Arial" w:hAnsi="Arial" w:cs="Arial"/>
          <w:sz w:val="18"/>
          <w:szCs w:val="18"/>
        </w:rPr>
      </w:pPr>
      <w:r w:rsidRPr="005D311E">
        <w:rPr>
          <w:rStyle w:val="FootnoteReference"/>
          <w:rFonts w:ascii="Arial" w:hAnsi="Arial" w:cs="Arial"/>
          <w:sz w:val="18"/>
          <w:szCs w:val="18"/>
        </w:rPr>
        <w:footnoteRef/>
      </w:r>
      <w:r w:rsidRPr="005D311E">
        <w:rPr>
          <w:rFonts w:ascii="Arial" w:hAnsi="Arial" w:cs="Arial"/>
          <w:sz w:val="18"/>
          <w:szCs w:val="18"/>
        </w:rPr>
        <w:t xml:space="preserve"> </w:t>
      </w:r>
      <w:r>
        <w:rPr>
          <w:rFonts w:ascii="Arial" w:hAnsi="Arial" w:cs="Arial"/>
          <w:sz w:val="18"/>
          <w:szCs w:val="18"/>
        </w:rPr>
        <w:t xml:space="preserve">Transport Industry Council, “Rates and cost schedule 2016-17: semi-trailer (bogie drive, 6-axle),” in </w:t>
      </w:r>
      <w:r w:rsidRPr="005D311E">
        <w:rPr>
          <w:rFonts w:ascii="Arial" w:hAnsi="Arial" w:cs="Arial"/>
          <w:i/>
          <w:sz w:val="18"/>
          <w:szCs w:val="18"/>
        </w:rPr>
        <w:t>Victoria Government Gazette</w:t>
      </w:r>
      <w:r>
        <w:rPr>
          <w:rFonts w:ascii="Arial" w:hAnsi="Arial" w:cs="Arial"/>
          <w:sz w:val="18"/>
          <w:szCs w:val="18"/>
        </w:rPr>
        <w:t>, 13 October 2016, 2577.</w:t>
      </w:r>
    </w:p>
  </w:footnote>
  <w:footnote w:id="2">
    <w:p w:rsidR="005D311E" w:rsidRPr="005D311E" w:rsidRDefault="005D311E" w:rsidP="00B378C0">
      <w:pPr>
        <w:pStyle w:val="FootnoteText"/>
        <w:ind w:left="0" w:firstLine="0"/>
        <w:rPr>
          <w:rFonts w:ascii="Arial" w:hAnsi="Arial" w:cs="Arial"/>
          <w:sz w:val="18"/>
          <w:szCs w:val="18"/>
        </w:rPr>
      </w:pPr>
      <w:r w:rsidRPr="005D311E">
        <w:rPr>
          <w:rStyle w:val="FootnoteReference"/>
          <w:rFonts w:ascii="Arial" w:hAnsi="Arial" w:cs="Arial"/>
          <w:sz w:val="18"/>
          <w:szCs w:val="18"/>
        </w:rPr>
        <w:footnoteRef/>
      </w:r>
      <w:r w:rsidRPr="005D311E">
        <w:rPr>
          <w:rFonts w:ascii="Arial" w:hAnsi="Arial" w:cs="Arial"/>
          <w:sz w:val="18"/>
          <w:szCs w:val="18"/>
        </w:rPr>
        <w:t xml:space="preserve"> Transport Industry Council, 2583.</w:t>
      </w:r>
    </w:p>
  </w:footnote>
  <w:footnote w:id="3">
    <w:p w:rsidR="00250DC6" w:rsidRPr="00250DC6" w:rsidRDefault="00250DC6">
      <w:pPr>
        <w:pStyle w:val="FootnoteText"/>
        <w:rPr>
          <w:rFonts w:ascii="Arial" w:hAnsi="Arial" w:cs="Arial"/>
          <w:sz w:val="18"/>
          <w:szCs w:val="18"/>
        </w:rPr>
      </w:pPr>
      <w:r w:rsidRPr="00250DC6">
        <w:rPr>
          <w:rStyle w:val="FootnoteReference"/>
          <w:rFonts w:ascii="Arial" w:hAnsi="Arial" w:cs="Arial"/>
          <w:sz w:val="18"/>
          <w:szCs w:val="18"/>
        </w:rPr>
        <w:footnoteRef/>
      </w:r>
      <w:r w:rsidRPr="00250DC6">
        <w:rPr>
          <w:rFonts w:ascii="Arial" w:hAnsi="Arial" w:cs="Arial"/>
          <w:sz w:val="18"/>
          <w:szCs w:val="18"/>
        </w:rPr>
        <w:t xml:space="preserve"> </w:t>
      </w:r>
      <w:r w:rsidRPr="00250DC6">
        <w:rPr>
          <w:rFonts w:ascii="Arial" w:hAnsi="Arial" w:cs="Arial"/>
          <w:i/>
          <w:sz w:val="18"/>
          <w:szCs w:val="18"/>
        </w:rPr>
        <w:t>Fuel Tax Act 2006</w:t>
      </w:r>
      <w:r>
        <w:rPr>
          <w:rFonts w:ascii="Arial" w:hAnsi="Arial" w:cs="Arial"/>
          <w:sz w:val="18"/>
          <w:szCs w:val="18"/>
        </w:rPr>
        <w:t xml:space="preserve"> (Cth), s 41-25.</w:t>
      </w:r>
    </w:p>
  </w:footnote>
  <w:footnote w:id="4">
    <w:p w:rsidR="00B378C0" w:rsidRPr="00B378C0" w:rsidRDefault="00B378C0" w:rsidP="00B378C0">
      <w:pPr>
        <w:pStyle w:val="FootnoteText"/>
        <w:ind w:left="0" w:firstLine="0"/>
        <w:rPr>
          <w:rFonts w:ascii="Arial" w:hAnsi="Arial" w:cs="Arial"/>
          <w:sz w:val="18"/>
          <w:szCs w:val="18"/>
        </w:rPr>
      </w:pPr>
      <w:r>
        <w:rPr>
          <w:rStyle w:val="FootnoteReference"/>
        </w:rPr>
        <w:footnoteRef/>
      </w:r>
      <w:r>
        <w:t xml:space="preserve"> </w:t>
      </w:r>
      <w:r>
        <w:rPr>
          <w:rFonts w:ascii="Arial" w:hAnsi="Arial" w:cs="Arial"/>
          <w:sz w:val="18"/>
          <w:szCs w:val="18"/>
        </w:rPr>
        <w:t xml:space="preserve">See, eg, Transport Industry Council, 2580, where the schedule is based on the retail diesel fuel </w:t>
      </w:r>
      <w:r w:rsidR="008216E1">
        <w:rPr>
          <w:rFonts w:ascii="Arial" w:hAnsi="Arial" w:cs="Arial"/>
          <w:sz w:val="18"/>
          <w:szCs w:val="18"/>
        </w:rPr>
        <w:t>price as at 3 June 2016.</w:t>
      </w:r>
    </w:p>
  </w:footnote>
  <w:footnote w:id="5">
    <w:p w:rsidR="00164429" w:rsidRPr="00164429" w:rsidRDefault="00164429">
      <w:pPr>
        <w:pStyle w:val="FootnoteText"/>
        <w:rPr>
          <w:rFonts w:ascii="Arial" w:hAnsi="Arial" w:cs="Arial"/>
          <w:sz w:val="18"/>
          <w:szCs w:val="18"/>
        </w:rPr>
      </w:pPr>
      <w:r w:rsidRPr="00164429">
        <w:rPr>
          <w:rStyle w:val="FootnoteReference"/>
          <w:rFonts w:ascii="Arial" w:hAnsi="Arial" w:cs="Arial"/>
          <w:sz w:val="18"/>
          <w:szCs w:val="18"/>
        </w:rPr>
        <w:footnoteRef/>
      </w:r>
      <w:r w:rsidRPr="00164429">
        <w:rPr>
          <w:rFonts w:ascii="Arial" w:hAnsi="Arial" w:cs="Arial"/>
          <w:sz w:val="18"/>
          <w:szCs w:val="18"/>
        </w:rPr>
        <w:t xml:space="preserve"> </w:t>
      </w:r>
      <w:r>
        <w:rPr>
          <w:rFonts w:ascii="Arial" w:hAnsi="Arial" w:cs="Arial"/>
          <w:sz w:val="18"/>
          <w:szCs w:val="18"/>
        </w:rPr>
        <w:t xml:space="preserve">ATA, </w:t>
      </w:r>
      <w:r w:rsidRPr="00164429">
        <w:rPr>
          <w:rFonts w:ascii="Arial" w:hAnsi="Arial" w:cs="Arial"/>
          <w:i/>
          <w:sz w:val="18"/>
          <w:szCs w:val="18"/>
        </w:rPr>
        <w:t>Code of conduct the answer to truck market power issues</w:t>
      </w:r>
      <w:r>
        <w:rPr>
          <w:rFonts w:ascii="Arial" w:hAnsi="Arial" w:cs="Arial"/>
          <w:sz w:val="18"/>
          <w:szCs w:val="18"/>
        </w:rPr>
        <w:t xml:space="preserve">. Media release, 13 April 2016. </w:t>
      </w:r>
      <w:hyperlink r:id="rId1" w:history="1">
        <w:r w:rsidRPr="00164429">
          <w:rPr>
            <w:rStyle w:val="Hyperlink"/>
            <w:rFonts w:ascii="Arial" w:hAnsi="Arial" w:cs="Arial"/>
            <w:sz w:val="18"/>
            <w:szCs w:val="18"/>
          </w:rPr>
          <w:t>Link</w:t>
        </w:r>
      </w:hyperlink>
      <w:r>
        <w:rPr>
          <w:rFonts w:ascii="Arial" w:hAnsi="Arial" w:cs="Arial"/>
          <w:sz w:val="18"/>
          <w:szCs w:val="18"/>
        </w:rPr>
        <w:t>.</w:t>
      </w:r>
    </w:p>
  </w:footnote>
  <w:footnote w:id="6">
    <w:p w:rsidR="000A57EE" w:rsidRPr="000A57EE" w:rsidRDefault="000A57EE" w:rsidP="000A57EE">
      <w:pPr>
        <w:pStyle w:val="FootnoteText"/>
        <w:ind w:left="0" w:firstLine="0"/>
        <w:rPr>
          <w:rFonts w:ascii="Arial" w:hAnsi="Arial" w:cs="Arial"/>
          <w:sz w:val="18"/>
          <w:szCs w:val="18"/>
        </w:rPr>
      </w:pPr>
      <w:r w:rsidRPr="000A57EE">
        <w:rPr>
          <w:rStyle w:val="FootnoteReference"/>
          <w:rFonts w:ascii="Arial" w:hAnsi="Arial" w:cs="Arial"/>
          <w:sz w:val="18"/>
          <w:szCs w:val="18"/>
        </w:rPr>
        <w:footnoteRef/>
      </w:r>
      <w:r w:rsidRPr="000A57EE">
        <w:rPr>
          <w:rFonts w:ascii="Arial" w:hAnsi="Arial" w:cs="Arial"/>
          <w:sz w:val="18"/>
          <w:szCs w:val="18"/>
        </w:rPr>
        <w:t xml:space="preserve"> ATA, </w:t>
      </w:r>
      <w:r w:rsidRPr="000A57EE">
        <w:rPr>
          <w:rFonts w:ascii="Arial" w:hAnsi="Arial" w:cs="Arial"/>
          <w:i/>
          <w:sz w:val="18"/>
          <w:szCs w:val="18"/>
        </w:rPr>
        <w:t>Fatal truck crash rate falls 80 per cent</w:t>
      </w:r>
      <w:r w:rsidRPr="000A57EE">
        <w:rPr>
          <w:rFonts w:ascii="Arial" w:hAnsi="Arial" w:cs="Arial"/>
          <w:sz w:val="18"/>
          <w:szCs w:val="18"/>
        </w:rPr>
        <w:t xml:space="preserve">. Media release, 17 May 2016. Figures sourced from the University of Adelaide Centre for Automotive Safety Research. </w:t>
      </w:r>
      <w:hyperlink r:id="rId2" w:history="1">
        <w:r w:rsidRPr="000A57EE">
          <w:rPr>
            <w:rStyle w:val="Hyperlink"/>
            <w:rFonts w:ascii="Arial" w:hAnsi="Arial" w:cs="Arial"/>
            <w:sz w:val="18"/>
            <w:szCs w:val="18"/>
          </w:rPr>
          <w:t>Link</w:t>
        </w:r>
      </w:hyperlink>
      <w:r w:rsidRPr="000A57EE">
        <w:rPr>
          <w:rFonts w:ascii="Arial" w:hAnsi="Arial" w:cs="Arial"/>
          <w:sz w:val="18"/>
          <w:szCs w:val="18"/>
        </w:rPr>
        <w:t>.</w:t>
      </w:r>
    </w:p>
  </w:footnote>
  <w:footnote w:id="7">
    <w:p w:rsidR="004B7374" w:rsidRPr="004B7374" w:rsidRDefault="004B7374">
      <w:pPr>
        <w:pStyle w:val="FootnoteText"/>
        <w:rPr>
          <w:rFonts w:ascii="Arial" w:hAnsi="Arial" w:cs="Arial"/>
          <w:sz w:val="18"/>
          <w:szCs w:val="18"/>
        </w:rPr>
      </w:pPr>
      <w:r w:rsidRPr="00250DC6">
        <w:rPr>
          <w:rStyle w:val="FootnoteReference"/>
          <w:rFonts w:ascii="Arial" w:hAnsi="Arial" w:cs="Arial"/>
          <w:sz w:val="18"/>
          <w:szCs w:val="18"/>
        </w:rPr>
        <w:footnoteRef/>
      </w:r>
      <w:r w:rsidRPr="00250DC6">
        <w:rPr>
          <w:rFonts w:ascii="Arial" w:hAnsi="Arial" w:cs="Arial"/>
          <w:sz w:val="18"/>
          <w:szCs w:val="18"/>
        </w:rPr>
        <w:t xml:space="preserve"> </w:t>
      </w:r>
      <w:r w:rsidRPr="004B7374">
        <w:rPr>
          <w:rFonts w:ascii="Arial" w:hAnsi="Arial" w:cs="Arial"/>
          <w:i/>
          <w:sz w:val="18"/>
          <w:szCs w:val="18"/>
        </w:rPr>
        <w:t>Road Safety Remuneration Act 2012</w:t>
      </w:r>
      <w:r>
        <w:rPr>
          <w:rFonts w:ascii="Arial" w:hAnsi="Arial" w:cs="Arial"/>
          <w:sz w:val="18"/>
          <w:szCs w:val="18"/>
        </w:rPr>
        <w:t xml:space="preserve"> (</w:t>
      </w:r>
      <w:r w:rsidR="00A853A1">
        <w:rPr>
          <w:rFonts w:ascii="Arial" w:hAnsi="Arial" w:cs="Arial"/>
          <w:sz w:val="18"/>
          <w:szCs w:val="18"/>
        </w:rPr>
        <w:t>Cth</w:t>
      </w:r>
      <w:r>
        <w:rPr>
          <w:rFonts w:ascii="Arial" w:hAnsi="Arial" w:cs="Arial"/>
          <w:sz w:val="18"/>
          <w:szCs w:val="18"/>
        </w:rPr>
        <w:t>), s 3.</w:t>
      </w:r>
    </w:p>
  </w:footnote>
  <w:footnote w:id="8">
    <w:p w:rsidR="005B4DCA" w:rsidRPr="00DC4046" w:rsidRDefault="005B4DCA" w:rsidP="005B4DCA">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National Transport Insurance, </w:t>
      </w:r>
      <w:r w:rsidRPr="00DC4046">
        <w:rPr>
          <w:rFonts w:ascii="Arial" w:hAnsi="Arial" w:cs="Arial"/>
          <w:i/>
          <w:sz w:val="18"/>
          <w:szCs w:val="18"/>
        </w:rPr>
        <w:t>2015 major accident investigation report</w:t>
      </w:r>
      <w:r>
        <w:rPr>
          <w:rFonts w:ascii="Arial" w:hAnsi="Arial" w:cs="Arial"/>
          <w:sz w:val="18"/>
          <w:szCs w:val="18"/>
        </w:rPr>
        <w:t xml:space="preserve">, NTI, Brisbane, 2015, 7. </w:t>
      </w:r>
      <w:hyperlink r:id="rId3" w:history="1">
        <w:r w:rsidRPr="00DC4046">
          <w:rPr>
            <w:rStyle w:val="Hyperlink"/>
            <w:rFonts w:ascii="Arial" w:hAnsi="Arial" w:cs="Arial"/>
            <w:sz w:val="18"/>
            <w:szCs w:val="18"/>
          </w:rPr>
          <w:t>Link</w:t>
        </w:r>
      </w:hyperlink>
      <w:r>
        <w:rPr>
          <w:rFonts w:ascii="Arial" w:hAnsi="Arial" w:cs="Arial"/>
          <w:sz w:val="18"/>
          <w:szCs w:val="18"/>
        </w:rPr>
        <w:t>.</w:t>
      </w:r>
    </w:p>
  </w:footnote>
  <w:footnote w:id="9">
    <w:p w:rsidR="005B4DCA" w:rsidRPr="00CB30A4" w:rsidRDefault="005B4DCA" w:rsidP="005B4DCA">
      <w:pPr>
        <w:pStyle w:val="FootnoteText"/>
        <w:rPr>
          <w:rFonts w:ascii="Arial" w:hAnsi="Arial" w:cs="Arial"/>
          <w:sz w:val="18"/>
          <w:szCs w:val="18"/>
        </w:rPr>
      </w:pPr>
      <w:r w:rsidRPr="00CB30A4">
        <w:rPr>
          <w:rStyle w:val="FootnoteReference"/>
          <w:rFonts w:ascii="Arial" w:hAnsi="Arial" w:cs="Arial"/>
          <w:sz w:val="18"/>
          <w:szCs w:val="18"/>
        </w:rPr>
        <w:footnoteRef/>
      </w:r>
      <w:r w:rsidRPr="00CB30A4">
        <w:rPr>
          <w:rFonts w:ascii="Arial" w:hAnsi="Arial" w:cs="Arial"/>
          <w:sz w:val="18"/>
          <w:szCs w:val="18"/>
        </w:rPr>
        <w:t xml:space="preserve"> Austroads, </w:t>
      </w:r>
      <w:r w:rsidRPr="00CB30A4">
        <w:rPr>
          <w:rFonts w:ascii="Arial" w:hAnsi="Arial" w:cs="Arial"/>
          <w:i/>
          <w:sz w:val="18"/>
          <w:szCs w:val="18"/>
        </w:rPr>
        <w:t>Road Geometry Study for Improved Rural Safety</w:t>
      </w:r>
      <w:r>
        <w:rPr>
          <w:rFonts w:ascii="Arial" w:hAnsi="Arial" w:cs="Arial"/>
          <w:sz w:val="18"/>
          <w:szCs w:val="18"/>
        </w:rPr>
        <w:t>,</w:t>
      </w:r>
      <w:r w:rsidR="00F253DE">
        <w:rPr>
          <w:rFonts w:ascii="Arial" w:hAnsi="Arial" w:cs="Arial"/>
          <w:sz w:val="18"/>
          <w:szCs w:val="18"/>
        </w:rPr>
        <w:t xml:space="preserve"> Technical report </w:t>
      </w:r>
      <w:r w:rsidR="00F253DE" w:rsidRPr="00F253DE">
        <w:rPr>
          <w:rFonts w:ascii="Arial" w:hAnsi="Arial" w:cs="Arial"/>
          <w:sz w:val="18"/>
          <w:szCs w:val="18"/>
        </w:rPr>
        <w:t>AP-T295-15</w:t>
      </w:r>
      <w:r w:rsidR="00F253DE">
        <w:rPr>
          <w:rFonts w:ascii="Arial" w:hAnsi="Arial" w:cs="Arial"/>
          <w:sz w:val="18"/>
          <w:szCs w:val="18"/>
        </w:rPr>
        <w:t>,</w:t>
      </w:r>
      <w:r>
        <w:rPr>
          <w:rFonts w:ascii="Arial" w:hAnsi="Arial" w:cs="Arial"/>
          <w:sz w:val="18"/>
          <w:szCs w:val="18"/>
        </w:rPr>
        <w:t xml:space="preserve"> 2015, </w:t>
      </w:r>
      <w:r w:rsidRPr="00CB30A4">
        <w:rPr>
          <w:rFonts w:ascii="Arial" w:hAnsi="Arial" w:cs="Arial"/>
          <w:sz w:val="18"/>
          <w:szCs w:val="18"/>
        </w:rPr>
        <w:t>1.</w:t>
      </w:r>
      <w:r w:rsidR="00F253DE">
        <w:rPr>
          <w:rFonts w:ascii="Arial" w:hAnsi="Arial" w:cs="Arial"/>
          <w:sz w:val="18"/>
          <w:szCs w:val="18"/>
        </w:rPr>
        <w:t xml:space="preserve"> </w:t>
      </w:r>
      <w:hyperlink r:id="rId4" w:history="1">
        <w:r w:rsidR="00F253DE" w:rsidRPr="00F253DE">
          <w:rPr>
            <w:rStyle w:val="Hyperlink"/>
            <w:rFonts w:ascii="Arial" w:hAnsi="Arial" w:cs="Arial"/>
            <w:sz w:val="18"/>
            <w:szCs w:val="18"/>
          </w:rPr>
          <w:t>Link</w:t>
        </w:r>
      </w:hyperlink>
      <w:r w:rsidR="00F253DE">
        <w:rPr>
          <w:rFonts w:ascii="Arial" w:hAnsi="Arial" w:cs="Arial"/>
          <w:sz w:val="18"/>
          <w:szCs w:val="18"/>
        </w:rPr>
        <w:t>.</w:t>
      </w:r>
    </w:p>
  </w:footnote>
  <w:footnote w:id="10">
    <w:p w:rsidR="00E55078" w:rsidRPr="00E55078" w:rsidRDefault="00E55078">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NTI, 22.</w:t>
      </w:r>
    </w:p>
  </w:footnote>
  <w:footnote w:id="11">
    <w:p w:rsidR="0022693B" w:rsidRPr="00E32A3B" w:rsidRDefault="0022693B" w:rsidP="0022693B">
      <w:pPr>
        <w:pStyle w:val="FootnoteText"/>
        <w:ind w:left="0" w:firstLine="0"/>
        <w:rPr>
          <w:rFonts w:ascii="Arial" w:hAnsi="Arial" w:cs="Arial"/>
          <w:sz w:val="18"/>
          <w:szCs w:val="18"/>
        </w:rPr>
      </w:pPr>
      <w:r w:rsidRPr="001B4728">
        <w:rPr>
          <w:rStyle w:val="FootnoteReference"/>
          <w:rFonts w:ascii="Arial" w:hAnsi="Arial" w:cs="Arial"/>
          <w:sz w:val="18"/>
          <w:szCs w:val="18"/>
        </w:rPr>
        <w:footnoteRef/>
      </w:r>
      <w:r w:rsidRPr="001B4728">
        <w:rPr>
          <w:rFonts w:ascii="Arial" w:hAnsi="Arial" w:cs="Arial"/>
          <w:sz w:val="18"/>
          <w:szCs w:val="18"/>
        </w:rPr>
        <w:t xml:space="preserve"> PricewaterhouseCoopers</w:t>
      </w:r>
      <w:r w:rsidRPr="001B4728">
        <w:rPr>
          <w:rFonts w:ascii="Arial" w:hAnsi="Arial" w:cs="Arial"/>
          <w:i/>
          <w:sz w:val="18"/>
          <w:szCs w:val="18"/>
        </w:rPr>
        <w:t>, Review of the road safety remuneration system: final report</w:t>
      </w:r>
      <w:r w:rsidRPr="001B4728">
        <w:rPr>
          <w:rFonts w:ascii="Arial" w:hAnsi="Arial" w:cs="Arial"/>
          <w:sz w:val="18"/>
          <w:szCs w:val="18"/>
        </w:rPr>
        <w:t xml:space="preserve">. January 2016. v. </w:t>
      </w:r>
      <w:hyperlink r:id="rId5" w:history="1">
        <w:r w:rsidRPr="001B4728">
          <w:rPr>
            <w:rStyle w:val="Hyperlink"/>
            <w:rFonts w:ascii="Arial" w:hAnsi="Arial" w:cs="Arial"/>
            <w:sz w:val="18"/>
            <w:szCs w:val="18"/>
          </w:rPr>
          <w:t>Link</w:t>
        </w:r>
      </w:hyperlink>
      <w:r w:rsidRPr="001B4728">
        <w:rPr>
          <w:rFonts w:ascii="Arial" w:hAnsi="Arial" w:cs="Arial"/>
          <w:sz w:val="18"/>
          <w:szCs w:val="18"/>
        </w:rPr>
        <w:t xml:space="preserve">. </w:t>
      </w:r>
    </w:p>
  </w:footnote>
  <w:footnote w:id="12">
    <w:p w:rsidR="0022693B" w:rsidRPr="0022693B" w:rsidRDefault="0022693B">
      <w:pPr>
        <w:pStyle w:val="FootnoteText"/>
        <w:rPr>
          <w:rFonts w:ascii="Arial" w:hAnsi="Arial" w:cs="Arial"/>
          <w:sz w:val="18"/>
          <w:szCs w:val="18"/>
        </w:rPr>
      </w:pPr>
      <w:r w:rsidRPr="0022693B">
        <w:rPr>
          <w:rStyle w:val="FootnoteReference"/>
          <w:rFonts w:ascii="Arial" w:hAnsi="Arial" w:cs="Arial"/>
          <w:sz w:val="18"/>
          <w:szCs w:val="18"/>
        </w:rPr>
        <w:footnoteRef/>
      </w:r>
      <w:r w:rsidRPr="0022693B">
        <w:rPr>
          <w:rFonts w:ascii="Arial" w:hAnsi="Arial" w:cs="Arial"/>
          <w:sz w:val="18"/>
          <w:szCs w:val="18"/>
        </w:rPr>
        <w:t xml:space="preserve"> </w:t>
      </w:r>
      <w:r>
        <w:rPr>
          <w:rFonts w:ascii="Arial" w:hAnsi="Arial" w:cs="Arial"/>
          <w:sz w:val="18"/>
          <w:szCs w:val="18"/>
        </w:rPr>
        <w:t>PwC, 50.</w:t>
      </w:r>
    </w:p>
  </w:footnote>
  <w:footnote w:id="13">
    <w:p w:rsidR="0022693B" w:rsidRPr="0022693B" w:rsidRDefault="0022693B">
      <w:pPr>
        <w:pStyle w:val="FootnoteText"/>
        <w:rPr>
          <w:rFonts w:ascii="Arial" w:hAnsi="Arial" w:cs="Arial"/>
          <w:sz w:val="18"/>
          <w:szCs w:val="18"/>
        </w:rPr>
      </w:pPr>
      <w:r w:rsidRPr="008216E1">
        <w:rPr>
          <w:rStyle w:val="FootnoteReference"/>
          <w:rFonts w:ascii="Arial" w:hAnsi="Arial" w:cs="Arial"/>
          <w:sz w:val="18"/>
          <w:szCs w:val="18"/>
        </w:rPr>
        <w:footnoteRef/>
      </w:r>
      <w:r w:rsidRPr="008216E1">
        <w:rPr>
          <w:rFonts w:ascii="Arial" w:hAnsi="Arial" w:cs="Arial"/>
          <w:sz w:val="18"/>
          <w:szCs w:val="18"/>
        </w:rPr>
        <w:t xml:space="preserve"> P</w:t>
      </w:r>
      <w:r>
        <w:rPr>
          <w:rFonts w:ascii="Arial" w:hAnsi="Arial" w:cs="Arial"/>
          <w:sz w:val="18"/>
          <w:szCs w:val="18"/>
        </w:rPr>
        <w:t>wC, 52.</w:t>
      </w:r>
    </w:p>
  </w:footnote>
  <w:footnote w:id="14">
    <w:p w:rsidR="00E32A3B" w:rsidRDefault="00E32A3B">
      <w:pPr>
        <w:pStyle w:val="FootnoteText"/>
      </w:pPr>
      <w:r w:rsidRPr="00E32A3B">
        <w:rPr>
          <w:rStyle w:val="FootnoteReference"/>
          <w:rFonts w:ascii="Arial" w:hAnsi="Arial" w:cs="Arial"/>
          <w:sz w:val="18"/>
          <w:szCs w:val="18"/>
        </w:rPr>
        <w:footnoteRef/>
      </w:r>
      <w:r w:rsidRPr="00E32A3B">
        <w:rPr>
          <w:rFonts w:ascii="Arial" w:hAnsi="Arial" w:cs="Arial"/>
          <w:sz w:val="18"/>
          <w:szCs w:val="18"/>
        </w:rPr>
        <w:t xml:space="preserve"> PwC, 84.</w:t>
      </w:r>
    </w:p>
  </w:footnote>
  <w:footnote w:id="15">
    <w:p w:rsidR="00C86318" w:rsidRPr="00C86318" w:rsidRDefault="00C86318">
      <w:pPr>
        <w:pStyle w:val="FootnoteText"/>
        <w:rPr>
          <w:rFonts w:ascii="Arial" w:hAnsi="Arial" w:cs="Arial"/>
          <w:sz w:val="18"/>
          <w:szCs w:val="18"/>
        </w:rPr>
      </w:pPr>
      <w:r w:rsidRPr="00C86318">
        <w:rPr>
          <w:rStyle w:val="FootnoteReference"/>
          <w:rFonts w:ascii="Arial" w:hAnsi="Arial" w:cs="Arial"/>
          <w:sz w:val="18"/>
          <w:szCs w:val="18"/>
        </w:rPr>
        <w:footnoteRef/>
      </w:r>
      <w:r w:rsidRPr="00C86318">
        <w:rPr>
          <w:rFonts w:ascii="Arial" w:hAnsi="Arial" w:cs="Arial"/>
          <w:sz w:val="18"/>
          <w:szCs w:val="18"/>
        </w:rPr>
        <w:t xml:space="preserve"> </w:t>
      </w:r>
      <w:r>
        <w:rPr>
          <w:rFonts w:ascii="Arial" w:hAnsi="Arial" w:cs="Arial"/>
          <w:sz w:val="18"/>
          <w:szCs w:val="18"/>
        </w:rPr>
        <w:t xml:space="preserve">Victorian Government, </w:t>
      </w:r>
      <w:r w:rsidRPr="00C86318">
        <w:rPr>
          <w:rFonts w:ascii="Arial" w:hAnsi="Arial" w:cs="Arial"/>
          <w:i/>
          <w:sz w:val="18"/>
          <w:szCs w:val="18"/>
        </w:rPr>
        <w:t>Towards Zero 2016//2020: Victoria’s road safety strategy and action plan</w:t>
      </w:r>
      <w:r>
        <w:rPr>
          <w:rFonts w:ascii="Arial" w:hAnsi="Arial" w:cs="Arial"/>
          <w:sz w:val="18"/>
          <w:szCs w:val="18"/>
        </w:rPr>
        <w:t xml:space="preserve">. 5. </w:t>
      </w:r>
      <w:hyperlink r:id="rId6" w:history="1">
        <w:r w:rsidRPr="00C86318">
          <w:rPr>
            <w:rStyle w:val="Hyperlink"/>
            <w:rFonts w:ascii="Arial" w:hAnsi="Arial" w:cs="Arial"/>
            <w:sz w:val="18"/>
            <w:szCs w:val="18"/>
          </w:rPr>
          <w:t>Link</w:t>
        </w:r>
      </w:hyperlink>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74" w:rsidRDefault="00D57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D2" w:rsidRPr="007B71D2" w:rsidRDefault="00522C3D" w:rsidP="00522C3D">
    <w:pPr>
      <w:pStyle w:val="Header"/>
      <w:jc w:val="right"/>
      <w:rPr>
        <w:rFonts w:ascii="Arial" w:hAnsi="Arial" w:cs="Arial"/>
        <w:sz w:val="22"/>
        <w:szCs w:val="22"/>
      </w:rPr>
    </w:pPr>
    <w:r>
      <w:rPr>
        <w:rFonts w:ascii="Arial" w:hAnsi="Arial" w:cs="Arial"/>
        <w:sz w:val="22"/>
        <w:szCs w:val="22"/>
      </w:rPr>
      <w:t>ATA/</w:t>
    </w:r>
    <w:r w:rsidR="00063982">
      <w:rPr>
        <w:rFonts w:ascii="Arial" w:hAnsi="Arial" w:cs="Arial"/>
        <w:sz w:val="22"/>
        <w:szCs w:val="22"/>
      </w:rPr>
      <w:t>ODFC Act review</w:t>
    </w:r>
    <w:r>
      <w:rPr>
        <w:rFonts w:ascii="Arial" w:hAnsi="Arial" w:cs="Arial"/>
        <w:sz w:val="22"/>
        <w:szCs w:val="22"/>
      </w:rPr>
      <w:t>/</w:t>
    </w:r>
    <w:r w:rsidRPr="00522C3D">
      <w:rPr>
        <w:rFonts w:ascii="Arial" w:hAnsi="Arial" w:cs="Arial"/>
        <w:sz w:val="22"/>
        <w:szCs w:val="22"/>
      </w:rPr>
      <w:fldChar w:fldCharType="begin"/>
    </w:r>
    <w:r w:rsidRPr="00522C3D">
      <w:rPr>
        <w:rFonts w:ascii="Arial" w:hAnsi="Arial" w:cs="Arial"/>
        <w:sz w:val="22"/>
        <w:szCs w:val="22"/>
      </w:rPr>
      <w:instrText xml:space="preserve"> PAGE   \* MERGEFORMAT </w:instrText>
    </w:r>
    <w:r w:rsidRPr="00522C3D">
      <w:rPr>
        <w:rFonts w:ascii="Arial" w:hAnsi="Arial" w:cs="Arial"/>
        <w:sz w:val="22"/>
        <w:szCs w:val="22"/>
      </w:rPr>
      <w:fldChar w:fldCharType="separate"/>
    </w:r>
    <w:r w:rsidR="00D57474">
      <w:rPr>
        <w:rFonts w:ascii="Arial" w:hAnsi="Arial" w:cs="Arial"/>
        <w:noProof/>
        <w:sz w:val="22"/>
        <w:szCs w:val="22"/>
      </w:rPr>
      <w:t>5</w:t>
    </w:r>
    <w:r w:rsidRPr="00522C3D">
      <w:rPr>
        <w:rFonts w:ascii="Arial" w:hAnsi="Arial" w:cs="Arial"/>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D2" w:rsidRDefault="007B71D2" w:rsidP="007B71D2">
    <w:pPr>
      <w:pStyle w:val="Header"/>
      <w:jc w:val="center"/>
    </w:pPr>
    <w:r>
      <w:rPr>
        <w:noProof/>
        <w:lang w:eastAsia="en-AU"/>
      </w:rPr>
      <w:drawing>
        <wp:inline distT="0" distB="0" distL="0" distR="0" wp14:anchorId="1A76DE87" wp14:editId="5D439F9B">
          <wp:extent cx="11506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5562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86BE3E"/>
    <w:lvl w:ilvl="0">
      <w:start w:val="1"/>
      <w:numFmt w:val="decimal"/>
      <w:pStyle w:val="Heading1"/>
      <w:lvlText w:val="%1."/>
      <w:lvlJc w:val="left"/>
      <w:pPr>
        <w:tabs>
          <w:tab w:val="num" w:pos="0"/>
        </w:tabs>
        <w:ind w:left="360" w:hanging="360"/>
      </w:pPr>
      <w:rPr>
        <w:rFonts w:cs="Times New Roman"/>
        <w:sz w:val="22"/>
        <w:szCs w:val="22"/>
      </w:rPr>
    </w:lvl>
    <w:lvl w:ilvl="1">
      <w:start w:val="1"/>
      <w:numFmt w:val="decimal"/>
      <w:pStyle w:val="ATAHeading2"/>
      <w:lvlText w:val="%1.%2."/>
      <w:lvlJc w:val="left"/>
      <w:pPr>
        <w:tabs>
          <w:tab w:val="num" w:pos="0"/>
        </w:tabs>
        <w:ind w:left="716" w:hanging="432"/>
      </w:pPr>
      <w:rPr>
        <w:rFonts w:cs="Times New Roman"/>
      </w:rPr>
    </w:lvl>
    <w:lvl w:ilvl="2">
      <w:start w:val="1"/>
      <w:numFmt w:val="decimal"/>
      <w:pStyle w:val="ATAHeading3"/>
      <w:lvlText w:val="%1.%2.%3."/>
      <w:lvlJc w:val="left"/>
      <w:pPr>
        <w:tabs>
          <w:tab w:val="num" w:pos="0"/>
        </w:tabs>
        <w:ind w:left="1224" w:hanging="504"/>
      </w:pPr>
      <w:rPr>
        <w:rFonts w:cs="Times New Roman"/>
        <w:b/>
        <w:color w:val="00006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A803544"/>
    <w:multiLevelType w:val="hybridMultilevel"/>
    <w:tmpl w:val="5D04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EF047B"/>
    <w:multiLevelType w:val="hybridMultilevel"/>
    <w:tmpl w:val="194C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C7467"/>
    <w:multiLevelType w:val="hybridMultilevel"/>
    <w:tmpl w:val="C33AF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0D09EC"/>
    <w:multiLevelType w:val="hybridMultilevel"/>
    <w:tmpl w:val="991E7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891DAE"/>
    <w:multiLevelType w:val="hybridMultilevel"/>
    <w:tmpl w:val="10E0B3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DA63DF"/>
    <w:multiLevelType w:val="multilevel"/>
    <w:tmpl w:val="E09A254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5CBD06AD"/>
    <w:multiLevelType w:val="hybridMultilevel"/>
    <w:tmpl w:val="85208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B477C"/>
    <w:multiLevelType w:val="hybridMultilevel"/>
    <w:tmpl w:val="14D8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CF264D"/>
    <w:multiLevelType w:val="hybridMultilevel"/>
    <w:tmpl w:val="80B88178"/>
    <w:lvl w:ilvl="0" w:tplc="0F78E32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E7416CE"/>
    <w:multiLevelType w:val="hybridMultilevel"/>
    <w:tmpl w:val="C21A1966"/>
    <w:lvl w:ilvl="0" w:tplc="3DD0E22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522710E"/>
    <w:multiLevelType w:val="hybridMultilevel"/>
    <w:tmpl w:val="C5BAF66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360" w:hanging="360"/>
      </w:pPr>
    </w:lvl>
    <w:lvl w:ilvl="2" w:tplc="0C090001">
      <w:start w:val="1"/>
      <w:numFmt w:val="bullet"/>
      <w:lvlText w:val=""/>
      <w:lvlJc w:val="left"/>
      <w:pPr>
        <w:ind w:left="1080" w:hanging="180"/>
      </w:pPr>
      <w:rPr>
        <w:rFonts w:ascii="Symbol" w:hAnsi="Symbol" w:hint="default"/>
      </w:r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8"/>
  </w:num>
  <w:num w:numId="9">
    <w:abstractNumId w:val="10"/>
  </w:num>
  <w:num w:numId="10">
    <w:abstractNumId w:val="11"/>
  </w:num>
  <w:num w:numId="11">
    <w:abstractNumId w:val="13"/>
  </w:num>
  <w:num w:numId="12">
    <w:abstractNumId w:val="5"/>
  </w:num>
  <w:num w:numId="13">
    <w:abstractNumId w:val="7"/>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7"/>
    <w:rsid w:val="00014999"/>
    <w:rsid w:val="00046CF1"/>
    <w:rsid w:val="00063982"/>
    <w:rsid w:val="00086D94"/>
    <w:rsid w:val="000A57EE"/>
    <w:rsid w:val="000D1AC2"/>
    <w:rsid w:val="001408B3"/>
    <w:rsid w:val="001626B6"/>
    <w:rsid w:val="00164429"/>
    <w:rsid w:val="001A7F01"/>
    <w:rsid w:val="001B4728"/>
    <w:rsid w:val="001C2638"/>
    <w:rsid w:val="001E2F0D"/>
    <w:rsid w:val="00212ABE"/>
    <w:rsid w:val="0022693B"/>
    <w:rsid w:val="00233B71"/>
    <w:rsid w:val="00245D22"/>
    <w:rsid w:val="00250DC6"/>
    <w:rsid w:val="00287270"/>
    <w:rsid w:val="003254B1"/>
    <w:rsid w:val="0032632E"/>
    <w:rsid w:val="00363216"/>
    <w:rsid w:val="004505C2"/>
    <w:rsid w:val="0048114E"/>
    <w:rsid w:val="0048233B"/>
    <w:rsid w:val="00486AE6"/>
    <w:rsid w:val="004A5C69"/>
    <w:rsid w:val="004A6364"/>
    <w:rsid w:val="004B53F7"/>
    <w:rsid w:val="004B7374"/>
    <w:rsid w:val="004D16B7"/>
    <w:rsid w:val="00502D7A"/>
    <w:rsid w:val="00513A18"/>
    <w:rsid w:val="00522C3D"/>
    <w:rsid w:val="0059319C"/>
    <w:rsid w:val="005B4DCA"/>
    <w:rsid w:val="005D311E"/>
    <w:rsid w:val="005F639E"/>
    <w:rsid w:val="00623377"/>
    <w:rsid w:val="00634247"/>
    <w:rsid w:val="00660957"/>
    <w:rsid w:val="00687F2F"/>
    <w:rsid w:val="006B4EA3"/>
    <w:rsid w:val="007106AD"/>
    <w:rsid w:val="0074469A"/>
    <w:rsid w:val="00776AAE"/>
    <w:rsid w:val="007A7147"/>
    <w:rsid w:val="007B71D2"/>
    <w:rsid w:val="007F6602"/>
    <w:rsid w:val="008216E1"/>
    <w:rsid w:val="008779D3"/>
    <w:rsid w:val="008B3B44"/>
    <w:rsid w:val="008B5CDA"/>
    <w:rsid w:val="008D0C59"/>
    <w:rsid w:val="00942866"/>
    <w:rsid w:val="00951499"/>
    <w:rsid w:val="00A23409"/>
    <w:rsid w:val="00A41445"/>
    <w:rsid w:val="00A50A92"/>
    <w:rsid w:val="00A54FAE"/>
    <w:rsid w:val="00A658DE"/>
    <w:rsid w:val="00A67EB3"/>
    <w:rsid w:val="00A853A1"/>
    <w:rsid w:val="00AC69D3"/>
    <w:rsid w:val="00B13EC1"/>
    <w:rsid w:val="00B35E61"/>
    <w:rsid w:val="00B378C0"/>
    <w:rsid w:val="00B54C8A"/>
    <w:rsid w:val="00B87CEB"/>
    <w:rsid w:val="00B95E74"/>
    <w:rsid w:val="00BC6893"/>
    <w:rsid w:val="00BD01CE"/>
    <w:rsid w:val="00BD4C1C"/>
    <w:rsid w:val="00BD525C"/>
    <w:rsid w:val="00C24F57"/>
    <w:rsid w:val="00C34231"/>
    <w:rsid w:val="00C86318"/>
    <w:rsid w:val="00CB2EBE"/>
    <w:rsid w:val="00CB3313"/>
    <w:rsid w:val="00CB59D9"/>
    <w:rsid w:val="00CE2F1F"/>
    <w:rsid w:val="00D57474"/>
    <w:rsid w:val="00DB683C"/>
    <w:rsid w:val="00DD4C4A"/>
    <w:rsid w:val="00DF62CD"/>
    <w:rsid w:val="00E32A3B"/>
    <w:rsid w:val="00E413F7"/>
    <w:rsid w:val="00E55078"/>
    <w:rsid w:val="00ED731E"/>
    <w:rsid w:val="00EE6E8F"/>
    <w:rsid w:val="00F058A7"/>
    <w:rsid w:val="00F227BB"/>
    <w:rsid w:val="00F253DE"/>
    <w:rsid w:val="00F41A72"/>
    <w:rsid w:val="00F851FD"/>
    <w:rsid w:val="00F92950"/>
    <w:rsid w:val="00FE5746"/>
    <w:rsid w:val="00FE6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Calibri"/>
      <w:color w:val="000000"/>
      <w:sz w:val="24"/>
      <w:szCs w:val="24"/>
      <w:lang w:eastAsia="ar-SA"/>
    </w:rPr>
  </w:style>
  <w:style w:type="paragraph" w:styleId="Heading1">
    <w:name w:val="heading 1"/>
    <w:basedOn w:val="Normal"/>
    <w:next w:val="BodyText"/>
    <w:qFormat/>
    <w:pPr>
      <w:numPr>
        <w:numId w:val="1"/>
      </w:numPr>
      <w:outlineLvl w:val="0"/>
    </w:pPr>
    <w:rPr>
      <w:rFonts w:ascii="Arial" w:hAnsi="Arial" w:cs="Arial"/>
      <w:b/>
      <w:color w:val="000064"/>
      <w:sz w:val="28"/>
      <w:szCs w:val="28"/>
    </w:rPr>
  </w:style>
  <w:style w:type="paragraph" w:styleId="Heading2">
    <w:name w:val="heading 2"/>
    <w:basedOn w:val="Normal"/>
    <w:next w:val="BodyText"/>
    <w:qFormat/>
    <w:pPr>
      <w:keepNext/>
      <w:keepLines/>
      <w:tabs>
        <w:tab w:val="num" w:pos="0"/>
      </w:tabs>
      <w:spacing w:before="200"/>
      <w:ind w:left="360" w:hanging="360"/>
      <w:outlineLvl w:val="1"/>
    </w:pPr>
    <w:rPr>
      <w:rFonts w:ascii="Cambria" w:hAnsi="Cambria" w:cs="font332"/>
      <w:b/>
      <w:bCs/>
      <w:color w:val="4F81BD"/>
      <w:sz w:val="26"/>
      <w:szCs w:val="26"/>
    </w:rPr>
  </w:style>
  <w:style w:type="paragraph" w:styleId="Heading3">
    <w:name w:val="heading 3"/>
    <w:basedOn w:val="Normal"/>
    <w:next w:val="BodyText"/>
    <w:qFormat/>
    <w:pPr>
      <w:keepNext/>
      <w:tabs>
        <w:tab w:val="num" w:pos="0"/>
      </w:tabs>
      <w:spacing w:before="240" w:after="60"/>
      <w:ind w:left="360" w:hanging="3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color w:val="000064"/>
      <w:sz w:val="28"/>
      <w:szCs w:val="28"/>
    </w:rPr>
  </w:style>
  <w:style w:type="character" w:customStyle="1" w:styleId="Heading2Char">
    <w:name w:val="Heading 2 Char"/>
    <w:basedOn w:val="DefaultParagraphFont"/>
    <w:rPr>
      <w:rFonts w:ascii="Cambria" w:hAnsi="Cambria" w:cs="font332"/>
      <w:b/>
      <w:bCs/>
      <w:color w:val="4F81BD"/>
      <w:sz w:val="26"/>
      <w:szCs w:val="26"/>
    </w:rPr>
  </w:style>
  <w:style w:type="character" w:customStyle="1" w:styleId="Heading3Char">
    <w:name w:val="Heading 3 Char"/>
    <w:basedOn w:val="DefaultParagraphFont"/>
    <w:rPr>
      <w:rFonts w:ascii="Cambria" w:hAnsi="Cambria" w:cs="Times New Roman"/>
      <w:b/>
      <w:bCs/>
      <w:sz w:val="26"/>
      <w:szCs w:val="26"/>
    </w:rPr>
  </w:style>
  <w:style w:type="character" w:customStyle="1" w:styleId="BodyText2Char">
    <w:name w:val="Body Text 2 Char"/>
    <w:basedOn w:val="DefaultParagraphFont"/>
    <w:rPr>
      <w:rFonts w:ascii="Arial" w:hAnsi="Arial" w:cs="Arial"/>
      <w:b/>
      <w:bCs/>
      <w:sz w:val="20"/>
      <w:szCs w:val="20"/>
    </w:rPr>
  </w:style>
  <w:style w:type="character" w:customStyle="1" w:styleId="HeaderChar">
    <w:name w:val="Header Char"/>
    <w:basedOn w:val="DefaultParagraphFont"/>
    <w:rPr>
      <w:rFonts w:cs="Times New Roman"/>
      <w:sz w:val="22"/>
      <w:szCs w:val="22"/>
    </w:rPr>
  </w:style>
  <w:style w:type="character" w:customStyle="1" w:styleId="FooterChar">
    <w:name w:val="Footer Char"/>
    <w:basedOn w:val="DefaultParagraphFont"/>
    <w:rPr>
      <w:rFonts w:cs="Times New Roman"/>
      <w:sz w:val="22"/>
      <w:szCs w:val="22"/>
    </w:rPr>
  </w:style>
  <w:style w:type="character" w:customStyle="1" w:styleId="FootnoteTextChar">
    <w:name w:val="Footnote Text Char"/>
    <w:basedOn w:val="DefaultParagraphFont"/>
    <w:uiPriority w:val="99"/>
    <w:rPr>
      <w:rFonts w:cs="Times New Roman"/>
    </w:rPr>
  </w:style>
  <w:style w:type="character" w:customStyle="1" w:styleId="FootnoteReference1">
    <w:name w:val="Footnote Reference1"/>
    <w:basedOn w:val="DefaultParagraphFont"/>
    <w:rPr>
      <w:rFonts w:cs="Times New Roman"/>
      <w:vertAlign w:val="superscript"/>
    </w:rPr>
  </w:style>
  <w:style w:type="character" w:customStyle="1" w:styleId="DefaultChar">
    <w:name w:val="Default Char"/>
    <w:basedOn w:val="DefaultParagraphFont"/>
    <w:rPr>
      <w:rFonts w:ascii="Times New Roman" w:hAnsi="Times New Roman"/>
      <w:color w:val="000000"/>
      <w:sz w:val="24"/>
      <w:szCs w:val="24"/>
      <w:lang w:val="en-AU" w:eastAsia="ar-SA" w:bidi="ar-SA"/>
    </w:rPr>
  </w:style>
  <w:style w:type="character" w:customStyle="1" w:styleId="ATAHeading2Char">
    <w:name w:val="ATA Heading 2 Char"/>
    <w:basedOn w:val="DefaultParagraphFont"/>
    <w:rPr>
      <w:rFonts w:ascii="Arial" w:hAnsi="Arial" w:cs="Arial"/>
      <w:b/>
      <w:color w:val="000064"/>
      <w:sz w:val="26"/>
      <w:szCs w:val="26"/>
    </w:rPr>
  </w:style>
  <w:style w:type="character" w:customStyle="1" w:styleId="ATAHeading3Char">
    <w:name w:val="ATA Heading 3 Char"/>
    <w:basedOn w:val="DefaultParagraphFont"/>
    <w:rPr>
      <w:rFonts w:ascii="Arial" w:hAnsi="Arial" w:cs="Arial"/>
      <w:b/>
      <w:i/>
      <w:color w:val="0D0D0D"/>
      <w:sz w:val="22"/>
      <w:szCs w:val="22"/>
    </w:rPr>
  </w:style>
  <w:style w:type="character" w:customStyle="1" w:styleId="QuotesChar">
    <w:name w:val="Quotes Char"/>
    <w:basedOn w:val="DefaultChar"/>
    <w:rPr>
      <w:rFonts w:ascii="Times New Roman" w:hAnsi="Times New Roman"/>
      <w:color w:val="000000"/>
      <w:sz w:val="22"/>
      <w:szCs w:val="22"/>
      <w:lang w:val="en-AU" w:eastAsia="ar-SA" w:bidi="ar-SA"/>
    </w:rPr>
  </w:style>
  <w:style w:type="character" w:customStyle="1" w:styleId="ATARecommendationHeadingChar">
    <w:name w:val="ATA Recommendation Heading Char"/>
    <w:basedOn w:val="DefaultParagraphFont"/>
    <w:rPr>
      <w:rFonts w:ascii="Arial" w:hAnsi="Arial" w:cs="Arial"/>
      <w:i/>
      <w:sz w:val="22"/>
      <w:szCs w:val="22"/>
    </w:rPr>
  </w:style>
  <w:style w:type="character" w:customStyle="1" w:styleId="BalloonTextChar">
    <w:name w:val="Balloon Text Char"/>
    <w:basedOn w:val="DefaultParagraphFont"/>
    <w:rPr>
      <w:rFonts w:ascii="Tahoma" w:hAnsi="Tahoma" w:cs="Tahoma"/>
      <w:sz w:val="16"/>
      <w:szCs w:val="16"/>
    </w:rPr>
  </w:style>
  <w:style w:type="character" w:styleId="Strong">
    <w:name w:val="Strong"/>
    <w:basedOn w:val="DefaultParagraphFont"/>
    <w:qFormat/>
    <w:rPr>
      <w:b/>
      <w:bCs/>
    </w:rPr>
  </w:style>
  <w:style w:type="character" w:customStyle="1" w:styleId="EndnoteTextChar">
    <w:name w:val="Endnote Text Char"/>
    <w:basedOn w:val="DefaultParagraphFont"/>
  </w:style>
  <w:style w:type="character" w:customStyle="1" w:styleId="EndnoteReference1">
    <w:name w:val="Endnote Reference1"/>
    <w:basedOn w:val="DefaultParagraphFont"/>
    <w:rPr>
      <w:vertAlign w:val="superscript"/>
    </w:rPr>
  </w:style>
  <w:style w:type="character" w:customStyle="1" w:styleId="RecommendationStyleChar">
    <w:name w:val="Recommendation Style Char"/>
    <w:basedOn w:val="ATARecommendationHeadingChar"/>
    <w:rPr>
      <w:rFonts w:ascii="Arial" w:hAnsi="Arial" w:cs="Arial"/>
      <w:b/>
      <w:i/>
      <w:sz w:val="22"/>
      <w:szCs w:val="22"/>
    </w:rPr>
  </w:style>
  <w:style w:type="character" w:customStyle="1" w:styleId="RecommendationStyle2Char">
    <w:name w:val="Recommendation Style 2 Char"/>
    <w:basedOn w:val="DefaultParagraphFont"/>
    <w:rPr>
      <w:rFonts w:ascii="Arial" w:hAnsi="Arial" w:cs="Arial"/>
      <w:b/>
    </w:rPr>
  </w:style>
  <w:style w:type="character" w:styleId="Hyperlink">
    <w:name w:val="Hyperlink"/>
    <w:basedOn w:val="DefaultParagraphFont"/>
    <w:rPr>
      <w:color w:val="0000FF"/>
      <w:u w:val="single"/>
    </w:rPr>
  </w:style>
  <w:style w:type="character" w:customStyle="1" w:styleId="RecommendationStyle3Char">
    <w:name w:val="Recommendation Style 3 Char"/>
    <w:basedOn w:val="RecommendationStyle2Char"/>
    <w:rPr>
      <w:rFonts w:ascii="Arial" w:hAnsi="Arial" w:cs="Arial"/>
      <w:b/>
      <w:color w:val="FFFFFF"/>
    </w:rPr>
  </w:style>
  <w:style w:type="character" w:customStyle="1" w:styleId="ATASubHead1Char">
    <w:name w:val="ATASubHead1 Char"/>
    <w:rPr>
      <w:rFonts w:ascii="Arial" w:hAnsi="Arial" w:cs="Arial"/>
      <w:b/>
      <w:color w:val="000064"/>
      <w:sz w:val="28"/>
      <w:szCs w:val="28"/>
    </w:rPr>
  </w:style>
  <w:style w:type="character" w:customStyle="1" w:styleId="author-name2">
    <w:name w:val="author-name2"/>
    <w:basedOn w:val="DefaultParagraphFont"/>
    <w:rPr>
      <w:b/>
      <w:bCs/>
    </w:rPr>
  </w:style>
  <w:style w:type="character" w:customStyle="1" w:styleId="source-name5">
    <w:name w:val="source-name5"/>
    <w:basedOn w:val="DefaultParagraphFont"/>
    <w:rPr>
      <w:i/>
      <w:iCs/>
    </w:rPr>
  </w:style>
  <w:style w:type="character" w:customStyle="1" w:styleId="publish-date5">
    <w:name w:val="publish-date5"/>
    <w:basedOn w:val="DefaultParagraphFont"/>
    <w:rPr>
      <w:i/>
      <w:iCs/>
      <w:sz w:val="14"/>
      <w:szCs w:val="14"/>
    </w:rPr>
  </w:style>
  <w:style w:type="character" w:styleId="FollowedHyperlink">
    <w:name w:val="FollowedHyperlink"/>
    <w:basedOn w:val="DefaultParagraphFont"/>
    <w:rPr>
      <w:color w:val="800080"/>
      <w:u w:val="single"/>
    </w:rPr>
  </w:style>
  <w:style w:type="character" w:customStyle="1" w:styleId="ATAPreMnormChar">
    <w:name w:val="ATAPreM norm Char"/>
    <w:basedOn w:val="DefaultParagraphFont"/>
    <w:rPr>
      <w:rFonts w:ascii="Arial" w:eastAsia="Times New Roman" w:hAnsi="Arial" w:cs="Arial"/>
      <w:i/>
      <w:color w:val="000000"/>
    </w:rPr>
  </w:style>
  <w:style w:type="character" w:customStyle="1" w:styleId="ATAPervMHeadingChar">
    <w:name w:val="ATAPervMHeading Char"/>
    <w:basedOn w:val="DefaultParagraphFont"/>
    <w:rPr>
      <w:rFonts w:ascii="Arial" w:hAnsi="Arial" w:cs="Arial"/>
      <w:b/>
      <w:i/>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PlainTextChar">
    <w:name w:val="Plain Text Char"/>
    <w:basedOn w:val="DefaultParagraphFont"/>
    <w:rPr>
      <w:rFonts w:ascii="Consolas" w:hAnsi="Consolas" w:cs="Consolas"/>
      <w:sz w:val="21"/>
      <w:szCs w:val="21"/>
    </w:rPr>
  </w:style>
  <w:style w:type="character" w:customStyle="1" w:styleId="apple-converted-space">
    <w:name w:val="apple-converted-space"/>
    <w:basedOn w:val="DefaultParagraphFont"/>
  </w:style>
  <w:style w:type="character" w:customStyle="1" w:styleId="filesize">
    <w:name w:val="filesize"/>
    <w:basedOn w:val="DefaultParagraphFont"/>
  </w:style>
  <w:style w:type="character" w:customStyle="1" w:styleId="BodyTextChar">
    <w:name w:val="Body Text Char"/>
    <w:basedOn w:val="DefaultParagraphFont"/>
    <w:rPr>
      <w:sz w:val="22"/>
      <w:szCs w:val="22"/>
    </w:rPr>
  </w:style>
  <w:style w:type="character" w:customStyle="1" w:styleId="SubtitleChar">
    <w:name w:val="Subtitle Char"/>
    <w:basedOn w:val="DefaultParagraphFont"/>
    <w:rPr>
      <w:rFonts w:ascii="Arial" w:eastAsia="Times New Roman" w:hAnsi="Arial"/>
      <w:b/>
      <w:sz w:val="24"/>
    </w:rPr>
  </w:style>
  <w:style w:type="character" w:customStyle="1" w:styleId="ListLabel1">
    <w:name w:val="ListLabel 1"/>
    <w:rPr>
      <w:rFonts w:cs="Times New Roman"/>
    </w:rPr>
  </w:style>
  <w:style w:type="character" w:customStyle="1" w:styleId="ListLabel2">
    <w:name w:val="ListLabel 2"/>
    <w:rPr>
      <w:rFonts w:cs="Times New Roman"/>
      <w:b/>
      <w:color w:val="000064"/>
    </w:rPr>
  </w:style>
  <w:style w:type="character" w:customStyle="1" w:styleId="ListLabel3">
    <w:name w:val="ListLabel 3"/>
    <w:rPr>
      <w:rFonts w:cs="Times New Roman"/>
      <w:b/>
      <w:i/>
      <w:caps w:val="0"/>
      <w:smallCaps w:val="0"/>
      <w:strike w:val="0"/>
      <w:dstrike w:val="0"/>
      <w:vanish w:val="0"/>
      <w:color w:val="000000"/>
      <w:position w:val="0"/>
      <w:sz w:val="20"/>
      <w:vertAlign w:val="baseline"/>
    </w:rPr>
  </w:style>
  <w:style w:type="character" w:customStyle="1" w:styleId="ListLabel4">
    <w:name w:val="ListLabel 4"/>
    <w:rPr>
      <w:rFonts w:cs="Courier New"/>
    </w:rPr>
  </w:style>
  <w:style w:type="character" w:customStyle="1" w:styleId="ListLabel5">
    <w:name w:val="ListLabel 5"/>
    <w:rPr>
      <w:i w:val="0"/>
    </w:rPr>
  </w:style>
  <w:style w:type="character" w:customStyle="1" w:styleId="ListLabel6">
    <w:name w:val="ListLabel 6"/>
    <w:rPr>
      <w:b/>
    </w:rPr>
  </w:style>
  <w:style w:type="character" w:customStyle="1" w:styleId="FootnoteCharacters">
    <w:name w:val="Footnote Characters"/>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Arial" w:eastAsia="Times New Roman" w:hAnsi="Arial" w:cs="Arial"/>
      <w:b/>
      <w:bCs/>
      <w:szCs w:val="20"/>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ListParagraph">
    <w:name w:val="List Paragraph"/>
    <w:basedOn w:val="Normal"/>
    <w:qFormat/>
    <w:pPr>
      <w:spacing w:after="200" w:line="276" w:lineRule="auto"/>
      <w:ind w:left="720"/>
    </w:pPr>
  </w:style>
  <w:style w:type="paragraph" w:customStyle="1" w:styleId="FootnoteText1">
    <w:name w:val="Footnote Text1"/>
    <w:basedOn w:val="Normal"/>
    <w:rPr>
      <w:sz w:val="20"/>
      <w:szCs w:val="20"/>
    </w:rPr>
  </w:style>
  <w:style w:type="paragraph" w:customStyle="1" w:styleId="ATAHeading2">
    <w:name w:val="ATA Heading 2"/>
    <w:basedOn w:val="Normal"/>
    <w:pPr>
      <w:numPr>
        <w:ilvl w:val="1"/>
        <w:numId w:val="1"/>
      </w:numPr>
      <w:spacing w:before="120" w:after="120" w:line="276" w:lineRule="auto"/>
      <w:outlineLvl w:val="1"/>
    </w:pPr>
    <w:rPr>
      <w:rFonts w:ascii="Arial" w:hAnsi="Arial" w:cs="Arial"/>
      <w:b/>
      <w:color w:val="000064"/>
      <w:sz w:val="26"/>
      <w:szCs w:val="26"/>
    </w:rPr>
  </w:style>
  <w:style w:type="paragraph" w:customStyle="1" w:styleId="ATAHeading3">
    <w:name w:val="ATA Heading 3"/>
    <w:basedOn w:val="ATAHeading2"/>
    <w:pPr>
      <w:numPr>
        <w:ilvl w:val="2"/>
      </w:numPr>
      <w:tabs>
        <w:tab w:val="left" w:pos="992"/>
      </w:tabs>
      <w:outlineLvl w:val="2"/>
    </w:pPr>
    <w:rPr>
      <w:i/>
      <w:color w:val="0D0D0D"/>
      <w:sz w:val="22"/>
      <w:szCs w:val="22"/>
    </w:rPr>
  </w:style>
  <w:style w:type="paragraph" w:customStyle="1" w:styleId="Quotes">
    <w:name w:val="Quotes"/>
    <w:basedOn w:val="Normal"/>
    <w:pPr>
      <w:ind w:left="851"/>
    </w:pPr>
    <w:rPr>
      <w:sz w:val="22"/>
      <w:szCs w:val="22"/>
    </w:rPr>
  </w:style>
  <w:style w:type="paragraph" w:customStyle="1" w:styleId="ATARecommendationHeading">
    <w:name w:val="ATA Recommendation Heading"/>
    <w:basedOn w:val="Normal"/>
    <w:rPr>
      <w:rFonts w:ascii="Arial" w:hAnsi="Arial" w:cs="Arial"/>
      <w:i/>
    </w:rPr>
  </w:style>
  <w:style w:type="paragraph" w:styleId="BalloonText">
    <w:name w:val="Balloon Text"/>
    <w:basedOn w:val="Normal"/>
    <w:rPr>
      <w:rFonts w:ascii="Tahoma" w:hAnsi="Tahoma" w:cs="Tahoma"/>
      <w:sz w:val="16"/>
      <w:szCs w:val="16"/>
    </w:rPr>
  </w:style>
  <w:style w:type="paragraph" w:customStyle="1" w:styleId="EndnoteText1">
    <w:name w:val="Endnote Text1"/>
    <w:basedOn w:val="Normal"/>
    <w:rPr>
      <w:sz w:val="20"/>
      <w:szCs w:val="20"/>
    </w:rPr>
  </w:style>
  <w:style w:type="paragraph" w:styleId="TOC1">
    <w:name w:val="toc 1"/>
    <w:basedOn w:val="Normal"/>
    <w:pPr>
      <w:tabs>
        <w:tab w:val="right" w:leader="dot" w:pos="9628"/>
      </w:tabs>
      <w:spacing w:before="360" w:after="100"/>
    </w:pPr>
    <w:rPr>
      <w:rFonts w:ascii="Arial" w:hAnsi="Arial" w:cs="Arial"/>
      <w:b/>
      <w:sz w:val="20"/>
      <w:szCs w:val="20"/>
    </w:rPr>
  </w:style>
  <w:style w:type="paragraph" w:styleId="TOC2">
    <w:name w:val="toc 2"/>
    <w:basedOn w:val="Normal"/>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pPr>
      <w:tabs>
        <w:tab w:val="left" w:pos="2098"/>
      </w:tabs>
      <w:spacing w:before="240" w:after="120"/>
    </w:pPr>
    <w:rPr>
      <w:b/>
      <w:sz w:val="20"/>
      <w:szCs w:val="20"/>
    </w:rPr>
  </w:style>
  <w:style w:type="paragraph" w:customStyle="1" w:styleId="RecommendationStyle2">
    <w:name w:val="Recommendation Style 2"/>
    <w:basedOn w:val="Normal"/>
    <w:pPr>
      <w:jc w:val="both"/>
    </w:pPr>
    <w:rPr>
      <w:rFonts w:ascii="Arial" w:hAnsi="Arial" w:cs="Arial"/>
      <w:b/>
      <w:sz w:val="20"/>
      <w:szCs w:val="20"/>
    </w:rPr>
  </w:style>
  <w:style w:type="paragraph" w:customStyle="1" w:styleId="RecommendationStyle3">
    <w:name w:val="Recommendation Style 3"/>
    <w:basedOn w:val="RecommendationStyle2"/>
    <w:rPr>
      <w:color w:val="FFFFFF"/>
    </w:rPr>
  </w:style>
  <w:style w:type="paragraph" w:styleId="TOC3">
    <w:name w:val="toc 3"/>
    <w:basedOn w:val="Normal"/>
    <w:pPr>
      <w:tabs>
        <w:tab w:val="right" w:leader="dot" w:pos="9628"/>
      </w:tabs>
      <w:ind w:left="442"/>
    </w:pPr>
    <w:rPr>
      <w:color w:val="FFFFFF"/>
    </w:rPr>
  </w:style>
  <w:style w:type="paragraph" w:customStyle="1" w:styleId="ATASubHead1">
    <w:name w:val="ATASubHead1"/>
    <w:basedOn w:val="Normal"/>
    <w:pPr>
      <w:tabs>
        <w:tab w:val="left" w:pos="851"/>
      </w:tabs>
      <w:spacing w:before="240" w:after="120"/>
    </w:pPr>
    <w:rPr>
      <w:rFonts w:ascii="Arial" w:hAnsi="Arial" w:cs="Arial"/>
      <w:b/>
      <w:color w:val="000064"/>
      <w:sz w:val="28"/>
      <w:szCs w:val="28"/>
    </w:rPr>
  </w:style>
  <w:style w:type="paragraph" w:styleId="NormalWeb">
    <w:name w:val="Normal (Web)"/>
    <w:basedOn w:val="Normal"/>
    <w:pPr>
      <w:spacing w:before="100" w:after="100"/>
    </w:pPr>
    <w:rPr>
      <w:rFonts w:eastAsia="Times New Roman"/>
    </w:rPr>
  </w:style>
  <w:style w:type="paragraph" w:customStyle="1" w:styleId="ATAPreMnorm">
    <w:name w:val="ATAPreM norm"/>
    <w:basedOn w:val="Normal"/>
    <w:rPr>
      <w:rFonts w:ascii="Arial" w:eastAsia="Times New Roman" w:hAnsi="Arial" w:cs="Arial"/>
      <w:i/>
      <w:sz w:val="20"/>
      <w:szCs w:val="20"/>
    </w:rPr>
  </w:style>
  <w:style w:type="paragraph" w:customStyle="1" w:styleId="ATAPervMHeading">
    <w:name w:val="ATAPervMHeading"/>
    <w:basedOn w:val="Normal"/>
    <w:pPr>
      <w:tabs>
        <w:tab w:val="left" w:pos="851"/>
      </w:tabs>
      <w:ind w:left="851" w:hanging="851"/>
    </w:pPr>
    <w:rPr>
      <w:rFonts w:ascii="Arial" w:hAnsi="Arial" w:cs="Arial"/>
      <w:b/>
      <w:i/>
      <w:sz w:val="20"/>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PlainText">
    <w:name w:val="Plain Text"/>
    <w:basedOn w:val="Normal"/>
    <w:rPr>
      <w:rFonts w:ascii="Consolas" w:hAnsi="Consolas" w:cs="Consolas"/>
      <w:sz w:val="21"/>
      <w:szCs w:val="21"/>
    </w:rPr>
  </w:style>
  <w:style w:type="paragraph" w:styleId="NoSpacing">
    <w:name w:val="No Spacing"/>
    <w:basedOn w:val="Normal"/>
    <w:uiPriority w:val="1"/>
    <w:qFormat/>
    <w:rPr>
      <w:rFonts w:cs="Calibri"/>
      <w:color w:val="404040"/>
      <w:sz w:val="19"/>
      <w:szCs w:val="19"/>
    </w:rPr>
  </w:style>
  <w:style w:type="paragraph" w:customStyle="1" w:styleId="BodyText1">
    <w:name w:val="Body Text 1"/>
    <w:basedOn w:val="Normal"/>
    <w:pPr>
      <w:spacing w:before="240"/>
    </w:pPr>
    <w:rPr>
      <w:rFonts w:ascii="Arial" w:eastAsia="Times New Roman" w:hAnsi="Arial"/>
      <w:sz w:val="20"/>
      <w:szCs w:val="20"/>
    </w:rPr>
  </w:style>
  <w:style w:type="paragraph" w:styleId="Subtitle">
    <w:name w:val="Subtitle"/>
    <w:basedOn w:val="Normal"/>
    <w:next w:val="BodyText"/>
    <w:qFormat/>
    <w:pPr>
      <w:keepNext/>
      <w:spacing w:before="480"/>
    </w:pPr>
    <w:rPr>
      <w:rFonts w:ascii="Arial" w:eastAsia="Times New Roman" w:hAnsi="Arial"/>
      <w:b/>
      <w:i/>
      <w:iCs/>
      <w:szCs w:val="20"/>
    </w:rPr>
  </w:style>
  <w:style w:type="paragraph" w:customStyle="1" w:styleId="NRFABullet1">
    <w:name w:val="NRFA Bullet 1"/>
    <w:basedOn w:val="BodyText2"/>
    <w:pPr>
      <w:tabs>
        <w:tab w:val="left" w:pos="709"/>
      </w:tabs>
      <w:spacing w:before="240"/>
    </w:pPr>
    <w:rPr>
      <w:rFonts w:cs="Times New Roman"/>
      <w:b w:val="0"/>
      <w:bCs w:val="0"/>
      <w:sz w:val="20"/>
    </w:rPr>
  </w:style>
  <w:style w:type="paragraph" w:customStyle="1" w:styleId="NRFABullet2">
    <w:name w:val="NRFA Bullet 2"/>
    <w:basedOn w:val="NRFABullet1"/>
  </w:style>
  <w:style w:type="paragraph" w:styleId="FootnoteText">
    <w:name w:val="footnote text"/>
    <w:basedOn w:val="Normal"/>
    <w:uiPriority w:val="99"/>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81186">
      <w:bodyDiv w:val="1"/>
      <w:marLeft w:val="0"/>
      <w:marRight w:val="0"/>
      <w:marTop w:val="0"/>
      <w:marBottom w:val="0"/>
      <w:divBdr>
        <w:top w:val="none" w:sz="0" w:space="0" w:color="auto"/>
        <w:left w:val="none" w:sz="0" w:space="0" w:color="auto"/>
        <w:bottom w:val="none" w:sz="0" w:space="0" w:color="auto"/>
        <w:right w:val="none" w:sz="0" w:space="0" w:color="auto"/>
      </w:divBdr>
      <w:divsChild>
        <w:div w:id="2073657156">
          <w:marLeft w:val="0"/>
          <w:marRight w:val="0"/>
          <w:marTop w:val="0"/>
          <w:marBottom w:val="0"/>
          <w:divBdr>
            <w:top w:val="none" w:sz="0" w:space="0" w:color="auto"/>
            <w:left w:val="none" w:sz="0" w:space="0" w:color="auto"/>
            <w:bottom w:val="none" w:sz="0" w:space="0" w:color="auto"/>
            <w:right w:val="none" w:sz="0" w:space="0" w:color="auto"/>
          </w:divBdr>
        </w:div>
        <w:div w:id="2035645270">
          <w:marLeft w:val="0"/>
          <w:marRight w:val="0"/>
          <w:marTop w:val="0"/>
          <w:marBottom w:val="0"/>
          <w:divBdr>
            <w:top w:val="none" w:sz="0" w:space="0" w:color="auto"/>
            <w:left w:val="none" w:sz="0" w:space="0" w:color="auto"/>
            <w:bottom w:val="none" w:sz="0" w:space="0" w:color="auto"/>
            <w:right w:val="none" w:sz="0" w:space="0" w:color="auto"/>
          </w:divBdr>
        </w:div>
        <w:div w:id="779181152">
          <w:marLeft w:val="0"/>
          <w:marRight w:val="0"/>
          <w:marTop w:val="0"/>
          <w:marBottom w:val="0"/>
          <w:divBdr>
            <w:top w:val="none" w:sz="0" w:space="0" w:color="auto"/>
            <w:left w:val="none" w:sz="0" w:space="0" w:color="auto"/>
            <w:bottom w:val="none" w:sz="0" w:space="0" w:color="auto"/>
            <w:right w:val="none" w:sz="0" w:space="0" w:color="auto"/>
          </w:divBdr>
        </w:div>
        <w:div w:id="2033528379">
          <w:marLeft w:val="0"/>
          <w:marRight w:val="0"/>
          <w:marTop w:val="0"/>
          <w:marBottom w:val="0"/>
          <w:divBdr>
            <w:top w:val="none" w:sz="0" w:space="0" w:color="auto"/>
            <w:left w:val="none" w:sz="0" w:space="0" w:color="auto"/>
            <w:bottom w:val="none" w:sz="0" w:space="0" w:color="auto"/>
            <w:right w:val="none" w:sz="0" w:space="0" w:color="auto"/>
          </w:divBdr>
        </w:div>
        <w:div w:id="758328051">
          <w:marLeft w:val="0"/>
          <w:marRight w:val="0"/>
          <w:marTop w:val="0"/>
          <w:marBottom w:val="0"/>
          <w:divBdr>
            <w:top w:val="none" w:sz="0" w:space="0" w:color="auto"/>
            <w:left w:val="none" w:sz="0" w:space="0" w:color="auto"/>
            <w:bottom w:val="none" w:sz="0" w:space="0" w:color="auto"/>
            <w:right w:val="none" w:sz="0" w:space="0" w:color="auto"/>
          </w:divBdr>
        </w:div>
        <w:div w:id="1042242371">
          <w:marLeft w:val="0"/>
          <w:marRight w:val="0"/>
          <w:marTop w:val="0"/>
          <w:marBottom w:val="0"/>
          <w:divBdr>
            <w:top w:val="none" w:sz="0" w:space="0" w:color="auto"/>
            <w:left w:val="none" w:sz="0" w:space="0" w:color="auto"/>
            <w:bottom w:val="none" w:sz="0" w:space="0" w:color="auto"/>
            <w:right w:val="none" w:sz="0" w:space="0" w:color="auto"/>
          </w:divBdr>
        </w:div>
        <w:div w:id="776798552">
          <w:marLeft w:val="0"/>
          <w:marRight w:val="0"/>
          <w:marTop w:val="0"/>
          <w:marBottom w:val="0"/>
          <w:divBdr>
            <w:top w:val="none" w:sz="0" w:space="0" w:color="auto"/>
            <w:left w:val="none" w:sz="0" w:space="0" w:color="auto"/>
            <w:bottom w:val="none" w:sz="0" w:space="0" w:color="auto"/>
            <w:right w:val="none" w:sz="0" w:space="0" w:color="auto"/>
          </w:divBdr>
        </w:div>
        <w:div w:id="327445602">
          <w:marLeft w:val="0"/>
          <w:marRight w:val="0"/>
          <w:marTop w:val="0"/>
          <w:marBottom w:val="0"/>
          <w:divBdr>
            <w:top w:val="none" w:sz="0" w:space="0" w:color="auto"/>
            <w:left w:val="none" w:sz="0" w:space="0" w:color="auto"/>
            <w:bottom w:val="none" w:sz="0" w:space="0" w:color="auto"/>
            <w:right w:val="none" w:sz="0" w:space="0" w:color="auto"/>
          </w:divBdr>
        </w:div>
        <w:div w:id="314650130">
          <w:marLeft w:val="0"/>
          <w:marRight w:val="0"/>
          <w:marTop w:val="0"/>
          <w:marBottom w:val="0"/>
          <w:divBdr>
            <w:top w:val="none" w:sz="0" w:space="0" w:color="auto"/>
            <w:left w:val="none" w:sz="0" w:space="0" w:color="auto"/>
            <w:bottom w:val="none" w:sz="0" w:space="0" w:color="auto"/>
            <w:right w:val="none" w:sz="0" w:space="0" w:color="auto"/>
          </w:divBdr>
        </w:div>
        <w:div w:id="2041474510">
          <w:marLeft w:val="0"/>
          <w:marRight w:val="0"/>
          <w:marTop w:val="0"/>
          <w:marBottom w:val="0"/>
          <w:divBdr>
            <w:top w:val="none" w:sz="0" w:space="0" w:color="auto"/>
            <w:left w:val="none" w:sz="0" w:space="0" w:color="auto"/>
            <w:bottom w:val="none" w:sz="0" w:space="0" w:color="auto"/>
            <w:right w:val="none" w:sz="0" w:space="0" w:color="auto"/>
          </w:divBdr>
        </w:div>
        <w:div w:id="306708814">
          <w:marLeft w:val="0"/>
          <w:marRight w:val="0"/>
          <w:marTop w:val="0"/>
          <w:marBottom w:val="0"/>
          <w:divBdr>
            <w:top w:val="none" w:sz="0" w:space="0" w:color="auto"/>
            <w:left w:val="none" w:sz="0" w:space="0" w:color="auto"/>
            <w:bottom w:val="none" w:sz="0" w:space="0" w:color="auto"/>
            <w:right w:val="none" w:sz="0" w:space="0" w:color="auto"/>
          </w:divBdr>
        </w:div>
        <w:div w:id="567031928">
          <w:marLeft w:val="0"/>
          <w:marRight w:val="0"/>
          <w:marTop w:val="0"/>
          <w:marBottom w:val="0"/>
          <w:divBdr>
            <w:top w:val="none" w:sz="0" w:space="0" w:color="auto"/>
            <w:left w:val="none" w:sz="0" w:space="0" w:color="auto"/>
            <w:bottom w:val="none" w:sz="0" w:space="0" w:color="auto"/>
            <w:right w:val="none" w:sz="0" w:space="0" w:color="auto"/>
          </w:divBdr>
        </w:div>
        <w:div w:id="2080324018">
          <w:marLeft w:val="0"/>
          <w:marRight w:val="0"/>
          <w:marTop w:val="0"/>
          <w:marBottom w:val="0"/>
          <w:divBdr>
            <w:top w:val="none" w:sz="0" w:space="0" w:color="auto"/>
            <w:left w:val="none" w:sz="0" w:space="0" w:color="auto"/>
            <w:bottom w:val="none" w:sz="0" w:space="0" w:color="auto"/>
            <w:right w:val="none" w:sz="0" w:space="0" w:color="auto"/>
          </w:divBdr>
        </w:div>
        <w:div w:id="127279967">
          <w:marLeft w:val="0"/>
          <w:marRight w:val="0"/>
          <w:marTop w:val="0"/>
          <w:marBottom w:val="0"/>
          <w:divBdr>
            <w:top w:val="none" w:sz="0" w:space="0" w:color="auto"/>
            <w:left w:val="none" w:sz="0" w:space="0" w:color="auto"/>
            <w:bottom w:val="none" w:sz="0" w:space="0" w:color="auto"/>
            <w:right w:val="none" w:sz="0" w:space="0" w:color="auto"/>
          </w:divBdr>
        </w:div>
        <w:div w:id="270476621">
          <w:marLeft w:val="0"/>
          <w:marRight w:val="0"/>
          <w:marTop w:val="0"/>
          <w:marBottom w:val="0"/>
          <w:divBdr>
            <w:top w:val="none" w:sz="0" w:space="0" w:color="auto"/>
            <w:left w:val="none" w:sz="0" w:space="0" w:color="auto"/>
            <w:bottom w:val="none" w:sz="0" w:space="0" w:color="auto"/>
            <w:right w:val="none" w:sz="0" w:space="0" w:color="auto"/>
          </w:divBdr>
        </w:div>
        <w:div w:id="206336945">
          <w:marLeft w:val="0"/>
          <w:marRight w:val="0"/>
          <w:marTop w:val="0"/>
          <w:marBottom w:val="0"/>
          <w:divBdr>
            <w:top w:val="none" w:sz="0" w:space="0" w:color="auto"/>
            <w:left w:val="none" w:sz="0" w:space="0" w:color="auto"/>
            <w:bottom w:val="none" w:sz="0" w:space="0" w:color="auto"/>
            <w:right w:val="none" w:sz="0" w:space="0" w:color="auto"/>
          </w:divBdr>
        </w:div>
        <w:div w:id="63377625">
          <w:marLeft w:val="0"/>
          <w:marRight w:val="0"/>
          <w:marTop w:val="0"/>
          <w:marBottom w:val="0"/>
          <w:divBdr>
            <w:top w:val="none" w:sz="0" w:space="0" w:color="auto"/>
            <w:left w:val="none" w:sz="0" w:space="0" w:color="auto"/>
            <w:bottom w:val="none" w:sz="0" w:space="0" w:color="auto"/>
            <w:right w:val="none" w:sz="0" w:space="0" w:color="auto"/>
          </w:divBdr>
        </w:div>
        <w:div w:id="1933316545">
          <w:marLeft w:val="0"/>
          <w:marRight w:val="0"/>
          <w:marTop w:val="0"/>
          <w:marBottom w:val="0"/>
          <w:divBdr>
            <w:top w:val="none" w:sz="0" w:space="0" w:color="auto"/>
            <w:left w:val="none" w:sz="0" w:space="0" w:color="auto"/>
            <w:bottom w:val="none" w:sz="0" w:space="0" w:color="auto"/>
            <w:right w:val="none" w:sz="0" w:space="0" w:color="auto"/>
          </w:divBdr>
        </w:div>
        <w:div w:id="771245928">
          <w:marLeft w:val="0"/>
          <w:marRight w:val="0"/>
          <w:marTop w:val="0"/>
          <w:marBottom w:val="0"/>
          <w:divBdr>
            <w:top w:val="none" w:sz="0" w:space="0" w:color="auto"/>
            <w:left w:val="none" w:sz="0" w:space="0" w:color="auto"/>
            <w:bottom w:val="none" w:sz="0" w:space="0" w:color="auto"/>
            <w:right w:val="none" w:sz="0" w:space="0" w:color="auto"/>
          </w:divBdr>
        </w:div>
        <w:div w:id="49154134">
          <w:marLeft w:val="0"/>
          <w:marRight w:val="0"/>
          <w:marTop w:val="0"/>
          <w:marBottom w:val="0"/>
          <w:divBdr>
            <w:top w:val="none" w:sz="0" w:space="0" w:color="auto"/>
            <w:left w:val="none" w:sz="0" w:space="0" w:color="auto"/>
            <w:bottom w:val="none" w:sz="0" w:space="0" w:color="auto"/>
            <w:right w:val="none" w:sz="0" w:space="0" w:color="auto"/>
          </w:divBdr>
        </w:div>
        <w:div w:id="160827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mckinley@truck.net.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nti.com.au/files/files/NTARC/2015_Major_Accident_Investigation_LR.pdf" TargetMode="External"/><Relationship Id="rId2" Type="http://schemas.openxmlformats.org/officeDocument/2006/relationships/hyperlink" Target="http://www.truck.net.au/media/media-releases/fatal-truck-crash-rate-falls-80-cent" TargetMode="External"/><Relationship Id="rId1" Type="http://schemas.openxmlformats.org/officeDocument/2006/relationships/hyperlink" Target="http://www.truck.net.au/media/media-releases/code-conduct-answer-truck-market-power-issues" TargetMode="External"/><Relationship Id="rId6" Type="http://schemas.openxmlformats.org/officeDocument/2006/relationships/hyperlink" Target="https://www.towardszero.vic.gov.au/__data/assets/pdf_file/0010/183556/STU_0206_RS_STRATEGY_2016_web.pdf" TargetMode="External"/><Relationship Id="rId5" Type="http://schemas.openxmlformats.org/officeDocument/2006/relationships/hyperlink" Target="https://www.google.com.au/url?sa=t&amp;rct=j&amp;q=&amp;esrc=s&amp;source=web&amp;cd=1&amp;cad=rja&amp;uact=8&amp;ved=0ahUKEwiz0Zm2v-jRAhXDJpQKHQfoDckQFggbMAA&amp;url=https%3A%2F%2Fdocs.employment.gov.au%2Fsystem%2Ffiles%2Fdoc%2Fother%2F2016_review_of_the_rsrs.pdf&amp;usg=AFQjCNHpWQTKUdLBNtNQDuzRNCTG-C2lTA&amp;sig2=F2FCJfAO0FI9uwuORNpTaw" TargetMode="External"/><Relationship Id="rId4" Type="http://schemas.openxmlformats.org/officeDocument/2006/relationships/hyperlink" Target="https://www.onlinepublications.austroads.com.au/items/AP-T295-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719D-7DEF-405F-A97D-7C1C3FF7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2017-01-25T05:51:00Z</dcterms:created>
  <dcterms:modified xsi:type="dcterms:W3CDTF">2017-01-31T03:39:00Z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