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805D90" w:rsidRPr="00FC0CFB" w:rsidTr="00382CED">
        <w:trPr>
          <w:trHeight w:val="756"/>
        </w:trPr>
        <w:tc>
          <w:tcPr>
            <w:tcW w:w="2660" w:type="dxa"/>
            <w:vAlign w:val="center"/>
          </w:tcPr>
          <w:p w:rsidR="00805D90" w:rsidRPr="00FC0CFB" w:rsidRDefault="00805D90" w:rsidP="00E672D8">
            <w:pPr>
              <w:pStyle w:val="Header"/>
              <w:rPr>
                <w:rFonts w:ascii="Arial" w:hAnsi="Arial" w:cs="Arial"/>
                <w:b/>
                <w:sz w:val="28"/>
                <w:szCs w:val="28"/>
              </w:rPr>
            </w:pPr>
            <w:r w:rsidRPr="00FC0CFB">
              <w:rPr>
                <w:rFonts w:ascii="Arial" w:hAnsi="Arial" w:cs="Arial"/>
                <w:b/>
                <w:sz w:val="28"/>
                <w:szCs w:val="28"/>
              </w:rPr>
              <w:t>Submission to:</w:t>
            </w:r>
          </w:p>
        </w:tc>
        <w:tc>
          <w:tcPr>
            <w:tcW w:w="6379" w:type="dxa"/>
            <w:vAlign w:val="center"/>
          </w:tcPr>
          <w:p w:rsidR="00805D90" w:rsidRPr="00FC0CFB" w:rsidRDefault="00E672D8" w:rsidP="00E672D8">
            <w:pPr>
              <w:pStyle w:val="Header"/>
              <w:rPr>
                <w:rFonts w:ascii="Arial" w:hAnsi="Arial" w:cs="Arial"/>
                <w:sz w:val="28"/>
                <w:szCs w:val="28"/>
              </w:rPr>
            </w:pPr>
            <w:r>
              <w:rPr>
                <w:rFonts w:ascii="Arial" w:hAnsi="Arial" w:cs="Arial"/>
                <w:sz w:val="28"/>
                <w:szCs w:val="28"/>
              </w:rPr>
              <w:t xml:space="preserve">The </w:t>
            </w:r>
            <w:r w:rsidR="00805D90" w:rsidRPr="00FC0CFB">
              <w:rPr>
                <w:rFonts w:ascii="Arial" w:hAnsi="Arial" w:cs="Arial"/>
                <w:sz w:val="28"/>
                <w:szCs w:val="28"/>
              </w:rPr>
              <w:t>National Transport Commission</w:t>
            </w:r>
          </w:p>
        </w:tc>
      </w:tr>
      <w:tr w:rsidR="00805D90" w:rsidRPr="00FC0CFB" w:rsidTr="00382CED">
        <w:trPr>
          <w:trHeight w:val="756"/>
        </w:trPr>
        <w:tc>
          <w:tcPr>
            <w:tcW w:w="2660" w:type="dxa"/>
            <w:vAlign w:val="center"/>
          </w:tcPr>
          <w:p w:rsidR="00805D90" w:rsidRPr="00FC0CFB" w:rsidRDefault="00805D90" w:rsidP="00E672D8">
            <w:pPr>
              <w:pStyle w:val="Header"/>
              <w:rPr>
                <w:rFonts w:ascii="Arial" w:hAnsi="Arial" w:cs="Arial"/>
                <w:b/>
                <w:sz w:val="28"/>
                <w:szCs w:val="28"/>
              </w:rPr>
            </w:pPr>
            <w:r w:rsidRPr="00FC0CFB">
              <w:rPr>
                <w:rFonts w:ascii="Arial" w:hAnsi="Arial" w:cs="Arial"/>
                <w:b/>
                <w:sz w:val="28"/>
                <w:szCs w:val="28"/>
              </w:rPr>
              <w:t>Title:</w:t>
            </w:r>
          </w:p>
        </w:tc>
        <w:tc>
          <w:tcPr>
            <w:tcW w:w="6379" w:type="dxa"/>
            <w:vAlign w:val="center"/>
          </w:tcPr>
          <w:p w:rsidR="00805D90" w:rsidRPr="00FC0CFB" w:rsidRDefault="00382CED" w:rsidP="00E672D8">
            <w:pPr>
              <w:pStyle w:val="Header"/>
              <w:rPr>
                <w:rFonts w:ascii="Arial" w:hAnsi="Arial" w:cs="Arial"/>
                <w:sz w:val="28"/>
                <w:szCs w:val="28"/>
              </w:rPr>
            </w:pPr>
            <w:r>
              <w:rPr>
                <w:rFonts w:ascii="Arial" w:hAnsi="Arial" w:cs="Arial"/>
                <w:sz w:val="28"/>
                <w:szCs w:val="28"/>
              </w:rPr>
              <w:t xml:space="preserve">Review of the Australian Road Rules and </w:t>
            </w:r>
            <w:r w:rsidR="00E672D8">
              <w:rPr>
                <w:rFonts w:ascii="Arial" w:hAnsi="Arial" w:cs="Arial"/>
                <w:sz w:val="28"/>
                <w:szCs w:val="28"/>
              </w:rPr>
              <w:t xml:space="preserve">Australian </w:t>
            </w:r>
            <w:r>
              <w:rPr>
                <w:rFonts w:ascii="Arial" w:hAnsi="Arial" w:cs="Arial"/>
                <w:sz w:val="28"/>
                <w:szCs w:val="28"/>
              </w:rPr>
              <w:t>Vehicle Standards Rules: Draft Evaluation report</w:t>
            </w:r>
          </w:p>
        </w:tc>
      </w:tr>
      <w:tr w:rsidR="00805D90" w:rsidRPr="00FC0CFB" w:rsidTr="00382CED">
        <w:trPr>
          <w:trHeight w:val="756"/>
        </w:trPr>
        <w:tc>
          <w:tcPr>
            <w:tcW w:w="2660" w:type="dxa"/>
            <w:vAlign w:val="center"/>
          </w:tcPr>
          <w:p w:rsidR="00805D90" w:rsidRPr="00FC0CFB" w:rsidRDefault="00805D90" w:rsidP="00E672D8">
            <w:pPr>
              <w:pStyle w:val="Header"/>
              <w:rPr>
                <w:rFonts w:ascii="Arial" w:hAnsi="Arial" w:cs="Arial"/>
                <w:b/>
                <w:sz w:val="28"/>
                <w:szCs w:val="28"/>
              </w:rPr>
            </w:pPr>
            <w:r w:rsidRPr="00FC0CFB">
              <w:rPr>
                <w:rFonts w:ascii="Arial" w:hAnsi="Arial" w:cs="Arial"/>
                <w:b/>
                <w:sz w:val="28"/>
                <w:szCs w:val="28"/>
              </w:rPr>
              <w:t>Date:</w:t>
            </w:r>
          </w:p>
        </w:tc>
        <w:tc>
          <w:tcPr>
            <w:tcW w:w="6379" w:type="dxa"/>
            <w:vAlign w:val="center"/>
          </w:tcPr>
          <w:p w:rsidR="00805D90" w:rsidRPr="00FC0CFB" w:rsidRDefault="00CC1151" w:rsidP="00E672D8">
            <w:pPr>
              <w:pStyle w:val="Header"/>
              <w:rPr>
                <w:rFonts w:ascii="Arial" w:hAnsi="Arial" w:cs="Arial"/>
                <w:sz w:val="28"/>
                <w:szCs w:val="28"/>
              </w:rPr>
            </w:pPr>
            <w:r>
              <w:rPr>
                <w:rFonts w:ascii="Arial" w:hAnsi="Arial" w:cs="Arial"/>
                <w:sz w:val="28"/>
                <w:szCs w:val="28"/>
              </w:rPr>
              <w:t xml:space="preserve">16 </w:t>
            </w:r>
            <w:r w:rsidR="00552935">
              <w:rPr>
                <w:rFonts w:ascii="Arial" w:hAnsi="Arial" w:cs="Arial"/>
                <w:sz w:val="28"/>
                <w:szCs w:val="28"/>
              </w:rPr>
              <w:t xml:space="preserve">August </w:t>
            </w:r>
            <w:r w:rsidR="00805D90" w:rsidRPr="00FC0CFB">
              <w:rPr>
                <w:rFonts w:ascii="Arial" w:hAnsi="Arial" w:cs="Arial"/>
                <w:sz w:val="28"/>
                <w:szCs w:val="28"/>
              </w:rPr>
              <w:t>2013</w:t>
            </w:r>
          </w:p>
        </w:tc>
      </w:tr>
    </w:tbl>
    <w:p w:rsidR="00805D90" w:rsidRPr="00FC0CFB" w:rsidRDefault="00805D90" w:rsidP="00E672D8">
      <w:pPr>
        <w:pStyle w:val="Header"/>
        <w:rPr>
          <w:rFonts w:ascii="Arial" w:hAnsi="Arial" w:cs="Arial"/>
          <w:sz w:val="16"/>
          <w:szCs w:val="16"/>
        </w:rPr>
      </w:pPr>
    </w:p>
    <w:p w:rsidR="00805D90" w:rsidRPr="00FC0CFB" w:rsidRDefault="00805D90" w:rsidP="00E672D8">
      <w:pPr>
        <w:pStyle w:val="Header"/>
        <w:rPr>
          <w:rFonts w:ascii="Arial" w:hAnsi="Arial" w:cs="Arial"/>
          <w:sz w:val="16"/>
          <w:szCs w:val="16"/>
        </w:rPr>
      </w:pPr>
    </w:p>
    <w:p w:rsidR="00805D90" w:rsidRPr="00FC0CFB" w:rsidRDefault="00805D90" w:rsidP="00E672D8">
      <w:pPr>
        <w:pStyle w:val="Header"/>
        <w:rPr>
          <w:rFonts w:ascii="Arial" w:hAnsi="Arial" w:cs="Arial"/>
          <w:sz w:val="16"/>
          <w:szCs w:val="16"/>
        </w:rPr>
      </w:pPr>
    </w:p>
    <w:p w:rsidR="00805D90" w:rsidRPr="00FC0CFB" w:rsidRDefault="00805D90" w:rsidP="00E672D8">
      <w:pPr>
        <w:rPr>
          <w:rFonts w:ascii="Arial" w:hAnsi="Arial" w:cs="Arial"/>
        </w:rPr>
        <w:sectPr w:rsidR="00805D90" w:rsidRPr="00FC0CFB" w:rsidSect="00382CED">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805D90" w:rsidRPr="00FC0CFB" w:rsidRDefault="00805D90" w:rsidP="00E672D8">
      <w:pPr>
        <w:rPr>
          <w:rFonts w:ascii="Arial" w:hAnsi="Arial" w:cs="Arial"/>
          <w:sz w:val="20"/>
          <w:szCs w:val="20"/>
        </w:rPr>
      </w:pPr>
    </w:p>
    <w:p w:rsidR="00805D90" w:rsidRPr="00FC0CFB" w:rsidRDefault="00805D90" w:rsidP="00E672D8">
      <w:pPr>
        <w:rPr>
          <w:rFonts w:ascii="Arial" w:hAnsi="Arial" w:cs="Arial"/>
          <w:sz w:val="20"/>
          <w:szCs w:val="20"/>
        </w:rPr>
      </w:pPr>
    </w:p>
    <w:p w:rsidR="00805D90" w:rsidRPr="00FC0CFB" w:rsidRDefault="00805D90" w:rsidP="00E672D8">
      <w:pPr>
        <w:rPr>
          <w:rFonts w:ascii="Arial" w:hAnsi="Arial" w:cs="Arial"/>
          <w:sz w:val="20"/>
          <w:szCs w:val="20"/>
        </w:rPr>
      </w:pPr>
    </w:p>
    <w:p w:rsidR="00805D90" w:rsidRPr="00FC0CFB" w:rsidRDefault="00805D90" w:rsidP="00E672D8">
      <w:pPr>
        <w:rPr>
          <w:rFonts w:ascii="Arial" w:hAnsi="Arial" w:cs="Arial"/>
          <w:sz w:val="20"/>
          <w:szCs w:val="20"/>
        </w:rPr>
      </w:pPr>
    </w:p>
    <w:p w:rsidR="00805D90" w:rsidRPr="00FC0CFB" w:rsidRDefault="00805D90" w:rsidP="00E672D8">
      <w:pPr>
        <w:rPr>
          <w:rFonts w:ascii="Arial" w:hAnsi="Arial" w:cs="Arial"/>
          <w:sz w:val="20"/>
          <w:szCs w:val="20"/>
        </w:rPr>
      </w:pPr>
    </w:p>
    <w:p w:rsidR="00805D90" w:rsidRPr="00FC0CFB" w:rsidRDefault="00805D90" w:rsidP="00E672D8">
      <w:pPr>
        <w:rPr>
          <w:rFonts w:ascii="Arial" w:hAnsi="Arial" w:cs="Arial"/>
          <w:b/>
          <w:color w:val="000064"/>
          <w:sz w:val="32"/>
          <w:szCs w:val="32"/>
        </w:rPr>
      </w:pPr>
      <w:r w:rsidRPr="00FC0CFB">
        <w:rPr>
          <w:rFonts w:ascii="Arial" w:hAnsi="Arial" w:cs="Arial"/>
          <w:b/>
          <w:color w:val="000064"/>
          <w:sz w:val="32"/>
          <w:szCs w:val="32"/>
        </w:rPr>
        <w:t>Contents</w:t>
      </w:r>
    </w:p>
    <w:p w:rsidR="00805D90" w:rsidRPr="00FC0CFB" w:rsidRDefault="00805D90" w:rsidP="00E672D8">
      <w:pPr>
        <w:spacing w:line="269" w:lineRule="auto"/>
        <w:rPr>
          <w:rFonts w:ascii="Arial" w:hAnsi="Arial" w:cs="Arial"/>
          <w:sz w:val="20"/>
          <w:szCs w:val="20"/>
        </w:rPr>
      </w:pPr>
    </w:p>
    <w:p w:rsidR="00805D90" w:rsidRPr="00FC0CFB" w:rsidRDefault="00805D90" w:rsidP="00E672D8">
      <w:pPr>
        <w:spacing w:line="269" w:lineRule="auto"/>
        <w:rPr>
          <w:rFonts w:ascii="Arial" w:hAnsi="Arial" w:cs="Arial"/>
          <w:sz w:val="20"/>
          <w:szCs w:val="20"/>
        </w:rPr>
      </w:pPr>
    </w:p>
    <w:p w:rsidR="00DA1BAA" w:rsidRDefault="00B458E6">
      <w:pPr>
        <w:pStyle w:val="TOC1"/>
        <w:tabs>
          <w:tab w:val="left" w:pos="440"/>
        </w:tabs>
        <w:rPr>
          <w:rFonts w:asciiTheme="minorHAnsi" w:eastAsiaTheme="minorEastAsia" w:hAnsiTheme="minorHAnsi" w:cstheme="minorBidi"/>
          <w:b w:val="0"/>
          <w:color w:val="auto"/>
          <w:sz w:val="22"/>
          <w:szCs w:val="22"/>
          <w:lang w:eastAsia="en-AU"/>
        </w:rPr>
      </w:pPr>
      <w:r w:rsidRPr="00B458E6">
        <w:rPr>
          <w:rFonts w:cs="Arial"/>
        </w:rPr>
        <w:fldChar w:fldCharType="begin"/>
      </w:r>
      <w:r w:rsidR="00805D90" w:rsidRPr="00FC0CFB">
        <w:rPr>
          <w:rFonts w:cs="Arial"/>
        </w:rPr>
        <w:instrText xml:space="preserve"> TOC \o "1-2" \t "ATA Heading 2,2" </w:instrText>
      </w:r>
      <w:r w:rsidRPr="00B458E6">
        <w:rPr>
          <w:rFonts w:cs="Arial"/>
        </w:rPr>
        <w:fldChar w:fldCharType="separate"/>
      </w:r>
      <w:r w:rsidR="00DA1BAA" w:rsidRPr="00637493">
        <w:t>1.</w:t>
      </w:r>
      <w:r w:rsidR="00DA1BAA">
        <w:rPr>
          <w:rFonts w:asciiTheme="minorHAnsi" w:eastAsiaTheme="minorEastAsia" w:hAnsiTheme="minorHAnsi" w:cstheme="minorBidi"/>
          <w:b w:val="0"/>
          <w:color w:val="auto"/>
          <w:sz w:val="22"/>
          <w:szCs w:val="22"/>
          <w:lang w:eastAsia="en-AU"/>
        </w:rPr>
        <w:tab/>
      </w:r>
      <w:r w:rsidR="00DA1BAA">
        <w:t>Introduction</w:t>
      </w:r>
      <w:r w:rsidR="00DA1BAA">
        <w:tab/>
      </w:r>
      <w:r>
        <w:fldChar w:fldCharType="begin"/>
      </w:r>
      <w:r w:rsidR="00DA1BAA">
        <w:instrText xml:space="preserve"> PAGEREF _Toc363718933 \h </w:instrText>
      </w:r>
      <w:r>
        <w:fldChar w:fldCharType="separate"/>
      </w:r>
      <w:r w:rsidR="00FE548F">
        <w:t>3</w:t>
      </w:r>
      <w:r>
        <w:fldChar w:fldCharType="end"/>
      </w:r>
    </w:p>
    <w:p w:rsidR="00DA1BAA" w:rsidRDefault="00DA1BAA">
      <w:pPr>
        <w:pStyle w:val="TOC1"/>
        <w:tabs>
          <w:tab w:val="left" w:pos="440"/>
        </w:tabs>
        <w:rPr>
          <w:rFonts w:asciiTheme="minorHAnsi" w:eastAsiaTheme="minorEastAsia" w:hAnsiTheme="minorHAnsi" w:cstheme="minorBidi"/>
          <w:b w:val="0"/>
          <w:color w:val="auto"/>
          <w:sz w:val="22"/>
          <w:szCs w:val="22"/>
          <w:lang w:eastAsia="en-AU"/>
        </w:rPr>
      </w:pPr>
      <w:r w:rsidRPr="00637493">
        <w:t>2.</w:t>
      </w:r>
      <w:r>
        <w:rPr>
          <w:rFonts w:asciiTheme="minorHAnsi" w:eastAsiaTheme="minorEastAsia" w:hAnsiTheme="minorHAnsi" w:cstheme="minorBidi"/>
          <w:b w:val="0"/>
          <w:color w:val="auto"/>
          <w:sz w:val="22"/>
          <w:szCs w:val="22"/>
          <w:lang w:eastAsia="en-AU"/>
        </w:rPr>
        <w:tab/>
      </w:r>
      <w:r>
        <w:t>Australian Trucking Association</w:t>
      </w:r>
      <w:r>
        <w:tab/>
      </w:r>
      <w:r w:rsidR="00B458E6">
        <w:fldChar w:fldCharType="begin"/>
      </w:r>
      <w:r>
        <w:instrText xml:space="preserve"> PAGEREF _Toc363718934 \h </w:instrText>
      </w:r>
      <w:r w:rsidR="00B458E6">
        <w:fldChar w:fldCharType="separate"/>
      </w:r>
      <w:r w:rsidR="00FE548F">
        <w:t>3</w:t>
      </w:r>
      <w:r w:rsidR="00B458E6">
        <w:fldChar w:fldCharType="end"/>
      </w:r>
    </w:p>
    <w:p w:rsidR="00DA1BAA" w:rsidRDefault="00DA1BAA">
      <w:pPr>
        <w:pStyle w:val="TOC1"/>
        <w:tabs>
          <w:tab w:val="left" w:pos="440"/>
        </w:tabs>
        <w:rPr>
          <w:rFonts w:asciiTheme="minorHAnsi" w:eastAsiaTheme="minorEastAsia" w:hAnsiTheme="minorHAnsi" w:cstheme="minorBidi"/>
          <w:b w:val="0"/>
          <w:color w:val="auto"/>
          <w:sz w:val="22"/>
          <w:szCs w:val="22"/>
          <w:lang w:eastAsia="en-AU"/>
        </w:rPr>
      </w:pPr>
      <w:r w:rsidRPr="00637493">
        <w:t>3.</w:t>
      </w:r>
      <w:r>
        <w:rPr>
          <w:rFonts w:asciiTheme="minorHAnsi" w:eastAsiaTheme="minorEastAsia" w:hAnsiTheme="minorHAnsi" w:cstheme="minorBidi"/>
          <w:b w:val="0"/>
          <w:color w:val="auto"/>
          <w:sz w:val="22"/>
          <w:szCs w:val="22"/>
          <w:lang w:eastAsia="en-AU"/>
        </w:rPr>
        <w:tab/>
      </w:r>
      <w:r>
        <w:t>Recommendations</w:t>
      </w:r>
      <w:r>
        <w:tab/>
      </w:r>
      <w:r w:rsidR="00B458E6">
        <w:fldChar w:fldCharType="begin"/>
      </w:r>
      <w:r>
        <w:instrText xml:space="preserve"> PAGEREF _Toc363718935 \h </w:instrText>
      </w:r>
      <w:r w:rsidR="00B458E6">
        <w:fldChar w:fldCharType="separate"/>
      </w:r>
      <w:r w:rsidR="00FE548F">
        <w:t>3</w:t>
      </w:r>
      <w:r w:rsidR="00B458E6">
        <w:fldChar w:fldCharType="end"/>
      </w:r>
    </w:p>
    <w:p w:rsidR="00DA1BAA" w:rsidRDefault="00DA1BAA">
      <w:pPr>
        <w:pStyle w:val="TOC1"/>
        <w:tabs>
          <w:tab w:val="left" w:pos="440"/>
        </w:tabs>
        <w:rPr>
          <w:rFonts w:asciiTheme="minorHAnsi" w:eastAsiaTheme="minorEastAsia" w:hAnsiTheme="minorHAnsi" w:cstheme="minorBidi"/>
          <w:b w:val="0"/>
          <w:color w:val="auto"/>
          <w:sz w:val="22"/>
          <w:szCs w:val="22"/>
          <w:lang w:eastAsia="en-AU"/>
        </w:rPr>
      </w:pPr>
      <w:r w:rsidRPr="00637493">
        <w:t>4.</w:t>
      </w:r>
      <w:r>
        <w:rPr>
          <w:rFonts w:asciiTheme="minorHAnsi" w:eastAsiaTheme="minorEastAsia" w:hAnsiTheme="minorHAnsi" w:cstheme="minorBidi"/>
          <w:b w:val="0"/>
          <w:color w:val="auto"/>
          <w:sz w:val="22"/>
          <w:szCs w:val="22"/>
          <w:lang w:eastAsia="en-AU"/>
        </w:rPr>
        <w:tab/>
      </w:r>
      <w:r>
        <w:t>Specific issues</w:t>
      </w:r>
      <w:r>
        <w:tab/>
      </w:r>
      <w:r w:rsidR="00B458E6">
        <w:fldChar w:fldCharType="begin"/>
      </w:r>
      <w:r>
        <w:instrText xml:space="preserve"> PAGEREF _Toc363718936 \h </w:instrText>
      </w:r>
      <w:r w:rsidR="00B458E6">
        <w:fldChar w:fldCharType="separate"/>
      </w:r>
      <w:r w:rsidR="00FE548F">
        <w:t>4</w:t>
      </w:r>
      <w:r w:rsidR="00B458E6">
        <w:fldChar w:fldCharType="end"/>
      </w:r>
    </w:p>
    <w:p w:rsidR="00DA1BAA" w:rsidRDefault="00DA1BAA">
      <w:pPr>
        <w:pStyle w:val="TOC1"/>
        <w:tabs>
          <w:tab w:val="left" w:pos="660"/>
        </w:tabs>
        <w:rPr>
          <w:rFonts w:asciiTheme="minorHAnsi" w:eastAsiaTheme="minorEastAsia" w:hAnsiTheme="minorHAnsi" w:cstheme="minorBidi"/>
          <w:b w:val="0"/>
          <w:color w:val="auto"/>
          <w:sz w:val="22"/>
          <w:szCs w:val="22"/>
          <w:lang w:eastAsia="en-AU"/>
        </w:rPr>
      </w:pPr>
      <w:r>
        <w:t>4.1</w:t>
      </w:r>
      <w:r>
        <w:rPr>
          <w:rFonts w:asciiTheme="minorHAnsi" w:eastAsiaTheme="minorEastAsia" w:hAnsiTheme="minorHAnsi" w:cstheme="minorBidi"/>
          <w:b w:val="0"/>
          <w:color w:val="auto"/>
          <w:sz w:val="22"/>
          <w:szCs w:val="22"/>
          <w:lang w:eastAsia="en-AU"/>
        </w:rPr>
        <w:tab/>
      </w:r>
      <w:r>
        <w:t>National uniformity</w:t>
      </w:r>
      <w:r>
        <w:tab/>
      </w:r>
      <w:r w:rsidR="00B458E6">
        <w:fldChar w:fldCharType="begin"/>
      </w:r>
      <w:r>
        <w:instrText xml:space="preserve"> PAGEREF _Toc363718937 \h </w:instrText>
      </w:r>
      <w:r w:rsidR="00B458E6">
        <w:fldChar w:fldCharType="separate"/>
      </w:r>
      <w:r w:rsidR="00FE548F">
        <w:t>4</w:t>
      </w:r>
      <w:r w:rsidR="00B458E6">
        <w:fldChar w:fldCharType="end"/>
      </w:r>
    </w:p>
    <w:p w:rsidR="00DA1BAA" w:rsidRDefault="00DA1BAA">
      <w:pPr>
        <w:pStyle w:val="TOC1"/>
        <w:tabs>
          <w:tab w:val="left" w:pos="660"/>
        </w:tabs>
        <w:rPr>
          <w:rFonts w:asciiTheme="minorHAnsi" w:eastAsiaTheme="minorEastAsia" w:hAnsiTheme="minorHAnsi" w:cstheme="minorBidi"/>
          <w:b w:val="0"/>
          <w:color w:val="auto"/>
          <w:sz w:val="22"/>
          <w:szCs w:val="22"/>
          <w:lang w:eastAsia="en-AU"/>
        </w:rPr>
      </w:pPr>
      <w:r>
        <w:t>4.2</w:t>
      </w:r>
      <w:r>
        <w:rPr>
          <w:rFonts w:asciiTheme="minorHAnsi" w:eastAsiaTheme="minorEastAsia" w:hAnsiTheme="minorHAnsi" w:cstheme="minorBidi"/>
          <w:b w:val="0"/>
          <w:color w:val="auto"/>
          <w:sz w:val="22"/>
          <w:szCs w:val="22"/>
          <w:lang w:eastAsia="en-AU"/>
        </w:rPr>
        <w:tab/>
      </w:r>
      <w:r>
        <w:t>The inclusion of national transport policy objectives and principles in the Rules</w:t>
      </w:r>
      <w:r>
        <w:tab/>
      </w:r>
      <w:r w:rsidR="00B458E6">
        <w:fldChar w:fldCharType="begin"/>
      </w:r>
      <w:r>
        <w:instrText xml:space="preserve"> PAGEREF _Toc363718938 \h </w:instrText>
      </w:r>
      <w:r w:rsidR="00B458E6">
        <w:fldChar w:fldCharType="separate"/>
      </w:r>
      <w:r w:rsidR="00FE548F">
        <w:t>4</w:t>
      </w:r>
      <w:r w:rsidR="00B458E6">
        <w:fldChar w:fldCharType="end"/>
      </w:r>
    </w:p>
    <w:p w:rsidR="00DA1BAA" w:rsidRDefault="00DA1BAA">
      <w:pPr>
        <w:pStyle w:val="TOC1"/>
        <w:tabs>
          <w:tab w:val="left" w:pos="660"/>
        </w:tabs>
        <w:rPr>
          <w:rFonts w:asciiTheme="minorHAnsi" w:eastAsiaTheme="minorEastAsia" w:hAnsiTheme="minorHAnsi" w:cstheme="minorBidi"/>
          <w:b w:val="0"/>
          <w:color w:val="auto"/>
          <w:sz w:val="22"/>
          <w:szCs w:val="22"/>
          <w:lang w:eastAsia="en-AU"/>
        </w:rPr>
      </w:pPr>
      <w:r>
        <w:t>4.3</w:t>
      </w:r>
      <w:r>
        <w:rPr>
          <w:rFonts w:asciiTheme="minorHAnsi" w:eastAsiaTheme="minorEastAsia" w:hAnsiTheme="minorHAnsi" w:cstheme="minorBidi"/>
          <w:b w:val="0"/>
          <w:color w:val="auto"/>
          <w:sz w:val="22"/>
          <w:szCs w:val="22"/>
          <w:lang w:eastAsia="en-AU"/>
        </w:rPr>
        <w:tab/>
      </w:r>
      <w:r>
        <w:t>Have objectives of the ARR and AVSR been met?</w:t>
      </w:r>
      <w:r>
        <w:tab/>
      </w:r>
      <w:r w:rsidR="00B458E6">
        <w:fldChar w:fldCharType="begin"/>
      </w:r>
      <w:r>
        <w:instrText xml:space="preserve"> PAGEREF _Toc363718939 \h </w:instrText>
      </w:r>
      <w:r w:rsidR="00B458E6">
        <w:fldChar w:fldCharType="separate"/>
      </w:r>
      <w:r w:rsidR="00FE548F">
        <w:t>4</w:t>
      </w:r>
      <w:r w:rsidR="00B458E6">
        <w:fldChar w:fldCharType="end"/>
      </w:r>
    </w:p>
    <w:p w:rsidR="00DA1BAA" w:rsidRDefault="00DA1BAA">
      <w:pPr>
        <w:pStyle w:val="TOC1"/>
        <w:tabs>
          <w:tab w:val="left" w:pos="660"/>
        </w:tabs>
        <w:rPr>
          <w:rFonts w:asciiTheme="minorHAnsi" w:eastAsiaTheme="minorEastAsia" w:hAnsiTheme="minorHAnsi" w:cstheme="minorBidi"/>
          <w:b w:val="0"/>
          <w:color w:val="auto"/>
          <w:sz w:val="22"/>
          <w:szCs w:val="22"/>
          <w:lang w:eastAsia="en-AU"/>
        </w:rPr>
      </w:pPr>
      <w:r>
        <w:t>4.4</w:t>
      </w:r>
      <w:r>
        <w:rPr>
          <w:rFonts w:asciiTheme="minorHAnsi" w:eastAsiaTheme="minorEastAsia" w:hAnsiTheme="minorHAnsi" w:cstheme="minorBidi"/>
          <w:b w:val="0"/>
          <w:color w:val="auto"/>
          <w:sz w:val="22"/>
          <w:szCs w:val="22"/>
          <w:lang w:eastAsia="en-AU"/>
        </w:rPr>
        <w:tab/>
      </w:r>
      <w:r>
        <w:t>Why an applied approach should be adopted</w:t>
      </w:r>
      <w:r>
        <w:tab/>
      </w:r>
      <w:r w:rsidR="00B458E6">
        <w:fldChar w:fldCharType="begin"/>
      </w:r>
      <w:r>
        <w:instrText xml:space="preserve"> PAGEREF _Toc363718940 \h </w:instrText>
      </w:r>
      <w:r w:rsidR="00B458E6">
        <w:fldChar w:fldCharType="separate"/>
      </w:r>
      <w:r w:rsidR="00FE548F">
        <w:t>5</w:t>
      </w:r>
      <w:r w:rsidR="00B458E6">
        <w:fldChar w:fldCharType="end"/>
      </w:r>
    </w:p>
    <w:p w:rsidR="00DA1BAA" w:rsidRDefault="00DA1BAA">
      <w:pPr>
        <w:pStyle w:val="TOC1"/>
        <w:tabs>
          <w:tab w:val="left" w:pos="660"/>
        </w:tabs>
        <w:rPr>
          <w:rFonts w:asciiTheme="minorHAnsi" w:eastAsiaTheme="minorEastAsia" w:hAnsiTheme="minorHAnsi" w:cstheme="minorBidi"/>
          <w:b w:val="0"/>
          <w:color w:val="auto"/>
          <w:sz w:val="22"/>
          <w:szCs w:val="22"/>
          <w:lang w:eastAsia="en-AU"/>
        </w:rPr>
      </w:pPr>
      <w:r>
        <w:t>4.5</w:t>
      </w:r>
      <w:r>
        <w:rPr>
          <w:rFonts w:asciiTheme="minorHAnsi" w:eastAsiaTheme="minorEastAsia" w:hAnsiTheme="minorHAnsi" w:cstheme="minorBidi"/>
          <w:b w:val="0"/>
          <w:color w:val="auto"/>
          <w:sz w:val="22"/>
          <w:szCs w:val="22"/>
          <w:lang w:eastAsia="en-AU"/>
        </w:rPr>
        <w:tab/>
      </w:r>
      <w:r>
        <w:t>Implementation plan</w:t>
      </w:r>
      <w:r>
        <w:tab/>
      </w:r>
      <w:r w:rsidR="00B458E6">
        <w:fldChar w:fldCharType="begin"/>
      </w:r>
      <w:r>
        <w:instrText xml:space="preserve"> PAGEREF _Toc363718941 \h </w:instrText>
      </w:r>
      <w:r w:rsidR="00B458E6">
        <w:fldChar w:fldCharType="separate"/>
      </w:r>
      <w:r w:rsidR="00FE548F">
        <w:t>6</w:t>
      </w:r>
      <w:r w:rsidR="00B458E6">
        <w:fldChar w:fldCharType="end"/>
      </w:r>
    </w:p>
    <w:p w:rsidR="00DA1BAA" w:rsidRDefault="00DA1BAA">
      <w:pPr>
        <w:pStyle w:val="TOC1"/>
        <w:tabs>
          <w:tab w:val="left" w:pos="660"/>
        </w:tabs>
        <w:rPr>
          <w:rFonts w:asciiTheme="minorHAnsi" w:eastAsiaTheme="minorEastAsia" w:hAnsiTheme="minorHAnsi" w:cstheme="minorBidi"/>
          <w:b w:val="0"/>
          <w:color w:val="auto"/>
          <w:sz w:val="22"/>
          <w:szCs w:val="22"/>
          <w:lang w:eastAsia="en-AU"/>
        </w:rPr>
      </w:pPr>
      <w:r>
        <w:t>4.6</w:t>
      </w:r>
      <w:r>
        <w:rPr>
          <w:rFonts w:asciiTheme="minorHAnsi" w:eastAsiaTheme="minorEastAsia" w:hAnsiTheme="minorHAnsi" w:cstheme="minorBidi"/>
          <w:b w:val="0"/>
          <w:color w:val="auto"/>
          <w:sz w:val="22"/>
          <w:szCs w:val="22"/>
          <w:lang w:eastAsia="en-AU"/>
        </w:rPr>
        <w:tab/>
      </w:r>
      <w:r>
        <w:t>Performance based, prescriptive or advisory rules</w:t>
      </w:r>
      <w:r>
        <w:tab/>
      </w:r>
      <w:r w:rsidR="00B458E6">
        <w:fldChar w:fldCharType="begin"/>
      </w:r>
      <w:r>
        <w:instrText xml:space="preserve"> PAGEREF _Toc363718942 \h </w:instrText>
      </w:r>
      <w:r w:rsidR="00B458E6">
        <w:fldChar w:fldCharType="separate"/>
      </w:r>
      <w:r w:rsidR="00FE548F">
        <w:t>6</w:t>
      </w:r>
      <w:r w:rsidR="00B458E6">
        <w:fldChar w:fldCharType="end"/>
      </w:r>
    </w:p>
    <w:p w:rsidR="00DA1BAA" w:rsidRDefault="00DA1BAA">
      <w:pPr>
        <w:pStyle w:val="TOC1"/>
        <w:tabs>
          <w:tab w:val="left" w:pos="660"/>
        </w:tabs>
        <w:rPr>
          <w:rFonts w:asciiTheme="minorHAnsi" w:eastAsiaTheme="minorEastAsia" w:hAnsiTheme="minorHAnsi" w:cstheme="minorBidi"/>
          <w:b w:val="0"/>
          <w:color w:val="auto"/>
          <w:sz w:val="22"/>
          <w:szCs w:val="22"/>
          <w:lang w:eastAsia="en-AU"/>
        </w:rPr>
      </w:pPr>
      <w:r>
        <w:t>4.7</w:t>
      </w:r>
      <w:r>
        <w:rPr>
          <w:rFonts w:asciiTheme="minorHAnsi" w:eastAsiaTheme="minorEastAsia" w:hAnsiTheme="minorHAnsi" w:cstheme="minorBidi"/>
          <w:b w:val="0"/>
          <w:color w:val="auto"/>
          <w:sz w:val="22"/>
          <w:szCs w:val="22"/>
          <w:lang w:eastAsia="en-AU"/>
        </w:rPr>
        <w:tab/>
      </w:r>
      <w:r>
        <w:t>Industry experience with the National Heavy Vehicle Regulator</w:t>
      </w:r>
      <w:r>
        <w:tab/>
      </w:r>
      <w:r w:rsidR="00B458E6">
        <w:fldChar w:fldCharType="begin"/>
      </w:r>
      <w:r>
        <w:instrText xml:space="preserve"> PAGEREF _Toc363718943 \h </w:instrText>
      </w:r>
      <w:r w:rsidR="00B458E6">
        <w:fldChar w:fldCharType="separate"/>
      </w:r>
      <w:r w:rsidR="00FE548F">
        <w:t>7</w:t>
      </w:r>
      <w:r w:rsidR="00B458E6">
        <w:fldChar w:fldCharType="end"/>
      </w:r>
    </w:p>
    <w:p w:rsidR="00DA1BAA" w:rsidRDefault="00DA1BAA">
      <w:pPr>
        <w:pStyle w:val="TOC1"/>
        <w:tabs>
          <w:tab w:val="left" w:pos="440"/>
        </w:tabs>
        <w:rPr>
          <w:rFonts w:asciiTheme="minorHAnsi" w:eastAsiaTheme="minorEastAsia" w:hAnsiTheme="minorHAnsi" w:cstheme="minorBidi"/>
          <w:b w:val="0"/>
          <w:color w:val="auto"/>
          <w:sz w:val="22"/>
          <w:szCs w:val="22"/>
          <w:lang w:eastAsia="en-AU"/>
        </w:rPr>
      </w:pPr>
      <w:r w:rsidRPr="00637493">
        <w:t>5.</w:t>
      </w:r>
      <w:r>
        <w:rPr>
          <w:rFonts w:asciiTheme="minorHAnsi" w:eastAsiaTheme="minorEastAsia" w:hAnsiTheme="minorHAnsi" w:cstheme="minorBidi"/>
          <w:b w:val="0"/>
          <w:color w:val="auto"/>
          <w:sz w:val="22"/>
          <w:szCs w:val="22"/>
          <w:lang w:eastAsia="en-AU"/>
        </w:rPr>
        <w:tab/>
      </w:r>
      <w:r>
        <w:t>Conclusion</w:t>
      </w:r>
      <w:r>
        <w:tab/>
      </w:r>
      <w:r w:rsidR="00B458E6">
        <w:fldChar w:fldCharType="begin"/>
      </w:r>
      <w:r>
        <w:instrText xml:space="preserve"> PAGEREF _Toc363718944 \h </w:instrText>
      </w:r>
      <w:r w:rsidR="00B458E6">
        <w:fldChar w:fldCharType="separate"/>
      </w:r>
      <w:r w:rsidR="00FE548F">
        <w:t>7</w:t>
      </w:r>
      <w:r w:rsidR="00B458E6">
        <w:fldChar w:fldCharType="end"/>
      </w:r>
    </w:p>
    <w:p w:rsidR="00805D90" w:rsidRPr="00FC0CFB" w:rsidRDefault="00B458E6" w:rsidP="00E672D8">
      <w:pPr>
        <w:tabs>
          <w:tab w:val="right" w:leader="dot" w:pos="9645"/>
        </w:tabs>
        <w:rPr>
          <w:rFonts w:ascii="Arial" w:hAnsi="Arial" w:cs="Arial"/>
        </w:rPr>
      </w:pPr>
      <w:r w:rsidRPr="00FC0CFB">
        <w:rPr>
          <w:rFonts w:ascii="Arial" w:hAnsi="Arial" w:cs="Arial"/>
          <w:b/>
          <w:noProof/>
          <w:sz w:val="20"/>
          <w:szCs w:val="20"/>
        </w:rPr>
        <w:fldChar w:fldCharType="end"/>
      </w: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E672D8" w:rsidRDefault="00E672D8" w:rsidP="00E672D8">
      <w:pPr>
        <w:rPr>
          <w:rFonts w:ascii="Arial" w:hAnsi="Arial" w:cs="Arial"/>
          <w:sz w:val="20"/>
          <w:szCs w:val="20"/>
        </w:rPr>
      </w:pPr>
    </w:p>
    <w:p w:rsidR="00805D90" w:rsidRPr="00FC0CFB" w:rsidRDefault="00805D90" w:rsidP="00E672D8">
      <w:pPr>
        <w:rPr>
          <w:rFonts w:ascii="Arial" w:hAnsi="Arial" w:cs="Arial"/>
          <w:sz w:val="20"/>
          <w:szCs w:val="20"/>
        </w:rPr>
      </w:pPr>
      <w:r w:rsidRPr="00FC0CFB">
        <w:rPr>
          <w:rFonts w:ascii="Arial" w:hAnsi="Arial" w:cs="Arial"/>
          <w:sz w:val="20"/>
          <w:szCs w:val="20"/>
        </w:rPr>
        <w:br w:type="page"/>
      </w:r>
    </w:p>
    <w:p w:rsidR="00805D90" w:rsidRPr="00FC0CFB" w:rsidRDefault="00805D90" w:rsidP="00E672D8">
      <w:pPr>
        <w:pStyle w:val="Heading1"/>
      </w:pPr>
      <w:bookmarkStart w:id="0" w:name="_Toc363718933"/>
      <w:r w:rsidRPr="00FC0CFB">
        <w:lastRenderedPageBreak/>
        <w:t>Introduction</w:t>
      </w:r>
      <w:bookmarkEnd w:id="0"/>
    </w:p>
    <w:p w:rsidR="00805D90" w:rsidRPr="00FC0CFB" w:rsidRDefault="00805D90" w:rsidP="00E672D8">
      <w:pPr>
        <w:pStyle w:val="BodyText2"/>
        <w:spacing w:line="269" w:lineRule="auto"/>
        <w:rPr>
          <w:b w:val="0"/>
          <w:sz w:val="20"/>
        </w:rPr>
      </w:pPr>
    </w:p>
    <w:p w:rsidR="00EF0579" w:rsidRDefault="00D95526" w:rsidP="00E672D8">
      <w:pPr>
        <w:pStyle w:val="BodyText2"/>
        <w:spacing w:line="269" w:lineRule="auto"/>
        <w:rPr>
          <w:b w:val="0"/>
          <w:sz w:val="20"/>
        </w:rPr>
      </w:pPr>
      <w:r w:rsidRPr="00FC0CFB">
        <w:rPr>
          <w:b w:val="0"/>
          <w:sz w:val="20"/>
        </w:rPr>
        <w:t xml:space="preserve">The </w:t>
      </w:r>
      <w:r w:rsidR="00D705D1">
        <w:rPr>
          <w:b w:val="0"/>
          <w:sz w:val="20"/>
        </w:rPr>
        <w:t>N</w:t>
      </w:r>
      <w:r w:rsidR="00762487">
        <w:rPr>
          <w:b w:val="0"/>
          <w:sz w:val="20"/>
        </w:rPr>
        <w:t xml:space="preserve">ational </w:t>
      </w:r>
      <w:r w:rsidR="00D705D1">
        <w:rPr>
          <w:b w:val="0"/>
          <w:sz w:val="20"/>
        </w:rPr>
        <w:t>T</w:t>
      </w:r>
      <w:r w:rsidR="00762487">
        <w:rPr>
          <w:b w:val="0"/>
          <w:sz w:val="20"/>
        </w:rPr>
        <w:t>ransport Commission (NTC)</w:t>
      </w:r>
      <w:r w:rsidR="00BC4F34">
        <w:rPr>
          <w:b w:val="0"/>
          <w:sz w:val="20"/>
        </w:rPr>
        <w:t xml:space="preserve"> has stated the objective of this</w:t>
      </w:r>
      <w:r w:rsidR="00EF0579">
        <w:rPr>
          <w:b w:val="0"/>
          <w:sz w:val="20"/>
        </w:rPr>
        <w:t xml:space="preserve"> review is to assess whether the Australian Road Rules (ARR) and the Australian Vehicle Standards Rule</w:t>
      </w:r>
      <w:r w:rsidR="00F85BCF">
        <w:rPr>
          <w:b w:val="0"/>
          <w:sz w:val="20"/>
        </w:rPr>
        <w:t>s (AVSR)</w:t>
      </w:r>
      <w:r w:rsidR="00EF0579">
        <w:rPr>
          <w:b w:val="0"/>
          <w:sz w:val="20"/>
        </w:rPr>
        <w:t xml:space="preserve"> have met their intended outcomes</w:t>
      </w:r>
      <w:r w:rsidR="009E3CBF">
        <w:rPr>
          <w:b w:val="0"/>
          <w:sz w:val="20"/>
        </w:rPr>
        <w:t xml:space="preserve"> and </w:t>
      </w:r>
      <w:r w:rsidR="005B5B0B">
        <w:rPr>
          <w:b w:val="0"/>
          <w:sz w:val="20"/>
        </w:rPr>
        <w:t>if</w:t>
      </w:r>
      <w:r w:rsidR="00BC4F34">
        <w:rPr>
          <w:b w:val="0"/>
          <w:sz w:val="20"/>
        </w:rPr>
        <w:t xml:space="preserve"> it is necessary to </w:t>
      </w:r>
      <w:r w:rsidR="009E3CBF">
        <w:rPr>
          <w:b w:val="0"/>
          <w:sz w:val="20"/>
        </w:rPr>
        <w:t>improve the framework of the rules</w:t>
      </w:r>
      <w:r w:rsidR="00EF0579">
        <w:rPr>
          <w:b w:val="0"/>
          <w:sz w:val="20"/>
        </w:rPr>
        <w:t xml:space="preserve">. </w:t>
      </w:r>
    </w:p>
    <w:p w:rsidR="000D25A2" w:rsidRDefault="000D25A2" w:rsidP="00E672D8">
      <w:pPr>
        <w:pStyle w:val="BodyText2"/>
        <w:spacing w:line="269" w:lineRule="auto"/>
        <w:rPr>
          <w:b w:val="0"/>
          <w:sz w:val="20"/>
        </w:rPr>
      </w:pPr>
    </w:p>
    <w:p w:rsidR="000D25A2" w:rsidRDefault="000D25A2" w:rsidP="00E672D8">
      <w:pPr>
        <w:pStyle w:val="BodyText2"/>
        <w:spacing w:line="269" w:lineRule="auto"/>
        <w:rPr>
          <w:b w:val="0"/>
          <w:sz w:val="20"/>
        </w:rPr>
      </w:pPr>
      <w:r>
        <w:rPr>
          <w:b w:val="0"/>
          <w:sz w:val="20"/>
        </w:rPr>
        <w:t>The heavy vehicle industry, more than any other road user</w:t>
      </w:r>
      <w:r w:rsidR="001879A7">
        <w:rPr>
          <w:b w:val="0"/>
          <w:sz w:val="20"/>
        </w:rPr>
        <w:t>,</w:t>
      </w:r>
      <w:r>
        <w:rPr>
          <w:b w:val="0"/>
          <w:sz w:val="20"/>
        </w:rPr>
        <w:t xml:space="preserve"> </w:t>
      </w:r>
      <w:r w:rsidR="001879A7">
        <w:rPr>
          <w:b w:val="0"/>
          <w:sz w:val="20"/>
        </w:rPr>
        <w:t>is confronted with different road rules daily</w:t>
      </w:r>
      <w:r>
        <w:rPr>
          <w:b w:val="0"/>
          <w:sz w:val="20"/>
        </w:rPr>
        <w:t>.</w:t>
      </w:r>
      <w:r w:rsidR="001879A7">
        <w:rPr>
          <w:b w:val="0"/>
          <w:sz w:val="20"/>
        </w:rPr>
        <w:t xml:space="preserve"> Particularly, if drivers are travelling from the West to the East o</w:t>
      </w:r>
      <w:r w:rsidR="00BC4F34">
        <w:rPr>
          <w:b w:val="0"/>
          <w:sz w:val="20"/>
        </w:rPr>
        <w:t>r</w:t>
      </w:r>
      <w:r w:rsidR="001879A7">
        <w:rPr>
          <w:b w:val="0"/>
          <w:sz w:val="20"/>
        </w:rPr>
        <w:t xml:space="preserve"> </w:t>
      </w:r>
      <w:r w:rsidR="00BB4C69">
        <w:rPr>
          <w:b w:val="0"/>
          <w:sz w:val="20"/>
        </w:rPr>
        <w:t xml:space="preserve">vice </w:t>
      </w:r>
      <w:r w:rsidR="001879A7">
        <w:rPr>
          <w:b w:val="0"/>
          <w:sz w:val="20"/>
        </w:rPr>
        <w:t xml:space="preserve">versa.  The lack of national unity is an unnecessary burden that </w:t>
      </w:r>
      <w:r w:rsidR="00BB4C69">
        <w:rPr>
          <w:b w:val="0"/>
          <w:sz w:val="20"/>
        </w:rPr>
        <w:t xml:space="preserve">affects </w:t>
      </w:r>
      <w:r w:rsidR="001879A7">
        <w:rPr>
          <w:b w:val="0"/>
          <w:sz w:val="20"/>
        </w:rPr>
        <w:t xml:space="preserve">road safety and driver operation on Australia’s roads.  </w:t>
      </w:r>
    </w:p>
    <w:p w:rsidR="000D25A2" w:rsidRDefault="000D25A2" w:rsidP="00E672D8">
      <w:pPr>
        <w:pStyle w:val="BodyText2"/>
        <w:spacing w:line="269" w:lineRule="auto"/>
        <w:rPr>
          <w:b w:val="0"/>
          <w:sz w:val="20"/>
        </w:rPr>
      </w:pPr>
    </w:p>
    <w:p w:rsidR="00EF0579" w:rsidRDefault="000D25A2" w:rsidP="00E672D8">
      <w:pPr>
        <w:pStyle w:val="BodyText2"/>
        <w:spacing w:line="269" w:lineRule="auto"/>
        <w:rPr>
          <w:b w:val="0"/>
          <w:sz w:val="20"/>
        </w:rPr>
      </w:pPr>
      <w:r>
        <w:rPr>
          <w:b w:val="0"/>
          <w:sz w:val="20"/>
        </w:rPr>
        <w:t>The model law approach has not produced the best outcome</w:t>
      </w:r>
      <w:r w:rsidR="00BC4F34">
        <w:rPr>
          <w:b w:val="0"/>
          <w:sz w:val="20"/>
        </w:rPr>
        <w:t>s</w:t>
      </w:r>
      <w:r>
        <w:rPr>
          <w:b w:val="0"/>
          <w:sz w:val="20"/>
        </w:rPr>
        <w:t xml:space="preserve"> for road users and now the time has come to move to an applied law approach. </w:t>
      </w:r>
      <w:r w:rsidRPr="00434BEC">
        <w:rPr>
          <w:b w:val="0"/>
          <w:sz w:val="20"/>
        </w:rPr>
        <w:t>The NTC have addressed the concerns of states</w:t>
      </w:r>
      <w:r w:rsidR="00BC4F34">
        <w:rPr>
          <w:b w:val="0"/>
          <w:sz w:val="20"/>
        </w:rPr>
        <w:t xml:space="preserve"> and territories in changing</w:t>
      </w:r>
      <w:r w:rsidRPr="00434BEC">
        <w:rPr>
          <w:b w:val="0"/>
          <w:sz w:val="20"/>
        </w:rPr>
        <w:t xml:space="preserve"> </w:t>
      </w:r>
      <w:r w:rsidR="009E7D9F" w:rsidRPr="00434BEC">
        <w:rPr>
          <w:b w:val="0"/>
          <w:sz w:val="20"/>
        </w:rPr>
        <w:t xml:space="preserve">the </w:t>
      </w:r>
      <w:r w:rsidR="00BC4F34">
        <w:rPr>
          <w:b w:val="0"/>
          <w:sz w:val="20"/>
        </w:rPr>
        <w:t>framework</w:t>
      </w:r>
      <w:r w:rsidRPr="00434BEC">
        <w:rPr>
          <w:b w:val="0"/>
          <w:sz w:val="20"/>
        </w:rPr>
        <w:t>.</w:t>
      </w:r>
      <w:r>
        <w:rPr>
          <w:b w:val="0"/>
          <w:sz w:val="20"/>
        </w:rPr>
        <w:t xml:space="preserve"> </w:t>
      </w:r>
    </w:p>
    <w:p w:rsidR="001879A7" w:rsidRDefault="001879A7" w:rsidP="00E672D8">
      <w:pPr>
        <w:pStyle w:val="BodyText2"/>
        <w:spacing w:line="269" w:lineRule="auto"/>
        <w:rPr>
          <w:b w:val="0"/>
          <w:sz w:val="20"/>
        </w:rPr>
      </w:pPr>
    </w:p>
    <w:p w:rsidR="001879A7" w:rsidRDefault="001879A7" w:rsidP="00E672D8">
      <w:pPr>
        <w:pStyle w:val="BodyText2"/>
        <w:spacing w:line="269" w:lineRule="auto"/>
        <w:rPr>
          <w:b w:val="0"/>
          <w:sz w:val="20"/>
        </w:rPr>
      </w:pPr>
      <w:r>
        <w:rPr>
          <w:b w:val="0"/>
          <w:sz w:val="20"/>
        </w:rPr>
        <w:t xml:space="preserve">A national safety </w:t>
      </w:r>
      <w:r w:rsidRPr="00434BEC">
        <w:rPr>
          <w:b w:val="0"/>
          <w:sz w:val="20"/>
        </w:rPr>
        <w:t xml:space="preserve">approach is needed in order to </w:t>
      </w:r>
      <w:r w:rsidR="003A0BE8" w:rsidRPr="00434BEC">
        <w:rPr>
          <w:b w:val="0"/>
          <w:sz w:val="20"/>
        </w:rPr>
        <w:t>ensure</w:t>
      </w:r>
      <w:r w:rsidRPr="00434BEC">
        <w:rPr>
          <w:b w:val="0"/>
          <w:sz w:val="20"/>
        </w:rPr>
        <w:t xml:space="preserve"> </w:t>
      </w:r>
      <w:r w:rsidR="003A0BE8" w:rsidRPr="00434BEC">
        <w:rPr>
          <w:b w:val="0"/>
          <w:sz w:val="20"/>
        </w:rPr>
        <w:t>intrastate,</w:t>
      </w:r>
      <w:r w:rsidRPr="00434BEC">
        <w:rPr>
          <w:b w:val="0"/>
          <w:sz w:val="20"/>
        </w:rPr>
        <w:t xml:space="preserve"> interstate</w:t>
      </w:r>
      <w:r w:rsidR="003A0BE8" w:rsidRPr="00434BEC">
        <w:rPr>
          <w:b w:val="0"/>
          <w:sz w:val="20"/>
        </w:rPr>
        <w:t>,</w:t>
      </w:r>
      <w:r w:rsidR="00BC4F34">
        <w:rPr>
          <w:b w:val="0"/>
          <w:sz w:val="20"/>
        </w:rPr>
        <w:t xml:space="preserve"> and </w:t>
      </w:r>
      <w:r w:rsidR="00BB4C69">
        <w:rPr>
          <w:b w:val="0"/>
          <w:sz w:val="20"/>
        </w:rPr>
        <w:t>foreign</w:t>
      </w:r>
      <w:r w:rsidRPr="00434BEC">
        <w:rPr>
          <w:b w:val="0"/>
          <w:sz w:val="20"/>
        </w:rPr>
        <w:t xml:space="preserve"> </w:t>
      </w:r>
      <w:r w:rsidR="00BC4F34">
        <w:rPr>
          <w:b w:val="0"/>
          <w:sz w:val="20"/>
        </w:rPr>
        <w:t xml:space="preserve">drivers </w:t>
      </w:r>
      <w:r w:rsidRPr="00434BEC">
        <w:rPr>
          <w:b w:val="0"/>
          <w:sz w:val="20"/>
        </w:rPr>
        <w:t>can travel on</w:t>
      </w:r>
      <w:r w:rsidR="00BB4C69">
        <w:rPr>
          <w:b w:val="0"/>
          <w:sz w:val="20"/>
        </w:rPr>
        <w:t xml:space="preserve"> all of</w:t>
      </w:r>
      <w:r w:rsidRPr="00434BEC">
        <w:rPr>
          <w:b w:val="0"/>
          <w:sz w:val="20"/>
        </w:rPr>
        <w:t xml:space="preserve"> Australia’s </w:t>
      </w:r>
      <w:r w:rsidR="00BB4C69">
        <w:rPr>
          <w:b w:val="0"/>
          <w:sz w:val="20"/>
        </w:rPr>
        <w:t xml:space="preserve">public </w:t>
      </w:r>
      <w:r w:rsidRPr="00434BEC">
        <w:rPr>
          <w:b w:val="0"/>
          <w:sz w:val="20"/>
        </w:rPr>
        <w:t xml:space="preserve">roads safely, </w:t>
      </w:r>
      <w:r w:rsidR="009E7D9F" w:rsidRPr="00434BEC">
        <w:rPr>
          <w:b w:val="0"/>
          <w:sz w:val="20"/>
        </w:rPr>
        <w:t xml:space="preserve">and </w:t>
      </w:r>
      <w:r w:rsidR="00BC4F34">
        <w:rPr>
          <w:b w:val="0"/>
          <w:sz w:val="20"/>
        </w:rPr>
        <w:t xml:space="preserve">are compliant with the </w:t>
      </w:r>
      <w:r w:rsidR="00BB4C69">
        <w:rPr>
          <w:b w:val="0"/>
          <w:sz w:val="20"/>
        </w:rPr>
        <w:t xml:space="preserve">road </w:t>
      </w:r>
      <w:r w:rsidR="00BC4F34">
        <w:rPr>
          <w:b w:val="0"/>
          <w:sz w:val="20"/>
        </w:rPr>
        <w:t>rules</w:t>
      </w:r>
      <w:r w:rsidRPr="00434BEC">
        <w:rPr>
          <w:b w:val="0"/>
          <w:sz w:val="20"/>
        </w:rPr>
        <w:t>.</w:t>
      </w:r>
      <w:r>
        <w:rPr>
          <w:b w:val="0"/>
          <w:sz w:val="20"/>
        </w:rPr>
        <w:t xml:space="preserve"> </w:t>
      </w:r>
    </w:p>
    <w:p w:rsidR="00970881" w:rsidRPr="00FC0CFB" w:rsidRDefault="00970881" w:rsidP="00E672D8">
      <w:pPr>
        <w:pStyle w:val="BodyText2"/>
        <w:spacing w:line="269" w:lineRule="auto"/>
        <w:rPr>
          <w:b w:val="0"/>
          <w:sz w:val="20"/>
        </w:rPr>
      </w:pPr>
    </w:p>
    <w:p w:rsidR="00805D90" w:rsidRPr="00FC0CFB" w:rsidRDefault="00805D90" w:rsidP="00E672D8">
      <w:pPr>
        <w:pStyle w:val="Heading1"/>
      </w:pPr>
      <w:bookmarkStart w:id="1" w:name="_Toc363718934"/>
      <w:r w:rsidRPr="00FC0CFB">
        <w:t>Australian Trucking Association</w:t>
      </w:r>
      <w:bookmarkEnd w:id="1"/>
    </w:p>
    <w:p w:rsidR="00805D90" w:rsidRPr="00FC0CFB" w:rsidRDefault="00805D90" w:rsidP="00E672D8">
      <w:pPr>
        <w:pStyle w:val="BodyText2"/>
        <w:spacing w:line="269" w:lineRule="auto"/>
        <w:rPr>
          <w:b w:val="0"/>
          <w:sz w:val="20"/>
        </w:rPr>
      </w:pPr>
    </w:p>
    <w:p w:rsidR="0014291C" w:rsidRPr="00E672D8" w:rsidRDefault="00805D90" w:rsidP="00E672D8">
      <w:pPr>
        <w:pStyle w:val="BodyText2"/>
        <w:spacing w:line="269" w:lineRule="auto"/>
        <w:rPr>
          <w:b w:val="0"/>
          <w:sz w:val="20"/>
        </w:rPr>
      </w:pPr>
      <w:r w:rsidRPr="00E672D8">
        <w:rPr>
          <w:b w:val="0"/>
          <w:sz w:val="20"/>
        </w:rPr>
        <w:t xml:space="preserve">The Australian Trucking Association (ATA) is the peak body that represents the trucking industry. Its members include state and sector based trucking associations, some of the nation’s largest transport companies, and businesses with leading expertise in truck technology. </w:t>
      </w:r>
    </w:p>
    <w:p w:rsidR="00432316" w:rsidRDefault="00432316" w:rsidP="00E672D8">
      <w:pPr>
        <w:pStyle w:val="BodyText2"/>
        <w:spacing w:line="269" w:lineRule="auto"/>
        <w:rPr>
          <w:b w:val="0"/>
          <w:sz w:val="20"/>
        </w:rPr>
      </w:pPr>
    </w:p>
    <w:p w:rsidR="00585DB0" w:rsidRPr="00FC0CFB" w:rsidRDefault="00585DB0" w:rsidP="00E672D8">
      <w:pPr>
        <w:pStyle w:val="Heading1"/>
      </w:pPr>
      <w:bookmarkStart w:id="2" w:name="_Toc363718935"/>
      <w:r w:rsidRPr="00FC0CFB">
        <w:t>Recommendations</w:t>
      </w:r>
      <w:bookmarkEnd w:id="2"/>
    </w:p>
    <w:p w:rsidR="00585DB0" w:rsidRDefault="00585DB0" w:rsidP="00E672D8">
      <w:pPr>
        <w:pStyle w:val="BodyText2"/>
        <w:spacing w:line="269" w:lineRule="auto"/>
        <w:rPr>
          <w:b w:val="0"/>
          <w:sz w:val="20"/>
        </w:rPr>
      </w:pPr>
    </w:p>
    <w:p w:rsidR="00C61603" w:rsidRDefault="00C61603" w:rsidP="00E672D8">
      <w:pPr>
        <w:autoSpaceDE w:val="0"/>
        <w:autoSpaceDN w:val="0"/>
        <w:adjustRightInd w:val="0"/>
        <w:rPr>
          <w:rFonts w:ascii="Arial" w:hAnsi="Arial" w:cs="Arial"/>
        </w:rPr>
      </w:pPr>
      <w:r w:rsidRPr="009925C3">
        <w:rPr>
          <w:rFonts w:ascii="Arial" w:eastAsiaTheme="minorHAnsi" w:hAnsi="Arial" w:cs="Arial"/>
          <w:b/>
          <w:sz w:val="20"/>
          <w:szCs w:val="20"/>
          <w:highlight w:val="white"/>
        </w:rPr>
        <w:t>Recommendation 1</w:t>
      </w:r>
      <w:r>
        <w:rPr>
          <w:rFonts w:ascii="Arial" w:hAnsi="Arial" w:cs="Arial"/>
        </w:rPr>
        <w:t xml:space="preserve"> </w:t>
      </w:r>
    </w:p>
    <w:p w:rsidR="00C61603" w:rsidRPr="00806EDF" w:rsidRDefault="00C61603" w:rsidP="00E672D8">
      <w:pPr>
        <w:autoSpaceDE w:val="0"/>
        <w:autoSpaceDN w:val="0"/>
        <w:adjustRightInd w:val="0"/>
        <w:rPr>
          <w:rFonts w:ascii="Arial" w:eastAsiaTheme="minorHAnsi" w:hAnsi="Arial" w:cs="Arial"/>
          <w:sz w:val="20"/>
          <w:szCs w:val="20"/>
          <w:highlight w:val="white"/>
        </w:rPr>
      </w:pPr>
    </w:p>
    <w:p w:rsidR="00C61603" w:rsidRDefault="00C61603" w:rsidP="00E672D8">
      <w:pPr>
        <w:autoSpaceDE w:val="0"/>
        <w:autoSpaceDN w:val="0"/>
        <w:adjustRightInd w:val="0"/>
        <w:rPr>
          <w:rFonts w:ascii="Arial" w:eastAsiaTheme="minorHAnsi" w:hAnsi="Arial" w:cs="Arial"/>
          <w:sz w:val="20"/>
          <w:szCs w:val="20"/>
          <w:highlight w:val="white"/>
        </w:rPr>
      </w:pPr>
      <w:r w:rsidRPr="00806EDF">
        <w:rPr>
          <w:rFonts w:ascii="Arial" w:eastAsiaTheme="minorHAnsi" w:hAnsi="Arial" w:cs="Arial"/>
          <w:sz w:val="20"/>
          <w:szCs w:val="20"/>
          <w:highlight w:val="white"/>
        </w:rPr>
        <w:t xml:space="preserve">The ATA recommends the NTC continue to work towards an applied law approach for Australian Road Rules </w:t>
      </w:r>
      <w:r>
        <w:rPr>
          <w:rFonts w:ascii="Arial" w:eastAsiaTheme="minorHAnsi" w:hAnsi="Arial" w:cs="Arial"/>
          <w:sz w:val="20"/>
          <w:szCs w:val="20"/>
          <w:highlight w:val="white"/>
        </w:rPr>
        <w:t xml:space="preserve">(ARR) </w:t>
      </w:r>
      <w:r w:rsidRPr="00806EDF">
        <w:rPr>
          <w:rFonts w:ascii="Arial" w:eastAsiaTheme="minorHAnsi" w:hAnsi="Arial" w:cs="Arial"/>
          <w:sz w:val="20"/>
          <w:szCs w:val="20"/>
          <w:highlight w:val="white"/>
        </w:rPr>
        <w:t>and Australian Vehicle Standard Rules</w:t>
      </w:r>
      <w:r>
        <w:rPr>
          <w:rFonts w:ascii="Arial" w:eastAsiaTheme="minorHAnsi" w:hAnsi="Arial" w:cs="Arial"/>
          <w:sz w:val="20"/>
          <w:szCs w:val="20"/>
          <w:highlight w:val="white"/>
        </w:rPr>
        <w:t xml:space="preserve"> (AVSR)</w:t>
      </w:r>
      <w:r w:rsidRPr="00806EDF">
        <w:rPr>
          <w:rFonts w:ascii="Arial" w:eastAsiaTheme="minorHAnsi" w:hAnsi="Arial" w:cs="Arial"/>
          <w:sz w:val="20"/>
          <w:szCs w:val="20"/>
          <w:highlight w:val="white"/>
        </w:rPr>
        <w:t xml:space="preserve">. </w:t>
      </w:r>
      <w:r>
        <w:rPr>
          <w:rFonts w:ascii="Arial" w:eastAsiaTheme="minorHAnsi" w:hAnsi="Arial" w:cs="Arial"/>
          <w:sz w:val="20"/>
          <w:szCs w:val="20"/>
          <w:highlight w:val="white"/>
        </w:rPr>
        <w:t xml:space="preserve">An applied law approach will produce better road safety outcomes for Australia. </w:t>
      </w:r>
    </w:p>
    <w:p w:rsidR="00C61603" w:rsidRDefault="00C61603" w:rsidP="00E672D8">
      <w:pPr>
        <w:autoSpaceDE w:val="0"/>
        <w:autoSpaceDN w:val="0"/>
        <w:adjustRightInd w:val="0"/>
        <w:rPr>
          <w:rFonts w:ascii="Arial" w:eastAsiaTheme="minorHAnsi" w:hAnsi="Arial" w:cs="Arial"/>
          <w:sz w:val="20"/>
          <w:szCs w:val="20"/>
          <w:highlight w:val="white"/>
        </w:rPr>
      </w:pPr>
    </w:p>
    <w:p w:rsidR="00C61603" w:rsidRDefault="00C61603" w:rsidP="00E672D8">
      <w:pPr>
        <w:autoSpaceDE w:val="0"/>
        <w:autoSpaceDN w:val="0"/>
        <w:adjustRightInd w:val="0"/>
        <w:rPr>
          <w:rFonts w:ascii="Arial" w:eastAsiaTheme="minorHAnsi" w:hAnsi="Arial" w:cs="Arial"/>
          <w:b/>
          <w:sz w:val="20"/>
          <w:szCs w:val="20"/>
          <w:highlight w:val="white"/>
        </w:rPr>
      </w:pPr>
      <w:r w:rsidRPr="009925C3">
        <w:rPr>
          <w:rFonts w:ascii="Arial" w:eastAsiaTheme="minorHAnsi" w:hAnsi="Arial" w:cs="Arial"/>
          <w:b/>
          <w:sz w:val="20"/>
          <w:szCs w:val="20"/>
          <w:highlight w:val="white"/>
        </w:rPr>
        <w:t>Recommendation 2</w:t>
      </w:r>
    </w:p>
    <w:p w:rsidR="00C61603" w:rsidRPr="009925C3" w:rsidRDefault="00C61603" w:rsidP="00E672D8">
      <w:pPr>
        <w:autoSpaceDE w:val="0"/>
        <w:autoSpaceDN w:val="0"/>
        <w:adjustRightInd w:val="0"/>
        <w:rPr>
          <w:rFonts w:ascii="Arial" w:eastAsiaTheme="minorHAnsi" w:hAnsi="Arial" w:cs="Arial"/>
          <w:b/>
          <w:sz w:val="20"/>
          <w:szCs w:val="20"/>
          <w:highlight w:val="white"/>
        </w:rPr>
      </w:pPr>
    </w:p>
    <w:p w:rsidR="00C61603" w:rsidRDefault="00C61603" w:rsidP="00E672D8">
      <w:pPr>
        <w:autoSpaceDE w:val="0"/>
        <w:autoSpaceDN w:val="0"/>
        <w:adjustRightInd w:val="0"/>
        <w:rPr>
          <w:rFonts w:ascii="Arial" w:eastAsiaTheme="minorHAnsi" w:hAnsi="Arial" w:cs="Arial"/>
          <w:sz w:val="20"/>
          <w:szCs w:val="20"/>
          <w:highlight w:val="white"/>
        </w:rPr>
      </w:pPr>
      <w:r>
        <w:rPr>
          <w:rFonts w:ascii="Arial" w:eastAsiaTheme="minorHAnsi" w:hAnsi="Arial" w:cs="Arial"/>
          <w:sz w:val="20"/>
          <w:szCs w:val="20"/>
          <w:highlight w:val="white"/>
        </w:rPr>
        <w:t>The ATA recommends the NTC not pursue its second draft recommendation and focus</w:t>
      </w:r>
      <w:r w:rsidR="00BB4C69">
        <w:rPr>
          <w:rFonts w:ascii="Arial" w:eastAsiaTheme="minorHAnsi" w:hAnsi="Arial" w:cs="Arial"/>
          <w:sz w:val="20"/>
          <w:szCs w:val="20"/>
          <w:highlight w:val="white"/>
        </w:rPr>
        <w:t xml:space="preserve"> instead</w:t>
      </w:r>
      <w:r>
        <w:rPr>
          <w:rFonts w:ascii="Arial" w:eastAsiaTheme="minorHAnsi" w:hAnsi="Arial" w:cs="Arial"/>
          <w:sz w:val="20"/>
          <w:szCs w:val="20"/>
          <w:highlight w:val="white"/>
        </w:rPr>
        <w:t xml:space="preserve"> on the core activity of </w:t>
      </w:r>
      <w:r w:rsidR="00BB4C69">
        <w:rPr>
          <w:rFonts w:ascii="Arial" w:eastAsiaTheme="minorHAnsi" w:hAnsi="Arial" w:cs="Arial"/>
          <w:sz w:val="20"/>
          <w:szCs w:val="20"/>
          <w:highlight w:val="white"/>
        </w:rPr>
        <w:t xml:space="preserve">achieving </w:t>
      </w:r>
      <w:r>
        <w:rPr>
          <w:rFonts w:ascii="Arial" w:eastAsiaTheme="minorHAnsi" w:hAnsi="Arial" w:cs="Arial"/>
          <w:sz w:val="20"/>
          <w:szCs w:val="20"/>
          <w:highlight w:val="white"/>
        </w:rPr>
        <w:t xml:space="preserve">national uniformity through an applied law approach to ARR and AVSR. </w:t>
      </w:r>
    </w:p>
    <w:p w:rsidR="00C61603" w:rsidRDefault="00C61603" w:rsidP="00E672D8">
      <w:pPr>
        <w:autoSpaceDE w:val="0"/>
        <w:autoSpaceDN w:val="0"/>
        <w:adjustRightInd w:val="0"/>
        <w:rPr>
          <w:rFonts w:ascii="Arial" w:eastAsiaTheme="minorHAnsi" w:hAnsi="Arial" w:cs="Arial"/>
          <w:sz w:val="20"/>
          <w:szCs w:val="20"/>
          <w:highlight w:val="white"/>
        </w:rPr>
      </w:pPr>
    </w:p>
    <w:p w:rsidR="00C61603" w:rsidRPr="00C61603" w:rsidRDefault="00C61603" w:rsidP="00E672D8">
      <w:pPr>
        <w:autoSpaceDE w:val="0"/>
        <w:autoSpaceDN w:val="0"/>
        <w:adjustRightInd w:val="0"/>
        <w:rPr>
          <w:rFonts w:ascii="Arial" w:eastAsiaTheme="minorHAnsi" w:hAnsi="Arial" w:cs="Arial"/>
          <w:b/>
          <w:sz w:val="20"/>
          <w:szCs w:val="20"/>
          <w:highlight w:val="white"/>
        </w:rPr>
      </w:pPr>
      <w:r>
        <w:rPr>
          <w:rFonts w:ascii="Arial" w:eastAsiaTheme="minorHAnsi" w:hAnsi="Arial" w:cs="Arial"/>
          <w:b/>
          <w:sz w:val="20"/>
          <w:szCs w:val="20"/>
          <w:highlight w:val="white"/>
        </w:rPr>
        <w:t>Recommendation 3</w:t>
      </w:r>
    </w:p>
    <w:p w:rsidR="00C61603" w:rsidRDefault="00C61603" w:rsidP="00E672D8">
      <w:pPr>
        <w:autoSpaceDE w:val="0"/>
        <w:autoSpaceDN w:val="0"/>
        <w:adjustRightInd w:val="0"/>
        <w:rPr>
          <w:rFonts w:ascii="Arial" w:eastAsiaTheme="minorHAnsi" w:hAnsi="Arial" w:cs="Arial"/>
          <w:sz w:val="20"/>
          <w:szCs w:val="20"/>
          <w:highlight w:val="white"/>
        </w:rPr>
      </w:pPr>
    </w:p>
    <w:p w:rsidR="00C61603" w:rsidRDefault="00C61603" w:rsidP="00E672D8">
      <w:pPr>
        <w:autoSpaceDE w:val="0"/>
        <w:autoSpaceDN w:val="0"/>
        <w:adjustRightInd w:val="0"/>
        <w:rPr>
          <w:rFonts w:ascii="Arial" w:eastAsiaTheme="minorHAnsi" w:hAnsi="Arial" w:cs="Arial"/>
          <w:sz w:val="20"/>
          <w:szCs w:val="20"/>
          <w:highlight w:val="white"/>
        </w:rPr>
      </w:pPr>
      <w:r>
        <w:rPr>
          <w:rFonts w:ascii="Arial" w:eastAsiaTheme="minorHAnsi" w:hAnsi="Arial" w:cs="Arial"/>
          <w:sz w:val="20"/>
          <w:szCs w:val="20"/>
          <w:highlight w:val="white"/>
        </w:rPr>
        <w:t xml:space="preserve">The ATA recommends the NTC should publish </w:t>
      </w:r>
      <w:r w:rsidRPr="00C61603">
        <w:rPr>
          <w:rFonts w:ascii="Arial" w:eastAsiaTheme="minorHAnsi" w:hAnsi="Arial" w:cs="Arial"/>
          <w:sz w:val="20"/>
          <w:szCs w:val="20"/>
          <w:highlight w:val="white"/>
        </w:rPr>
        <w:t xml:space="preserve">its </w:t>
      </w:r>
      <w:r w:rsidR="00BB4C69">
        <w:rPr>
          <w:rFonts w:ascii="Arial" w:eastAsiaTheme="minorHAnsi" w:hAnsi="Arial" w:cs="Arial"/>
          <w:sz w:val="20"/>
          <w:szCs w:val="20"/>
          <w:highlight w:val="white"/>
        </w:rPr>
        <w:t>forward</w:t>
      </w:r>
      <w:r w:rsidR="00BB4C69" w:rsidRPr="00C61603">
        <w:rPr>
          <w:rFonts w:ascii="Arial" w:eastAsiaTheme="minorHAnsi" w:hAnsi="Arial" w:cs="Arial"/>
          <w:sz w:val="20"/>
          <w:szCs w:val="20"/>
          <w:highlight w:val="white"/>
        </w:rPr>
        <w:t xml:space="preserve"> </w:t>
      </w:r>
      <w:r w:rsidRPr="00C61603">
        <w:rPr>
          <w:rFonts w:ascii="Arial" w:eastAsiaTheme="minorHAnsi" w:hAnsi="Arial" w:cs="Arial"/>
          <w:sz w:val="20"/>
          <w:szCs w:val="20"/>
          <w:highlight w:val="white"/>
        </w:rPr>
        <w:t>maintenance work program</w:t>
      </w:r>
      <w:r>
        <w:rPr>
          <w:rFonts w:ascii="Arial" w:eastAsiaTheme="minorHAnsi" w:hAnsi="Arial" w:cs="Arial"/>
          <w:sz w:val="20"/>
          <w:szCs w:val="20"/>
          <w:highlight w:val="white"/>
        </w:rPr>
        <w:t xml:space="preserve"> in its annual report</w:t>
      </w:r>
      <w:r w:rsidRPr="00C61603">
        <w:rPr>
          <w:rFonts w:ascii="Arial" w:eastAsiaTheme="minorHAnsi" w:hAnsi="Arial" w:cs="Arial"/>
          <w:sz w:val="20"/>
          <w:szCs w:val="20"/>
          <w:highlight w:val="white"/>
        </w:rPr>
        <w:t xml:space="preserve"> and improve stakeholder consultation in the area of road rules.</w:t>
      </w:r>
    </w:p>
    <w:p w:rsidR="00C61603" w:rsidRDefault="00C61603" w:rsidP="00E672D8">
      <w:pPr>
        <w:autoSpaceDE w:val="0"/>
        <w:autoSpaceDN w:val="0"/>
        <w:adjustRightInd w:val="0"/>
        <w:rPr>
          <w:rFonts w:ascii="Arial" w:eastAsiaTheme="minorHAnsi" w:hAnsi="Arial" w:cs="Arial"/>
          <w:sz w:val="20"/>
          <w:szCs w:val="20"/>
          <w:highlight w:val="white"/>
        </w:rPr>
      </w:pPr>
    </w:p>
    <w:p w:rsidR="00C61603" w:rsidRPr="00005632" w:rsidRDefault="00C61603" w:rsidP="00E672D8">
      <w:pPr>
        <w:autoSpaceDE w:val="0"/>
        <w:autoSpaceDN w:val="0"/>
        <w:adjustRightInd w:val="0"/>
        <w:rPr>
          <w:rFonts w:ascii="Arial" w:eastAsiaTheme="minorHAnsi" w:hAnsi="Arial" w:cs="Arial"/>
          <w:b/>
          <w:sz w:val="20"/>
          <w:szCs w:val="20"/>
          <w:highlight w:val="white"/>
        </w:rPr>
      </w:pPr>
      <w:r>
        <w:rPr>
          <w:rFonts w:ascii="Arial" w:eastAsiaTheme="minorHAnsi" w:hAnsi="Arial" w:cs="Arial"/>
          <w:b/>
          <w:sz w:val="20"/>
          <w:szCs w:val="20"/>
          <w:highlight w:val="white"/>
        </w:rPr>
        <w:t>Recommendation 4</w:t>
      </w:r>
    </w:p>
    <w:p w:rsidR="00C61603" w:rsidRDefault="00C61603" w:rsidP="00E672D8">
      <w:pPr>
        <w:autoSpaceDE w:val="0"/>
        <w:autoSpaceDN w:val="0"/>
        <w:adjustRightInd w:val="0"/>
        <w:rPr>
          <w:rFonts w:ascii="Arial" w:eastAsiaTheme="minorHAnsi" w:hAnsi="Arial" w:cs="Arial"/>
          <w:sz w:val="20"/>
          <w:szCs w:val="20"/>
          <w:highlight w:val="white"/>
        </w:rPr>
      </w:pPr>
    </w:p>
    <w:p w:rsidR="00C61603" w:rsidRDefault="00C61603" w:rsidP="00E672D8">
      <w:pPr>
        <w:autoSpaceDE w:val="0"/>
        <w:autoSpaceDN w:val="0"/>
        <w:adjustRightInd w:val="0"/>
        <w:rPr>
          <w:rFonts w:ascii="Arial" w:eastAsiaTheme="minorHAnsi" w:hAnsi="Arial" w:cs="Arial"/>
          <w:sz w:val="20"/>
          <w:szCs w:val="20"/>
          <w:highlight w:val="white"/>
        </w:rPr>
      </w:pPr>
      <w:r>
        <w:rPr>
          <w:rFonts w:ascii="Arial" w:eastAsiaTheme="minorHAnsi" w:hAnsi="Arial" w:cs="Arial"/>
          <w:sz w:val="20"/>
          <w:szCs w:val="20"/>
          <w:highlight w:val="white"/>
        </w:rPr>
        <w:t xml:space="preserve">The NTC should use the national heavy vehicle regulator model as a mechanism </w:t>
      </w:r>
      <w:r w:rsidR="00BB4C69">
        <w:rPr>
          <w:rFonts w:ascii="Arial" w:eastAsiaTheme="minorHAnsi" w:hAnsi="Arial" w:cs="Arial"/>
          <w:sz w:val="20"/>
          <w:szCs w:val="20"/>
          <w:highlight w:val="white"/>
        </w:rPr>
        <w:t xml:space="preserve">for </w:t>
      </w:r>
      <w:r>
        <w:rPr>
          <w:rFonts w:ascii="Arial" w:eastAsiaTheme="minorHAnsi" w:hAnsi="Arial" w:cs="Arial"/>
          <w:sz w:val="20"/>
          <w:szCs w:val="20"/>
          <w:highlight w:val="white"/>
        </w:rPr>
        <w:t xml:space="preserve">transitioning to model law to an applied law approach for ARR and AVSR. </w:t>
      </w:r>
    </w:p>
    <w:p w:rsidR="00585DB0" w:rsidRDefault="00585DB0" w:rsidP="00E672D8">
      <w:pPr>
        <w:pStyle w:val="BodyText2"/>
        <w:spacing w:line="269" w:lineRule="auto"/>
        <w:rPr>
          <w:b w:val="0"/>
          <w:sz w:val="20"/>
        </w:rPr>
      </w:pPr>
    </w:p>
    <w:p w:rsidR="005672FD" w:rsidRDefault="005672FD" w:rsidP="00E672D8">
      <w:pPr>
        <w:pStyle w:val="BodyText2"/>
        <w:spacing w:line="269" w:lineRule="auto"/>
        <w:rPr>
          <w:b w:val="0"/>
          <w:sz w:val="20"/>
        </w:rPr>
      </w:pPr>
      <w:r>
        <w:rPr>
          <w:b w:val="0"/>
          <w:sz w:val="20"/>
        </w:rPr>
        <w:br/>
      </w:r>
    </w:p>
    <w:p w:rsidR="00585DB0" w:rsidRPr="005672FD" w:rsidRDefault="005672FD" w:rsidP="00E672D8">
      <w:pPr>
        <w:spacing w:after="200" w:line="276" w:lineRule="auto"/>
        <w:rPr>
          <w:rFonts w:ascii="Arial" w:eastAsia="Times New Roman" w:hAnsi="Arial" w:cs="Arial"/>
          <w:bCs/>
          <w:sz w:val="20"/>
          <w:szCs w:val="20"/>
        </w:rPr>
      </w:pPr>
      <w:r>
        <w:rPr>
          <w:b/>
          <w:sz w:val="20"/>
        </w:rPr>
        <w:br w:type="page"/>
      </w:r>
    </w:p>
    <w:p w:rsidR="00585DB0" w:rsidRPr="00585DB0" w:rsidRDefault="00585DB0" w:rsidP="00E672D8">
      <w:pPr>
        <w:pStyle w:val="Heading1"/>
      </w:pPr>
      <w:bookmarkStart w:id="3" w:name="_Toc363718936"/>
      <w:r w:rsidRPr="00585DB0">
        <w:lastRenderedPageBreak/>
        <w:t>Specific issues</w:t>
      </w:r>
      <w:bookmarkEnd w:id="3"/>
    </w:p>
    <w:p w:rsidR="00585DB0" w:rsidRDefault="00585DB0" w:rsidP="00E672D8">
      <w:pPr>
        <w:pStyle w:val="BodyText2"/>
        <w:spacing w:line="269" w:lineRule="auto"/>
        <w:rPr>
          <w:b w:val="0"/>
          <w:sz w:val="20"/>
          <w:u w:val="single"/>
        </w:rPr>
      </w:pPr>
    </w:p>
    <w:p w:rsidR="00432316" w:rsidRPr="00585DB0" w:rsidRDefault="00585DB0" w:rsidP="00E672D8">
      <w:pPr>
        <w:pStyle w:val="Heading1"/>
        <w:numPr>
          <w:ilvl w:val="1"/>
          <w:numId w:val="6"/>
        </w:numPr>
      </w:pPr>
      <w:bookmarkStart w:id="4" w:name="_Toc363718937"/>
      <w:r w:rsidRPr="00585DB0">
        <w:t>National uniformity</w:t>
      </w:r>
      <w:bookmarkEnd w:id="4"/>
    </w:p>
    <w:p w:rsidR="00AB3E5F" w:rsidRDefault="00AB3E5F" w:rsidP="00E672D8">
      <w:pPr>
        <w:pStyle w:val="BodyText2"/>
        <w:spacing w:line="269" w:lineRule="auto"/>
        <w:rPr>
          <w:b w:val="0"/>
          <w:sz w:val="20"/>
        </w:rPr>
      </w:pPr>
    </w:p>
    <w:p w:rsidR="00AB3E5F" w:rsidRDefault="00AB3E5F" w:rsidP="00E672D8">
      <w:pPr>
        <w:pStyle w:val="BodyText2"/>
        <w:spacing w:line="269" w:lineRule="auto"/>
        <w:rPr>
          <w:b w:val="0"/>
          <w:sz w:val="20"/>
        </w:rPr>
      </w:pPr>
      <w:r>
        <w:rPr>
          <w:b w:val="0"/>
          <w:sz w:val="20"/>
        </w:rPr>
        <w:t>The NTC summarises that there is a desire for a ‘better joined-up government process’, and it is positive to see that this recommendation has</w:t>
      </w:r>
      <w:r w:rsidR="00BB4C69">
        <w:rPr>
          <w:b w:val="0"/>
          <w:sz w:val="20"/>
        </w:rPr>
        <w:t xml:space="preserve"> also</w:t>
      </w:r>
      <w:r>
        <w:rPr>
          <w:b w:val="0"/>
          <w:sz w:val="20"/>
        </w:rPr>
        <w:t xml:space="preserve"> been the view of many states and territories. There is clearly a need for better co-ordination of policy issues that </w:t>
      </w:r>
      <w:r w:rsidR="00BB4C69">
        <w:rPr>
          <w:b w:val="0"/>
          <w:sz w:val="20"/>
        </w:rPr>
        <w:t>affect</w:t>
      </w:r>
      <w:r>
        <w:rPr>
          <w:b w:val="0"/>
          <w:sz w:val="20"/>
        </w:rPr>
        <w:t xml:space="preserve"> multiple levels of government</w:t>
      </w:r>
      <w:r w:rsidR="00806EDF">
        <w:rPr>
          <w:b w:val="0"/>
          <w:sz w:val="20"/>
        </w:rPr>
        <w:t>, specifically on matters affect</w:t>
      </w:r>
      <w:r w:rsidR="00BB4C69">
        <w:rPr>
          <w:b w:val="0"/>
          <w:sz w:val="20"/>
        </w:rPr>
        <w:t>ing</w:t>
      </w:r>
      <w:r w:rsidR="00806EDF">
        <w:rPr>
          <w:b w:val="0"/>
          <w:sz w:val="20"/>
        </w:rPr>
        <w:t xml:space="preserve"> road safety</w:t>
      </w:r>
      <w:r>
        <w:rPr>
          <w:b w:val="0"/>
          <w:sz w:val="20"/>
        </w:rPr>
        <w:t xml:space="preserve">. </w:t>
      </w:r>
    </w:p>
    <w:p w:rsidR="00AB3E5F" w:rsidRDefault="00AB3E5F" w:rsidP="00E672D8">
      <w:pPr>
        <w:pStyle w:val="BodyText2"/>
        <w:spacing w:line="269" w:lineRule="auto"/>
        <w:rPr>
          <w:b w:val="0"/>
          <w:sz w:val="20"/>
        </w:rPr>
      </w:pPr>
    </w:p>
    <w:p w:rsidR="00AB3E5F" w:rsidRDefault="00AB3E5F" w:rsidP="00E672D8">
      <w:pPr>
        <w:pStyle w:val="BodyText2"/>
        <w:spacing w:line="269" w:lineRule="auto"/>
        <w:rPr>
          <w:b w:val="0"/>
          <w:sz w:val="20"/>
        </w:rPr>
      </w:pPr>
      <w:r>
        <w:rPr>
          <w:b w:val="0"/>
          <w:sz w:val="20"/>
        </w:rPr>
        <w:t xml:space="preserve">In order for better communication to come to fruition a high level reference group could be established to co-ordinate broader policy </w:t>
      </w:r>
      <w:r w:rsidR="002D19CB">
        <w:rPr>
          <w:b w:val="0"/>
          <w:sz w:val="20"/>
        </w:rPr>
        <w:t xml:space="preserve">and </w:t>
      </w:r>
      <w:r>
        <w:rPr>
          <w:b w:val="0"/>
          <w:sz w:val="20"/>
        </w:rPr>
        <w:t xml:space="preserve">obtain expert input for policy development before issues are provided to the NTC for rule changes. The NTC believe the Transport Infrastructure Senior Official Committee (TISOC) is the best placed body to address this issue. </w:t>
      </w:r>
    </w:p>
    <w:p w:rsidR="00AB3E5F" w:rsidRDefault="00AB3E5F" w:rsidP="00E672D8">
      <w:pPr>
        <w:pStyle w:val="BodyText2"/>
        <w:spacing w:line="269" w:lineRule="auto"/>
        <w:rPr>
          <w:b w:val="0"/>
          <w:sz w:val="20"/>
        </w:rPr>
      </w:pPr>
    </w:p>
    <w:p w:rsidR="003A0BE8" w:rsidRDefault="00AB3E5F" w:rsidP="00E672D8">
      <w:pPr>
        <w:pStyle w:val="BodyText2"/>
        <w:spacing w:line="269" w:lineRule="auto"/>
        <w:rPr>
          <w:b w:val="0"/>
          <w:sz w:val="20"/>
        </w:rPr>
      </w:pPr>
      <w:r>
        <w:rPr>
          <w:b w:val="0"/>
          <w:sz w:val="20"/>
        </w:rPr>
        <w:t>The ATA endorses draft recommendation 1</w:t>
      </w:r>
      <w:r w:rsidR="002D19CB">
        <w:rPr>
          <w:b w:val="0"/>
          <w:sz w:val="20"/>
        </w:rPr>
        <w:t xml:space="preserve"> -</w:t>
      </w:r>
      <w:r>
        <w:rPr>
          <w:b w:val="0"/>
          <w:sz w:val="20"/>
        </w:rPr>
        <w:t xml:space="preserve"> ‘the TISOC consider and implement processes and procedure designed to achieve more coordinated ‘whole of government decisions for transport’.  </w:t>
      </w:r>
    </w:p>
    <w:p w:rsidR="00585DB0" w:rsidRPr="00585DB0" w:rsidRDefault="00585DB0" w:rsidP="00E672D8">
      <w:pPr>
        <w:pStyle w:val="BodyText2"/>
        <w:spacing w:line="269" w:lineRule="auto"/>
        <w:rPr>
          <w:b w:val="0"/>
          <w:sz w:val="20"/>
        </w:rPr>
      </w:pPr>
    </w:p>
    <w:p w:rsidR="0014291C" w:rsidRPr="00585DB0" w:rsidRDefault="00585DB0" w:rsidP="00E672D8">
      <w:pPr>
        <w:pStyle w:val="Heading1"/>
        <w:numPr>
          <w:ilvl w:val="1"/>
          <w:numId w:val="6"/>
        </w:numPr>
      </w:pPr>
      <w:bookmarkStart w:id="5" w:name="_Toc363718938"/>
      <w:r w:rsidRPr="00585DB0">
        <w:t>The inclusion of national transport policy objectives and principles in the Rules</w:t>
      </w:r>
      <w:bookmarkEnd w:id="5"/>
    </w:p>
    <w:p w:rsidR="0014291C" w:rsidRDefault="0014291C" w:rsidP="00E672D8">
      <w:pPr>
        <w:pStyle w:val="BodyText2"/>
        <w:spacing w:line="269" w:lineRule="auto"/>
        <w:rPr>
          <w:b w:val="0"/>
          <w:sz w:val="20"/>
        </w:rPr>
      </w:pPr>
    </w:p>
    <w:p w:rsidR="00585DB0" w:rsidRDefault="00585DB0" w:rsidP="00E672D8">
      <w:pPr>
        <w:pStyle w:val="BodyText2"/>
        <w:spacing w:line="269" w:lineRule="auto"/>
        <w:rPr>
          <w:b w:val="0"/>
          <w:sz w:val="20"/>
        </w:rPr>
      </w:pPr>
      <w:r>
        <w:rPr>
          <w:b w:val="0"/>
          <w:sz w:val="20"/>
        </w:rPr>
        <w:t xml:space="preserve">The NTC </w:t>
      </w:r>
      <w:r w:rsidR="002D19CB">
        <w:rPr>
          <w:b w:val="0"/>
          <w:sz w:val="20"/>
        </w:rPr>
        <w:t xml:space="preserve">has </w:t>
      </w:r>
      <w:r>
        <w:rPr>
          <w:b w:val="0"/>
          <w:sz w:val="20"/>
        </w:rPr>
        <w:t xml:space="preserve">recommended that the </w:t>
      </w:r>
      <w:r w:rsidR="00BC4F34">
        <w:rPr>
          <w:b w:val="0"/>
          <w:sz w:val="20"/>
        </w:rPr>
        <w:t>ARR</w:t>
      </w:r>
      <w:r>
        <w:rPr>
          <w:b w:val="0"/>
          <w:sz w:val="20"/>
        </w:rPr>
        <w:t xml:space="preserve"> and </w:t>
      </w:r>
      <w:r w:rsidR="00BC4F34">
        <w:rPr>
          <w:b w:val="0"/>
          <w:sz w:val="20"/>
        </w:rPr>
        <w:t>AVSR</w:t>
      </w:r>
      <w:r>
        <w:rPr>
          <w:b w:val="0"/>
          <w:sz w:val="20"/>
        </w:rPr>
        <w:t xml:space="preserve"> take account of the former A</w:t>
      </w:r>
      <w:r w:rsidR="003A0BE8">
        <w:rPr>
          <w:b w:val="0"/>
          <w:sz w:val="20"/>
        </w:rPr>
        <w:t xml:space="preserve">ustralian </w:t>
      </w:r>
      <w:r>
        <w:rPr>
          <w:b w:val="0"/>
          <w:sz w:val="20"/>
        </w:rPr>
        <w:t>T</w:t>
      </w:r>
      <w:r w:rsidR="003A0BE8">
        <w:rPr>
          <w:b w:val="0"/>
          <w:sz w:val="20"/>
        </w:rPr>
        <w:t xml:space="preserve">ransport </w:t>
      </w:r>
      <w:r>
        <w:rPr>
          <w:b w:val="0"/>
          <w:sz w:val="20"/>
        </w:rPr>
        <w:t>C</w:t>
      </w:r>
      <w:r w:rsidR="003A0BE8">
        <w:rPr>
          <w:b w:val="0"/>
          <w:sz w:val="20"/>
        </w:rPr>
        <w:t>ouncil (ATC)</w:t>
      </w:r>
      <w:r>
        <w:rPr>
          <w:b w:val="0"/>
          <w:sz w:val="20"/>
        </w:rPr>
        <w:t xml:space="preserve"> national transport </w:t>
      </w:r>
      <w:r w:rsidR="002D19CB">
        <w:rPr>
          <w:b w:val="0"/>
          <w:sz w:val="20"/>
        </w:rPr>
        <w:t xml:space="preserve">policy </w:t>
      </w:r>
      <w:r>
        <w:rPr>
          <w:b w:val="0"/>
          <w:sz w:val="20"/>
        </w:rPr>
        <w:t xml:space="preserve">visions, objectives and principles. </w:t>
      </w:r>
    </w:p>
    <w:p w:rsidR="00585DB0" w:rsidRDefault="00585DB0" w:rsidP="00E672D8">
      <w:pPr>
        <w:pStyle w:val="BodyText2"/>
        <w:spacing w:line="269" w:lineRule="auto"/>
        <w:rPr>
          <w:b w:val="0"/>
          <w:sz w:val="20"/>
        </w:rPr>
      </w:pPr>
    </w:p>
    <w:p w:rsidR="00585DB0" w:rsidRDefault="00585DB0" w:rsidP="00E672D8">
      <w:pPr>
        <w:pStyle w:val="BodyText2"/>
        <w:spacing w:line="269" w:lineRule="auto"/>
        <w:rPr>
          <w:b w:val="0"/>
          <w:sz w:val="20"/>
        </w:rPr>
      </w:pPr>
      <w:r>
        <w:rPr>
          <w:b w:val="0"/>
          <w:sz w:val="20"/>
        </w:rPr>
        <w:t xml:space="preserve">The NTC has </w:t>
      </w:r>
      <w:r w:rsidR="002D19CB">
        <w:rPr>
          <w:b w:val="0"/>
          <w:sz w:val="20"/>
        </w:rPr>
        <w:t xml:space="preserve">also </w:t>
      </w:r>
      <w:r>
        <w:rPr>
          <w:b w:val="0"/>
          <w:sz w:val="20"/>
        </w:rPr>
        <w:t xml:space="preserve">been criticised in the past for not sticking to its knitting and diverting </w:t>
      </w:r>
      <w:r w:rsidR="002D19CB">
        <w:rPr>
          <w:b w:val="0"/>
          <w:sz w:val="20"/>
        </w:rPr>
        <w:t xml:space="preserve">its resources away </w:t>
      </w:r>
      <w:r>
        <w:rPr>
          <w:b w:val="0"/>
          <w:sz w:val="20"/>
        </w:rPr>
        <w:t xml:space="preserve">from achieving core transport objectives. </w:t>
      </w:r>
      <w:r w:rsidR="002D19CB">
        <w:rPr>
          <w:b w:val="0"/>
          <w:sz w:val="20"/>
        </w:rPr>
        <w:t xml:space="preserve">NTC’s </w:t>
      </w:r>
      <w:r w:rsidR="002D19CB" w:rsidRPr="002D19CB">
        <w:rPr>
          <w:b w:val="0"/>
          <w:sz w:val="20"/>
        </w:rPr>
        <w:t xml:space="preserve">second draft </w:t>
      </w:r>
      <w:r w:rsidR="002D19CB">
        <w:rPr>
          <w:b w:val="0"/>
          <w:sz w:val="20"/>
        </w:rPr>
        <w:t>recommendation</w:t>
      </w:r>
      <w:r>
        <w:rPr>
          <w:b w:val="0"/>
          <w:sz w:val="20"/>
        </w:rPr>
        <w:t xml:space="preserve"> is unnecessary and community expectations f</w:t>
      </w:r>
      <w:r w:rsidR="003A0BE8">
        <w:rPr>
          <w:b w:val="0"/>
          <w:sz w:val="20"/>
        </w:rPr>
        <w:t xml:space="preserve">or </w:t>
      </w:r>
      <w:r>
        <w:rPr>
          <w:b w:val="0"/>
          <w:sz w:val="20"/>
        </w:rPr>
        <w:t>transport should have been classed as an out-of-scope topic</w:t>
      </w:r>
      <w:r w:rsidR="002D19CB">
        <w:rPr>
          <w:b w:val="0"/>
          <w:sz w:val="20"/>
        </w:rPr>
        <w:t xml:space="preserve"> and </w:t>
      </w:r>
      <w:r>
        <w:rPr>
          <w:b w:val="0"/>
          <w:sz w:val="20"/>
        </w:rPr>
        <w:t xml:space="preserve">left to </w:t>
      </w:r>
      <w:r w:rsidR="002D19CB">
        <w:rPr>
          <w:b w:val="0"/>
          <w:sz w:val="20"/>
        </w:rPr>
        <w:t xml:space="preserve">responsible </w:t>
      </w:r>
      <w:r>
        <w:rPr>
          <w:b w:val="0"/>
          <w:sz w:val="20"/>
        </w:rPr>
        <w:t>entities with the resources to address social issues</w:t>
      </w:r>
      <w:r w:rsidR="002D19CB" w:rsidRPr="002D19CB">
        <w:rPr>
          <w:b w:val="0"/>
          <w:sz w:val="20"/>
        </w:rPr>
        <w:t xml:space="preserve"> </w:t>
      </w:r>
      <w:r w:rsidR="002D19CB">
        <w:rPr>
          <w:b w:val="0"/>
          <w:sz w:val="20"/>
        </w:rPr>
        <w:t>properly</w:t>
      </w:r>
      <w:r>
        <w:rPr>
          <w:b w:val="0"/>
          <w:sz w:val="20"/>
        </w:rPr>
        <w:t>.</w:t>
      </w:r>
    </w:p>
    <w:p w:rsidR="00585DB0" w:rsidRDefault="00585DB0" w:rsidP="00E672D8">
      <w:pPr>
        <w:pStyle w:val="BodyText2"/>
        <w:spacing w:line="269" w:lineRule="auto"/>
        <w:rPr>
          <w:b w:val="0"/>
          <w:sz w:val="20"/>
        </w:rPr>
      </w:pPr>
    </w:p>
    <w:p w:rsidR="00585DB0" w:rsidRDefault="00585DB0" w:rsidP="00E672D8">
      <w:pPr>
        <w:pStyle w:val="BodyText2"/>
        <w:spacing w:line="269" w:lineRule="auto"/>
        <w:rPr>
          <w:b w:val="0"/>
          <w:sz w:val="20"/>
        </w:rPr>
      </w:pPr>
      <w:r>
        <w:rPr>
          <w:b w:val="0"/>
          <w:sz w:val="20"/>
        </w:rPr>
        <w:t xml:space="preserve">The fact remains Australia does not have a uniform application of </w:t>
      </w:r>
      <w:r w:rsidR="00BC4F34">
        <w:rPr>
          <w:b w:val="0"/>
          <w:sz w:val="20"/>
        </w:rPr>
        <w:t>ARR</w:t>
      </w:r>
      <w:r>
        <w:rPr>
          <w:b w:val="0"/>
          <w:sz w:val="20"/>
        </w:rPr>
        <w:t xml:space="preserve"> and </w:t>
      </w:r>
      <w:r w:rsidR="00BC4F34">
        <w:rPr>
          <w:b w:val="0"/>
          <w:sz w:val="20"/>
        </w:rPr>
        <w:t>AVSR</w:t>
      </w:r>
      <w:r w:rsidR="003A0BE8">
        <w:rPr>
          <w:b w:val="0"/>
          <w:sz w:val="20"/>
        </w:rPr>
        <w:t>. M</w:t>
      </w:r>
      <w:r>
        <w:rPr>
          <w:b w:val="0"/>
          <w:sz w:val="20"/>
        </w:rPr>
        <w:t>aybe when national uniformity for road users</w:t>
      </w:r>
      <w:r w:rsidR="009B2006">
        <w:rPr>
          <w:b w:val="0"/>
          <w:sz w:val="20"/>
        </w:rPr>
        <w:t xml:space="preserve"> has been achieved through ARR and AVSR,</w:t>
      </w:r>
      <w:r>
        <w:rPr>
          <w:b w:val="0"/>
          <w:sz w:val="20"/>
        </w:rPr>
        <w:t xml:space="preserve"> then an e</w:t>
      </w:r>
      <w:r w:rsidR="009B2006">
        <w:rPr>
          <w:b w:val="0"/>
          <w:sz w:val="20"/>
        </w:rPr>
        <w:t>ntity</w:t>
      </w:r>
      <w:r w:rsidR="002D19CB">
        <w:rPr>
          <w:b w:val="0"/>
          <w:sz w:val="20"/>
        </w:rPr>
        <w:t xml:space="preserve"> (</w:t>
      </w:r>
      <w:r w:rsidR="009B2006">
        <w:rPr>
          <w:b w:val="0"/>
          <w:sz w:val="20"/>
        </w:rPr>
        <w:t>not the NTC</w:t>
      </w:r>
      <w:r w:rsidR="002D19CB">
        <w:rPr>
          <w:b w:val="0"/>
          <w:sz w:val="20"/>
        </w:rPr>
        <w:t xml:space="preserve">) </w:t>
      </w:r>
      <w:r w:rsidR="009B2006">
        <w:rPr>
          <w:b w:val="0"/>
          <w:sz w:val="20"/>
        </w:rPr>
        <w:t xml:space="preserve">can examine </w:t>
      </w:r>
      <w:r>
        <w:rPr>
          <w:b w:val="0"/>
          <w:sz w:val="20"/>
        </w:rPr>
        <w:t>socia</w:t>
      </w:r>
      <w:r w:rsidR="003A0BE8">
        <w:rPr>
          <w:b w:val="0"/>
          <w:sz w:val="20"/>
        </w:rPr>
        <w:t xml:space="preserve">l outcomes in the </w:t>
      </w:r>
      <w:r w:rsidR="00BC4F34">
        <w:rPr>
          <w:b w:val="0"/>
          <w:sz w:val="20"/>
        </w:rPr>
        <w:t>ARR</w:t>
      </w:r>
      <w:r w:rsidR="003A0BE8">
        <w:rPr>
          <w:b w:val="0"/>
          <w:sz w:val="20"/>
        </w:rPr>
        <w:t xml:space="preserve"> and </w:t>
      </w:r>
      <w:r w:rsidR="00BC4F34">
        <w:rPr>
          <w:b w:val="0"/>
          <w:sz w:val="20"/>
        </w:rPr>
        <w:t>AVSR</w:t>
      </w:r>
      <w:r w:rsidR="009B2006">
        <w:rPr>
          <w:b w:val="0"/>
          <w:sz w:val="20"/>
        </w:rPr>
        <w:t>;</w:t>
      </w:r>
      <w:r>
        <w:rPr>
          <w:b w:val="0"/>
          <w:sz w:val="20"/>
        </w:rPr>
        <w:t xml:space="preserve"> if it is seen as a benefit for all road users. </w:t>
      </w:r>
    </w:p>
    <w:p w:rsidR="0014291C" w:rsidRDefault="0014291C" w:rsidP="00E672D8">
      <w:pPr>
        <w:pStyle w:val="BodyText2"/>
        <w:spacing w:line="269" w:lineRule="auto"/>
        <w:rPr>
          <w:b w:val="0"/>
          <w:sz w:val="20"/>
        </w:rPr>
      </w:pPr>
    </w:p>
    <w:p w:rsidR="0014291C" w:rsidRPr="00585DB0" w:rsidRDefault="00585DB0" w:rsidP="00E672D8">
      <w:pPr>
        <w:pStyle w:val="Heading1"/>
        <w:numPr>
          <w:ilvl w:val="1"/>
          <w:numId w:val="6"/>
        </w:numPr>
      </w:pPr>
      <w:bookmarkStart w:id="6" w:name="_Toc363718939"/>
      <w:r w:rsidRPr="00585DB0">
        <w:t xml:space="preserve">Have objectives of the </w:t>
      </w:r>
      <w:r w:rsidR="00BC4F34">
        <w:t>ARR</w:t>
      </w:r>
      <w:r w:rsidRPr="00585DB0">
        <w:t xml:space="preserve"> and </w:t>
      </w:r>
      <w:r w:rsidR="00BC4F34">
        <w:t>AVSR</w:t>
      </w:r>
      <w:r w:rsidRPr="00585DB0">
        <w:t xml:space="preserve"> been met?</w:t>
      </w:r>
      <w:bookmarkEnd w:id="6"/>
      <w:r w:rsidRPr="00585DB0">
        <w:t xml:space="preserve"> </w:t>
      </w:r>
    </w:p>
    <w:p w:rsidR="006E4DCD" w:rsidRDefault="006E4DCD" w:rsidP="00E672D8">
      <w:pPr>
        <w:pStyle w:val="BodyText2"/>
        <w:spacing w:line="269" w:lineRule="auto"/>
        <w:rPr>
          <w:b w:val="0"/>
          <w:sz w:val="20"/>
        </w:rPr>
      </w:pPr>
    </w:p>
    <w:p w:rsidR="006E4DCD" w:rsidRDefault="006E4DCD" w:rsidP="00E672D8">
      <w:pPr>
        <w:pStyle w:val="BodyText2"/>
        <w:spacing w:line="269" w:lineRule="auto"/>
        <w:rPr>
          <w:b w:val="0"/>
          <w:sz w:val="20"/>
        </w:rPr>
      </w:pPr>
      <w:r>
        <w:rPr>
          <w:b w:val="0"/>
          <w:sz w:val="20"/>
        </w:rPr>
        <w:t>Evidence presented by the NTC indicates that whi</w:t>
      </w:r>
      <w:r w:rsidR="003A0BE8">
        <w:rPr>
          <w:b w:val="0"/>
          <w:sz w:val="20"/>
        </w:rPr>
        <w:t xml:space="preserve">le the reasoning behind the </w:t>
      </w:r>
      <w:r w:rsidR="00BC4F34">
        <w:rPr>
          <w:b w:val="0"/>
          <w:sz w:val="20"/>
        </w:rPr>
        <w:t>ARR</w:t>
      </w:r>
      <w:r>
        <w:rPr>
          <w:b w:val="0"/>
          <w:sz w:val="20"/>
        </w:rPr>
        <w:t xml:space="preserve"> is sound and straightforward the </w:t>
      </w:r>
      <w:r w:rsidR="009F1BD1">
        <w:rPr>
          <w:b w:val="0"/>
          <w:sz w:val="20"/>
        </w:rPr>
        <w:t xml:space="preserve">application of the original applied law has not been uniform </w:t>
      </w:r>
      <w:r w:rsidR="00585DB0">
        <w:rPr>
          <w:b w:val="0"/>
          <w:sz w:val="20"/>
        </w:rPr>
        <w:t xml:space="preserve">in </w:t>
      </w:r>
      <w:r w:rsidR="009F1BD1">
        <w:rPr>
          <w:b w:val="0"/>
          <w:sz w:val="20"/>
        </w:rPr>
        <w:t xml:space="preserve">coverage. </w:t>
      </w:r>
    </w:p>
    <w:p w:rsidR="009F1BD1" w:rsidRDefault="009F1BD1" w:rsidP="00E672D8">
      <w:pPr>
        <w:pStyle w:val="BodyText2"/>
        <w:spacing w:line="269" w:lineRule="auto"/>
        <w:rPr>
          <w:b w:val="0"/>
          <w:sz w:val="20"/>
        </w:rPr>
      </w:pPr>
    </w:p>
    <w:p w:rsidR="009F1BD1" w:rsidRDefault="009F1BD1" w:rsidP="00E672D8">
      <w:pPr>
        <w:pStyle w:val="BodyText2"/>
        <w:spacing w:line="269" w:lineRule="auto"/>
        <w:rPr>
          <w:b w:val="0"/>
          <w:sz w:val="20"/>
        </w:rPr>
      </w:pPr>
      <w:r>
        <w:rPr>
          <w:b w:val="0"/>
          <w:sz w:val="20"/>
        </w:rPr>
        <w:t>The legal audit</w:t>
      </w:r>
      <w:r w:rsidR="009B2006">
        <w:rPr>
          <w:b w:val="0"/>
          <w:sz w:val="20"/>
        </w:rPr>
        <w:t>,</w:t>
      </w:r>
      <w:r>
        <w:rPr>
          <w:b w:val="0"/>
          <w:sz w:val="20"/>
        </w:rPr>
        <w:t xml:space="preserve"> which examined the significance of rule variations across states and </w:t>
      </w:r>
      <w:proofErr w:type="gramStart"/>
      <w:r>
        <w:rPr>
          <w:b w:val="0"/>
          <w:sz w:val="20"/>
        </w:rPr>
        <w:t>territories</w:t>
      </w:r>
      <w:proofErr w:type="gramEnd"/>
      <w:r>
        <w:rPr>
          <w:b w:val="0"/>
          <w:sz w:val="20"/>
        </w:rPr>
        <w:t xml:space="preserve"> found that </w:t>
      </w:r>
      <w:r w:rsidR="002D19CB">
        <w:rPr>
          <w:b w:val="0"/>
          <w:sz w:val="20"/>
        </w:rPr>
        <w:t>‘</w:t>
      </w:r>
      <w:r>
        <w:rPr>
          <w:b w:val="0"/>
          <w:sz w:val="20"/>
        </w:rPr>
        <w:t xml:space="preserve">state specific road rules varied by 3.6% from the national rules. Of the 100 variations across Australia, </w:t>
      </w:r>
      <w:r w:rsidR="00585DB0">
        <w:rPr>
          <w:b w:val="0"/>
          <w:sz w:val="20"/>
        </w:rPr>
        <w:t>Western</w:t>
      </w:r>
      <w:r>
        <w:rPr>
          <w:b w:val="0"/>
          <w:sz w:val="20"/>
        </w:rPr>
        <w:t xml:space="preserve"> Australia accounted for 87’</w:t>
      </w:r>
      <w:r w:rsidR="00585DB0" w:rsidRPr="00E672D8">
        <w:rPr>
          <w:vertAlign w:val="superscript"/>
        </w:rPr>
        <w:footnoteReference w:id="1"/>
      </w:r>
      <w:r>
        <w:rPr>
          <w:b w:val="0"/>
          <w:sz w:val="20"/>
        </w:rPr>
        <w:t xml:space="preserve">. </w:t>
      </w:r>
      <w:r w:rsidR="003A0BE8">
        <w:rPr>
          <w:b w:val="0"/>
          <w:sz w:val="20"/>
        </w:rPr>
        <w:t xml:space="preserve">This indicates that the model law approach to </w:t>
      </w:r>
      <w:r w:rsidR="00BC4F34">
        <w:rPr>
          <w:b w:val="0"/>
          <w:sz w:val="20"/>
        </w:rPr>
        <w:t>ARR</w:t>
      </w:r>
      <w:r w:rsidR="003A0BE8">
        <w:rPr>
          <w:b w:val="0"/>
          <w:sz w:val="20"/>
        </w:rPr>
        <w:t xml:space="preserve"> has not produced optimum outcomes for road users. </w:t>
      </w:r>
    </w:p>
    <w:p w:rsidR="009F1BD1" w:rsidRDefault="009F1BD1" w:rsidP="00E672D8">
      <w:pPr>
        <w:pStyle w:val="BodyText2"/>
        <w:spacing w:line="269" w:lineRule="auto"/>
        <w:rPr>
          <w:b w:val="0"/>
          <w:sz w:val="20"/>
        </w:rPr>
      </w:pPr>
    </w:p>
    <w:p w:rsidR="009F1BD1" w:rsidRDefault="009F1BD1" w:rsidP="00E672D8">
      <w:pPr>
        <w:pStyle w:val="BodyText2"/>
        <w:spacing w:line="269" w:lineRule="auto"/>
        <w:rPr>
          <w:b w:val="0"/>
          <w:sz w:val="20"/>
        </w:rPr>
      </w:pPr>
      <w:r>
        <w:rPr>
          <w:b w:val="0"/>
          <w:sz w:val="20"/>
        </w:rPr>
        <w:t>The NTC state that the deviation in W</w:t>
      </w:r>
      <w:r w:rsidR="00585DB0">
        <w:rPr>
          <w:b w:val="0"/>
          <w:sz w:val="20"/>
        </w:rPr>
        <w:t>estern Australia</w:t>
      </w:r>
      <w:r>
        <w:rPr>
          <w:b w:val="0"/>
          <w:sz w:val="20"/>
        </w:rPr>
        <w:t xml:space="preserve"> has </w:t>
      </w:r>
      <w:r w:rsidR="00585DB0">
        <w:rPr>
          <w:b w:val="0"/>
          <w:sz w:val="20"/>
        </w:rPr>
        <w:t>had minimal effect</w:t>
      </w:r>
      <w:r>
        <w:rPr>
          <w:b w:val="0"/>
          <w:sz w:val="20"/>
        </w:rPr>
        <w:t xml:space="preserve"> on road users. This leads to the </w:t>
      </w:r>
      <w:r w:rsidR="00585DB0">
        <w:rPr>
          <w:b w:val="0"/>
          <w:sz w:val="20"/>
        </w:rPr>
        <w:t>question</w:t>
      </w:r>
      <w:r w:rsidR="002D19CB">
        <w:rPr>
          <w:b w:val="0"/>
          <w:sz w:val="20"/>
        </w:rPr>
        <w:t xml:space="preserve">, </w:t>
      </w:r>
      <w:r>
        <w:rPr>
          <w:b w:val="0"/>
          <w:sz w:val="20"/>
        </w:rPr>
        <w:t xml:space="preserve">if the effect </w:t>
      </w:r>
      <w:r w:rsidR="002D19CB">
        <w:rPr>
          <w:b w:val="0"/>
          <w:sz w:val="20"/>
        </w:rPr>
        <w:t xml:space="preserve">is </w:t>
      </w:r>
      <w:r>
        <w:rPr>
          <w:b w:val="0"/>
          <w:sz w:val="20"/>
        </w:rPr>
        <w:t>minimal why</w:t>
      </w:r>
      <w:r w:rsidR="00585DB0">
        <w:rPr>
          <w:b w:val="0"/>
          <w:sz w:val="20"/>
        </w:rPr>
        <w:t xml:space="preserve"> is the deviation </w:t>
      </w:r>
      <w:r>
        <w:rPr>
          <w:b w:val="0"/>
          <w:sz w:val="20"/>
        </w:rPr>
        <w:t>necessary</w:t>
      </w:r>
      <w:r w:rsidR="002D19CB">
        <w:rPr>
          <w:b w:val="0"/>
          <w:sz w:val="20"/>
        </w:rPr>
        <w:t xml:space="preserve">? </w:t>
      </w:r>
      <w:r>
        <w:rPr>
          <w:b w:val="0"/>
          <w:sz w:val="20"/>
        </w:rPr>
        <w:t xml:space="preserve">Any state or territory that wishes </w:t>
      </w:r>
      <w:r w:rsidR="007223A6">
        <w:rPr>
          <w:b w:val="0"/>
          <w:sz w:val="20"/>
        </w:rPr>
        <w:t xml:space="preserve">to deviate from national model or applied law should give explicit reasons for the deviation and present a </w:t>
      </w:r>
      <w:r w:rsidR="009B2006">
        <w:rPr>
          <w:b w:val="0"/>
          <w:sz w:val="20"/>
        </w:rPr>
        <w:t xml:space="preserve">regulatory impact statement </w:t>
      </w:r>
      <w:r w:rsidR="007223A6">
        <w:rPr>
          <w:b w:val="0"/>
          <w:sz w:val="20"/>
        </w:rPr>
        <w:t xml:space="preserve">on the effects the deviation is likely to have. </w:t>
      </w:r>
    </w:p>
    <w:p w:rsidR="007223A6" w:rsidRDefault="007223A6" w:rsidP="00E672D8">
      <w:pPr>
        <w:pStyle w:val="BodyText2"/>
        <w:spacing w:line="269" w:lineRule="auto"/>
        <w:rPr>
          <w:b w:val="0"/>
          <w:sz w:val="20"/>
        </w:rPr>
      </w:pPr>
    </w:p>
    <w:p w:rsidR="007223A6" w:rsidRDefault="007223A6" w:rsidP="00E672D8">
      <w:pPr>
        <w:pStyle w:val="BodyText2"/>
        <w:spacing w:line="269" w:lineRule="auto"/>
        <w:rPr>
          <w:b w:val="0"/>
          <w:sz w:val="20"/>
        </w:rPr>
      </w:pPr>
      <w:r>
        <w:rPr>
          <w:b w:val="0"/>
          <w:sz w:val="20"/>
        </w:rPr>
        <w:t xml:space="preserve">The NTC’s third draft recommendation supports updating the Australian </w:t>
      </w:r>
      <w:r w:rsidR="002D19CB">
        <w:rPr>
          <w:b w:val="0"/>
          <w:sz w:val="20"/>
        </w:rPr>
        <w:t>R</w:t>
      </w:r>
      <w:r>
        <w:rPr>
          <w:b w:val="0"/>
          <w:sz w:val="20"/>
        </w:rPr>
        <w:t xml:space="preserve">oad </w:t>
      </w:r>
      <w:r w:rsidR="002D19CB">
        <w:rPr>
          <w:b w:val="0"/>
          <w:sz w:val="20"/>
        </w:rPr>
        <w:t>R</w:t>
      </w:r>
      <w:r>
        <w:rPr>
          <w:b w:val="0"/>
          <w:sz w:val="20"/>
        </w:rPr>
        <w:t>ules to introduce uniform rule</w:t>
      </w:r>
      <w:r w:rsidR="002D19CB">
        <w:rPr>
          <w:b w:val="0"/>
          <w:sz w:val="20"/>
        </w:rPr>
        <w:t>s</w:t>
      </w:r>
      <w:r>
        <w:rPr>
          <w:b w:val="0"/>
          <w:sz w:val="20"/>
        </w:rPr>
        <w:t xml:space="preserve"> throughout Australia for all road users; and </w:t>
      </w:r>
      <w:r w:rsidR="002D19CB">
        <w:rPr>
          <w:b w:val="0"/>
          <w:sz w:val="20"/>
        </w:rPr>
        <w:t xml:space="preserve">to </w:t>
      </w:r>
      <w:r>
        <w:rPr>
          <w:b w:val="0"/>
          <w:sz w:val="20"/>
        </w:rPr>
        <w:t xml:space="preserve">specify behaviour that supports the safe and efficient use of the road system. </w:t>
      </w:r>
    </w:p>
    <w:p w:rsidR="007223A6" w:rsidRDefault="007223A6" w:rsidP="00E672D8">
      <w:pPr>
        <w:pStyle w:val="BodyText2"/>
        <w:spacing w:line="269" w:lineRule="auto"/>
        <w:rPr>
          <w:b w:val="0"/>
          <w:sz w:val="20"/>
        </w:rPr>
      </w:pPr>
    </w:p>
    <w:p w:rsidR="005672FD" w:rsidRDefault="007223A6" w:rsidP="00E672D8">
      <w:pPr>
        <w:pStyle w:val="BodyText2"/>
        <w:spacing w:line="269" w:lineRule="auto"/>
        <w:rPr>
          <w:b w:val="0"/>
          <w:sz w:val="20"/>
        </w:rPr>
      </w:pPr>
      <w:r>
        <w:rPr>
          <w:b w:val="0"/>
          <w:sz w:val="20"/>
        </w:rPr>
        <w:t xml:space="preserve">The ATA supports the draft recommendation. </w:t>
      </w:r>
    </w:p>
    <w:p w:rsidR="007223A6" w:rsidRPr="005672FD" w:rsidRDefault="005672FD" w:rsidP="00E672D8">
      <w:pPr>
        <w:spacing w:after="200" w:line="276" w:lineRule="auto"/>
        <w:rPr>
          <w:rFonts w:ascii="Arial" w:eastAsia="Times New Roman" w:hAnsi="Arial" w:cs="Arial"/>
          <w:bCs/>
          <w:sz w:val="20"/>
          <w:szCs w:val="20"/>
        </w:rPr>
      </w:pPr>
      <w:r>
        <w:rPr>
          <w:b/>
          <w:sz w:val="20"/>
        </w:rPr>
        <w:br w:type="page"/>
      </w:r>
    </w:p>
    <w:p w:rsidR="00C043EC" w:rsidRDefault="007223A6" w:rsidP="00E672D8">
      <w:pPr>
        <w:pStyle w:val="BodyText2"/>
        <w:spacing w:line="269" w:lineRule="auto"/>
        <w:rPr>
          <w:b w:val="0"/>
          <w:sz w:val="20"/>
        </w:rPr>
      </w:pPr>
      <w:r>
        <w:rPr>
          <w:b w:val="0"/>
          <w:sz w:val="20"/>
        </w:rPr>
        <w:lastRenderedPageBreak/>
        <w:t>The NTC</w:t>
      </w:r>
      <w:r w:rsidR="005B58F2">
        <w:rPr>
          <w:b w:val="0"/>
          <w:sz w:val="20"/>
        </w:rPr>
        <w:t xml:space="preserve"> commitment to monitor national reforms the </w:t>
      </w:r>
      <w:r w:rsidR="00DF0DAD">
        <w:rPr>
          <w:b w:val="0"/>
          <w:sz w:val="20"/>
        </w:rPr>
        <w:t>NTC helped develop</w:t>
      </w:r>
      <w:r w:rsidR="002D19CB">
        <w:rPr>
          <w:b w:val="0"/>
          <w:sz w:val="20"/>
        </w:rPr>
        <w:t xml:space="preserve"> (</w:t>
      </w:r>
      <w:r w:rsidR="00DF0DAD">
        <w:rPr>
          <w:b w:val="0"/>
          <w:sz w:val="20"/>
        </w:rPr>
        <w:t xml:space="preserve">including the AVSR and </w:t>
      </w:r>
      <w:r w:rsidR="00BC4F34">
        <w:rPr>
          <w:b w:val="0"/>
          <w:sz w:val="20"/>
        </w:rPr>
        <w:t>ARR</w:t>
      </w:r>
      <w:r w:rsidR="002D19CB">
        <w:rPr>
          <w:b w:val="0"/>
          <w:sz w:val="20"/>
        </w:rPr>
        <w:t>)</w:t>
      </w:r>
      <w:r w:rsidR="00DF0DAD">
        <w:rPr>
          <w:b w:val="0"/>
          <w:sz w:val="20"/>
        </w:rPr>
        <w:t xml:space="preserve"> and publish a performance report in </w:t>
      </w:r>
      <w:r w:rsidR="002D19CB">
        <w:rPr>
          <w:b w:val="0"/>
          <w:sz w:val="20"/>
        </w:rPr>
        <w:t xml:space="preserve">its </w:t>
      </w:r>
      <w:r w:rsidR="00DF0DAD">
        <w:rPr>
          <w:b w:val="0"/>
          <w:sz w:val="20"/>
        </w:rPr>
        <w:t>annual report from 2013</w:t>
      </w:r>
      <w:r w:rsidR="002D19CB">
        <w:rPr>
          <w:b w:val="0"/>
          <w:sz w:val="20"/>
        </w:rPr>
        <w:t xml:space="preserve"> onwards</w:t>
      </w:r>
      <w:r w:rsidR="00DF0DAD">
        <w:rPr>
          <w:b w:val="0"/>
          <w:sz w:val="20"/>
        </w:rPr>
        <w:t xml:space="preserve">, is a positive step. The ATA has recommended that there should be increased benchmarking of state and territory performance and the inclusion of a national uniformity score would increase the transparency in variations that </w:t>
      </w:r>
      <w:r w:rsidR="000454A7">
        <w:rPr>
          <w:b w:val="0"/>
          <w:sz w:val="20"/>
        </w:rPr>
        <w:t xml:space="preserve">are </w:t>
      </w:r>
      <w:r w:rsidR="00DF0DAD">
        <w:rPr>
          <w:b w:val="0"/>
          <w:sz w:val="20"/>
        </w:rPr>
        <w:t>not</w:t>
      </w:r>
      <w:r w:rsidR="003A0BE8">
        <w:rPr>
          <w:b w:val="0"/>
          <w:sz w:val="20"/>
        </w:rPr>
        <w:t xml:space="preserve"> currently</w:t>
      </w:r>
      <w:r w:rsidR="00DF0DAD">
        <w:rPr>
          <w:b w:val="0"/>
          <w:sz w:val="20"/>
        </w:rPr>
        <w:t xml:space="preserve"> </w:t>
      </w:r>
      <w:r w:rsidR="003A0BE8">
        <w:rPr>
          <w:b w:val="0"/>
          <w:sz w:val="20"/>
        </w:rPr>
        <w:t xml:space="preserve">easily </w:t>
      </w:r>
      <w:r w:rsidR="00DF0DAD">
        <w:rPr>
          <w:b w:val="0"/>
          <w:sz w:val="20"/>
        </w:rPr>
        <w:t xml:space="preserve">accessible. </w:t>
      </w:r>
    </w:p>
    <w:p w:rsidR="00C043EC" w:rsidRDefault="00C043EC" w:rsidP="00E672D8">
      <w:pPr>
        <w:pStyle w:val="BodyText2"/>
        <w:spacing w:line="269" w:lineRule="auto"/>
        <w:rPr>
          <w:b w:val="0"/>
          <w:sz w:val="20"/>
        </w:rPr>
      </w:pPr>
    </w:p>
    <w:p w:rsidR="009A2C7B" w:rsidRDefault="009A2C7B" w:rsidP="00E672D8">
      <w:pPr>
        <w:pStyle w:val="BodyText2"/>
        <w:spacing w:line="269" w:lineRule="auto"/>
        <w:rPr>
          <w:b w:val="0"/>
          <w:sz w:val="20"/>
        </w:rPr>
      </w:pPr>
      <w:r>
        <w:rPr>
          <w:b w:val="0"/>
          <w:sz w:val="20"/>
        </w:rPr>
        <w:t>There appears to be greater n</w:t>
      </w:r>
      <w:r w:rsidR="00C043EC">
        <w:rPr>
          <w:b w:val="0"/>
          <w:sz w:val="20"/>
        </w:rPr>
        <w:t xml:space="preserve">ational consistency with the </w:t>
      </w:r>
      <w:r w:rsidR="00BC4F34">
        <w:rPr>
          <w:b w:val="0"/>
          <w:sz w:val="20"/>
        </w:rPr>
        <w:t>AVSR</w:t>
      </w:r>
      <w:r>
        <w:rPr>
          <w:b w:val="0"/>
          <w:sz w:val="20"/>
        </w:rPr>
        <w:t xml:space="preserve">, as the legal audit found only a 0.3% departure from national laws. </w:t>
      </w:r>
      <w:r w:rsidR="00D243B9">
        <w:rPr>
          <w:b w:val="0"/>
          <w:sz w:val="20"/>
        </w:rPr>
        <w:t>National consi</w:t>
      </w:r>
      <w:r w:rsidR="00935A38">
        <w:rPr>
          <w:b w:val="0"/>
          <w:sz w:val="20"/>
        </w:rPr>
        <w:t>stency has nearly been achieved. T</w:t>
      </w:r>
      <w:r w:rsidR="00D243B9">
        <w:rPr>
          <w:b w:val="0"/>
          <w:sz w:val="20"/>
        </w:rPr>
        <w:t xml:space="preserve">he NTC note the improvement in </w:t>
      </w:r>
      <w:r w:rsidR="00C043EC">
        <w:rPr>
          <w:b w:val="0"/>
          <w:sz w:val="20"/>
        </w:rPr>
        <w:t>AVSR</w:t>
      </w:r>
      <w:r w:rsidR="00D243B9">
        <w:rPr>
          <w:b w:val="0"/>
          <w:sz w:val="20"/>
        </w:rPr>
        <w:t xml:space="preserve"> application is due to increased activity in this area from the N</w:t>
      </w:r>
      <w:r w:rsidR="003A0BE8">
        <w:rPr>
          <w:b w:val="0"/>
          <w:sz w:val="20"/>
        </w:rPr>
        <w:t xml:space="preserve">ational </w:t>
      </w:r>
      <w:r w:rsidR="00D243B9">
        <w:rPr>
          <w:b w:val="0"/>
          <w:sz w:val="20"/>
        </w:rPr>
        <w:t>H</w:t>
      </w:r>
      <w:r w:rsidR="003A0BE8">
        <w:rPr>
          <w:b w:val="0"/>
          <w:sz w:val="20"/>
        </w:rPr>
        <w:t xml:space="preserve">eavy </w:t>
      </w:r>
      <w:r w:rsidR="00D243B9">
        <w:rPr>
          <w:b w:val="0"/>
          <w:sz w:val="20"/>
        </w:rPr>
        <w:t>V</w:t>
      </w:r>
      <w:r w:rsidR="003A0BE8">
        <w:rPr>
          <w:b w:val="0"/>
          <w:sz w:val="20"/>
        </w:rPr>
        <w:t>ehicle Regulator (NHVR)</w:t>
      </w:r>
      <w:r w:rsidR="00D243B9">
        <w:rPr>
          <w:b w:val="0"/>
          <w:sz w:val="20"/>
        </w:rPr>
        <w:t xml:space="preserve">. </w:t>
      </w:r>
    </w:p>
    <w:p w:rsidR="000A6054" w:rsidRDefault="000A6054" w:rsidP="00E672D8">
      <w:pPr>
        <w:pStyle w:val="BodyText2"/>
        <w:spacing w:line="269" w:lineRule="auto"/>
        <w:rPr>
          <w:b w:val="0"/>
          <w:sz w:val="20"/>
        </w:rPr>
      </w:pPr>
    </w:p>
    <w:p w:rsidR="000A6054" w:rsidRDefault="000A6054" w:rsidP="00E672D8">
      <w:pPr>
        <w:pStyle w:val="BodyText2"/>
        <w:spacing w:line="269" w:lineRule="auto"/>
        <w:rPr>
          <w:b w:val="0"/>
          <w:sz w:val="20"/>
        </w:rPr>
      </w:pPr>
    </w:p>
    <w:p w:rsidR="00C043EC" w:rsidRPr="00C043EC" w:rsidRDefault="00C043EC" w:rsidP="00E672D8">
      <w:pPr>
        <w:pStyle w:val="Heading1"/>
        <w:numPr>
          <w:ilvl w:val="1"/>
          <w:numId w:val="6"/>
        </w:numPr>
      </w:pPr>
      <w:bookmarkStart w:id="7" w:name="_Toc363718940"/>
      <w:r>
        <w:t xml:space="preserve">Why an </w:t>
      </w:r>
      <w:r w:rsidRPr="00C043EC">
        <w:t>applied approach should be adopted</w:t>
      </w:r>
      <w:bookmarkEnd w:id="7"/>
    </w:p>
    <w:p w:rsidR="004B423A" w:rsidRDefault="004B423A" w:rsidP="00E672D8">
      <w:pPr>
        <w:pStyle w:val="BodyText2"/>
        <w:spacing w:line="269" w:lineRule="auto"/>
        <w:rPr>
          <w:b w:val="0"/>
          <w:sz w:val="20"/>
        </w:rPr>
      </w:pPr>
    </w:p>
    <w:p w:rsidR="004B423A" w:rsidRDefault="00011075" w:rsidP="00E672D8">
      <w:pPr>
        <w:pStyle w:val="BodyText2"/>
        <w:spacing w:line="269" w:lineRule="auto"/>
        <w:rPr>
          <w:b w:val="0"/>
          <w:sz w:val="20"/>
        </w:rPr>
      </w:pPr>
      <w:r>
        <w:rPr>
          <w:b w:val="0"/>
          <w:sz w:val="20"/>
        </w:rPr>
        <w:t>S</w:t>
      </w:r>
      <w:r w:rsidR="004B423A">
        <w:rPr>
          <w:b w:val="0"/>
          <w:sz w:val="20"/>
        </w:rPr>
        <w:t xml:space="preserve">tates and </w:t>
      </w:r>
      <w:r w:rsidR="003826BD">
        <w:rPr>
          <w:b w:val="0"/>
          <w:sz w:val="20"/>
        </w:rPr>
        <w:t>territories</w:t>
      </w:r>
      <w:r>
        <w:rPr>
          <w:b w:val="0"/>
          <w:sz w:val="20"/>
        </w:rPr>
        <w:t xml:space="preserve"> have five main concerns</w:t>
      </w:r>
      <w:r w:rsidR="003826BD">
        <w:rPr>
          <w:b w:val="0"/>
          <w:sz w:val="20"/>
        </w:rPr>
        <w:t xml:space="preserve"> in removing</w:t>
      </w:r>
      <w:r w:rsidR="004B423A">
        <w:rPr>
          <w:b w:val="0"/>
          <w:sz w:val="20"/>
        </w:rPr>
        <w:t xml:space="preserve"> the current model law approach </w:t>
      </w:r>
      <w:r>
        <w:rPr>
          <w:b w:val="0"/>
          <w:sz w:val="20"/>
        </w:rPr>
        <w:t xml:space="preserve">which </w:t>
      </w:r>
      <w:r w:rsidR="004B423A">
        <w:rPr>
          <w:b w:val="0"/>
          <w:sz w:val="20"/>
        </w:rPr>
        <w:t>have bee</w:t>
      </w:r>
      <w:r>
        <w:rPr>
          <w:b w:val="0"/>
          <w:sz w:val="20"/>
        </w:rPr>
        <w:t>n mostly addressed</w:t>
      </w:r>
      <w:r w:rsidR="004B423A">
        <w:rPr>
          <w:b w:val="0"/>
          <w:sz w:val="20"/>
        </w:rPr>
        <w:t xml:space="preserve"> by the NTC. </w:t>
      </w:r>
    </w:p>
    <w:p w:rsidR="004B423A" w:rsidRDefault="004B423A" w:rsidP="00E672D8">
      <w:pPr>
        <w:pStyle w:val="BodyText2"/>
        <w:spacing w:line="269" w:lineRule="auto"/>
        <w:rPr>
          <w:b w:val="0"/>
          <w:sz w:val="20"/>
        </w:rPr>
      </w:pPr>
    </w:p>
    <w:p w:rsidR="003826BD" w:rsidRDefault="003826BD" w:rsidP="00E672D8">
      <w:pPr>
        <w:pStyle w:val="BodyText2"/>
        <w:numPr>
          <w:ilvl w:val="0"/>
          <w:numId w:val="7"/>
        </w:numPr>
        <w:spacing w:line="269" w:lineRule="auto"/>
        <w:rPr>
          <w:b w:val="0"/>
          <w:sz w:val="20"/>
        </w:rPr>
      </w:pPr>
      <w:r>
        <w:rPr>
          <w:b w:val="0"/>
          <w:sz w:val="20"/>
        </w:rPr>
        <w:t xml:space="preserve">The model law works well and has produced good outcomes </w:t>
      </w:r>
    </w:p>
    <w:p w:rsidR="004B423A" w:rsidRDefault="004B423A" w:rsidP="00E672D8">
      <w:pPr>
        <w:pStyle w:val="BodyText2"/>
        <w:spacing w:line="269" w:lineRule="auto"/>
        <w:rPr>
          <w:b w:val="0"/>
          <w:sz w:val="20"/>
        </w:rPr>
      </w:pPr>
    </w:p>
    <w:p w:rsidR="00904D92" w:rsidRDefault="004B423A" w:rsidP="00E672D8">
      <w:pPr>
        <w:pStyle w:val="BodyText2"/>
        <w:spacing w:line="269" w:lineRule="auto"/>
        <w:rPr>
          <w:b w:val="0"/>
          <w:sz w:val="20"/>
        </w:rPr>
      </w:pPr>
      <w:r>
        <w:rPr>
          <w:b w:val="0"/>
          <w:sz w:val="20"/>
        </w:rPr>
        <w:t xml:space="preserve">The model law approach should be </w:t>
      </w:r>
      <w:r w:rsidR="00904D92">
        <w:rPr>
          <w:b w:val="0"/>
          <w:sz w:val="20"/>
        </w:rPr>
        <w:t>viewed against what</w:t>
      </w:r>
      <w:r>
        <w:rPr>
          <w:b w:val="0"/>
          <w:sz w:val="20"/>
        </w:rPr>
        <w:t xml:space="preserve"> outcomes would have been</w:t>
      </w:r>
      <w:r w:rsidR="00904D92">
        <w:rPr>
          <w:b w:val="0"/>
          <w:sz w:val="20"/>
        </w:rPr>
        <w:t xml:space="preserve"> produced</w:t>
      </w:r>
      <w:r>
        <w:rPr>
          <w:b w:val="0"/>
          <w:sz w:val="20"/>
        </w:rPr>
        <w:t xml:space="preserve"> if the applied law approach to the </w:t>
      </w:r>
      <w:r w:rsidR="00BC4F34">
        <w:rPr>
          <w:b w:val="0"/>
          <w:sz w:val="20"/>
        </w:rPr>
        <w:t>ARR</w:t>
      </w:r>
      <w:r>
        <w:rPr>
          <w:b w:val="0"/>
          <w:sz w:val="20"/>
        </w:rPr>
        <w:t xml:space="preserve"> and AVSR </w:t>
      </w:r>
      <w:r w:rsidR="00296F20">
        <w:rPr>
          <w:b w:val="0"/>
          <w:sz w:val="20"/>
        </w:rPr>
        <w:t>had</w:t>
      </w:r>
      <w:r>
        <w:rPr>
          <w:b w:val="0"/>
          <w:sz w:val="20"/>
        </w:rPr>
        <w:t xml:space="preserve"> been enacted in 1999</w:t>
      </w:r>
      <w:r w:rsidR="00904D92">
        <w:rPr>
          <w:b w:val="0"/>
          <w:sz w:val="20"/>
        </w:rPr>
        <w:t>,</w:t>
      </w:r>
      <w:r>
        <w:rPr>
          <w:b w:val="0"/>
          <w:sz w:val="20"/>
        </w:rPr>
        <w:t xml:space="preserve"> as the former</w:t>
      </w:r>
      <w:r w:rsidR="00935A38">
        <w:rPr>
          <w:b w:val="0"/>
          <w:sz w:val="20"/>
        </w:rPr>
        <w:t xml:space="preserve"> </w:t>
      </w:r>
      <w:r w:rsidR="0075034E">
        <w:rPr>
          <w:b w:val="0"/>
          <w:sz w:val="20"/>
        </w:rPr>
        <w:t>ATC</w:t>
      </w:r>
      <w:r>
        <w:rPr>
          <w:b w:val="0"/>
          <w:sz w:val="20"/>
        </w:rPr>
        <w:t xml:space="preserve"> </w:t>
      </w:r>
      <w:proofErr w:type="gramStart"/>
      <w:r>
        <w:rPr>
          <w:b w:val="0"/>
          <w:sz w:val="20"/>
        </w:rPr>
        <w:t>intended</w:t>
      </w:r>
      <w:r w:rsidR="00296F20">
        <w:rPr>
          <w:b w:val="0"/>
          <w:sz w:val="20"/>
        </w:rPr>
        <w:t xml:space="preserve"> </w:t>
      </w:r>
      <w:r>
        <w:rPr>
          <w:b w:val="0"/>
          <w:sz w:val="20"/>
        </w:rPr>
        <w:t>.</w:t>
      </w:r>
      <w:proofErr w:type="gramEnd"/>
      <w:r>
        <w:rPr>
          <w:b w:val="0"/>
          <w:sz w:val="20"/>
        </w:rPr>
        <w:t xml:space="preserve"> </w:t>
      </w:r>
    </w:p>
    <w:p w:rsidR="00904D92" w:rsidRDefault="00904D92" w:rsidP="00E672D8">
      <w:pPr>
        <w:pStyle w:val="BodyText2"/>
        <w:spacing w:line="269" w:lineRule="auto"/>
        <w:rPr>
          <w:b w:val="0"/>
          <w:sz w:val="20"/>
        </w:rPr>
      </w:pPr>
    </w:p>
    <w:p w:rsidR="00011075" w:rsidRPr="00904D92" w:rsidRDefault="00904D92" w:rsidP="00E672D8">
      <w:pPr>
        <w:pStyle w:val="BodyText2"/>
        <w:spacing w:line="269" w:lineRule="auto"/>
        <w:rPr>
          <w:b w:val="0"/>
          <w:sz w:val="20"/>
        </w:rPr>
      </w:pPr>
      <w:r w:rsidRPr="00904D92">
        <w:rPr>
          <w:b w:val="0"/>
          <w:sz w:val="20"/>
        </w:rPr>
        <w:t>The legal audit results show there has not been a national application of model laws.  There are specific differences that expose drivers</w:t>
      </w:r>
      <w:r w:rsidR="00011075" w:rsidRPr="00904D92">
        <w:rPr>
          <w:b w:val="0"/>
          <w:sz w:val="20"/>
        </w:rPr>
        <w:t xml:space="preserve"> to additional safety risk. </w:t>
      </w:r>
    </w:p>
    <w:p w:rsidR="004B423A" w:rsidRDefault="004B423A" w:rsidP="00E672D8">
      <w:pPr>
        <w:pStyle w:val="BodyText2"/>
        <w:spacing w:line="269" w:lineRule="auto"/>
        <w:rPr>
          <w:b w:val="0"/>
          <w:sz w:val="20"/>
        </w:rPr>
      </w:pPr>
    </w:p>
    <w:p w:rsidR="003826BD" w:rsidRPr="00140514" w:rsidRDefault="00513833" w:rsidP="00E672D8">
      <w:pPr>
        <w:pStyle w:val="BodyText2"/>
        <w:numPr>
          <w:ilvl w:val="0"/>
          <w:numId w:val="7"/>
        </w:numPr>
        <w:spacing w:line="269" w:lineRule="auto"/>
        <w:rPr>
          <w:b w:val="0"/>
          <w:sz w:val="20"/>
        </w:rPr>
      </w:pPr>
      <w:r w:rsidRPr="00140514">
        <w:rPr>
          <w:b w:val="0"/>
          <w:sz w:val="20"/>
        </w:rPr>
        <w:t xml:space="preserve">The model law approach provides states and territories with flexibility </w:t>
      </w:r>
    </w:p>
    <w:p w:rsidR="004B423A" w:rsidRPr="00140514" w:rsidRDefault="004B423A" w:rsidP="00E672D8">
      <w:pPr>
        <w:pStyle w:val="BodyText2"/>
        <w:spacing w:line="269" w:lineRule="auto"/>
        <w:rPr>
          <w:b w:val="0"/>
          <w:sz w:val="20"/>
        </w:rPr>
      </w:pPr>
    </w:p>
    <w:p w:rsidR="00904D92" w:rsidRDefault="00513833" w:rsidP="00E672D8">
      <w:pPr>
        <w:pStyle w:val="BodyText2"/>
        <w:spacing w:line="269" w:lineRule="auto"/>
        <w:rPr>
          <w:b w:val="0"/>
          <w:sz w:val="20"/>
        </w:rPr>
      </w:pPr>
      <w:r w:rsidRPr="00140514">
        <w:rPr>
          <w:b w:val="0"/>
          <w:sz w:val="20"/>
        </w:rPr>
        <w:t xml:space="preserve">The flexibility accompanied with model laws may seem attractive to government. However, we are discussing safety and compliance-related road rules.  We would expect states and territories to want similar if not exact </w:t>
      </w:r>
      <w:r w:rsidR="00140514" w:rsidRPr="00140514">
        <w:rPr>
          <w:b w:val="0"/>
          <w:sz w:val="20"/>
        </w:rPr>
        <w:t xml:space="preserve">road safety </w:t>
      </w:r>
      <w:r w:rsidRPr="00140514">
        <w:rPr>
          <w:b w:val="0"/>
          <w:sz w:val="20"/>
        </w:rPr>
        <w:t>outcomes. The flow on effects of changing a model</w:t>
      </w:r>
      <w:r w:rsidR="00140514" w:rsidRPr="00140514">
        <w:rPr>
          <w:b w:val="0"/>
          <w:sz w:val="20"/>
        </w:rPr>
        <w:t xml:space="preserve"> </w:t>
      </w:r>
      <w:r w:rsidRPr="00140514">
        <w:rPr>
          <w:b w:val="0"/>
          <w:sz w:val="20"/>
        </w:rPr>
        <w:t>law is simply a consideration, not a constraint to changing to an applied law approach.</w:t>
      </w:r>
      <w:r w:rsidR="00904D92">
        <w:rPr>
          <w:b w:val="0"/>
          <w:sz w:val="20"/>
        </w:rPr>
        <w:t xml:space="preserve"> </w:t>
      </w:r>
    </w:p>
    <w:p w:rsidR="00904D92" w:rsidRDefault="00904D92" w:rsidP="00E672D8">
      <w:pPr>
        <w:pStyle w:val="BodyText2"/>
        <w:spacing w:line="269" w:lineRule="auto"/>
        <w:rPr>
          <w:b w:val="0"/>
          <w:sz w:val="20"/>
        </w:rPr>
      </w:pPr>
    </w:p>
    <w:p w:rsidR="009B2006" w:rsidRPr="00E672D8" w:rsidRDefault="009B2006" w:rsidP="00E672D8">
      <w:pPr>
        <w:pStyle w:val="BodyText2"/>
        <w:spacing w:line="269" w:lineRule="auto"/>
        <w:rPr>
          <w:b w:val="0"/>
          <w:sz w:val="20"/>
        </w:rPr>
      </w:pPr>
      <w:r>
        <w:rPr>
          <w:b w:val="0"/>
          <w:sz w:val="20"/>
        </w:rPr>
        <w:t xml:space="preserve">The NTC paper states </w:t>
      </w:r>
      <w:r w:rsidRPr="0075034E">
        <w:rPr>
          <w:b w:val="0"/>
          <w:sz w:val="20"/>
        </w:rPr>
        <w:t>that “There is little reason to believe the model law approach can produce significantly improved outcomes in this respect, it has consistently led to widely varied implementation periods over 15 years</w:t>
      </w:r>
      <w:r w:rsidRPr="00E672D8">
        <w:rPr>
          <w:vertAlign w:val="superscript"/>
        </w:rPr>
        <w:footnoteReference w:id="2"/>
      </w:r>
      <w:r w:rsidRPr="0075034E">
        <w:rPr>
          <w:b w:val="0"/>
          <w:sz w:val="20"/>
        </w:rPr>
        <w:t>”.</w:t>
      </w:r>
      <w:r w:rsidRPr="00E672D8">
        <w:rPr>
          <w:b w:val="0"/>
          <w:sz w:val="20"/>
        </w:rPr>
        <w:t xml:space="preserve"> </w:t>
      </w:r>
    </w:p>
    <w:p w:rsidR="009B2006" w:rsidRPr="0075034E" w:rsidRDefault="009B2006" w:rsidP="00E672D8">
      <w:pPr>
        <w:pStyle w:val="BodyText2"/>
        <w:spacing w:line="269" w:lineRule="auto"/>
        <w:rPr>
          <w:b w:val="0"/>
          <w:sz w:val="20"/>
        </w:rPr>
      </w:pPr>
    </w:p>
    <w:p w:rsidR="004B423A" w:rsidRDefault="00904D92" w:rsidP="00E672D8">
      <w:pPr>
        <w:pStyle w:val="BodyText2"/>
        <w:spacing w:line="269" w:lineRule="auto"/>
        <w:rPr>
          <w:b w:val="0"/>
          <w:sz w:val="20"/>
        </w:rPr>
      </w:pPr>
      <w:r>
        <w:rPr>
          <w:b w:val="0"/>
          <w:sz w:val="20"/>
        </w:rPr>
        <w:t xml:space="preserve">The flexibility in application has </w:t>
      </w:r>
      <w:r w:rsidR="0075034E">
        <w:rPr>
          <w:b w:val="0"/>
          <w:sz w:val="20"/>
        </w:rPr>
        <w:t xml:space="preserve">presented differing implementation times. </w:t>
      </w:r>
      <w:r w:rsidR="00011075">
        <w:rPr>
          <w:b w:val="0"/>
          <w:sz w:val="20"/>
        </w:rPr>
        <w:t xml:space="preserve">Removing the flexibility </w:t>
      </w:r>
      <w:r w:rsidR="0075034E">
        <w:rPr>
          <w:b w:val="0"/>
          <w:sz w:val="20"/>
        </w:rPr>
        <w:t xml:space="preserve">of implementation </w:t>
      </w:r>
      <w:r w:rsidR="00011075">
        <w:rPr>
          <w:b w:val="0"/>
          <w:sz w:val="20"/>
        </w:rPr>
        <w:t xml:space="preserve">would improve the situation with a shorter gap between full roll out. </w:t>
      </w:r>
      <w:r w:rsidR="0075034E">
        <w:rPr>
          <w:b w:val="0"/>
          <w:sz w:val="20"/>
        </w:rPr>
        <w:br/>
      </w:r>
    </w:p>
    <w:p w:rsidR="00011075" w:rsidRDefault="003826BD" w:rsidP="00E672D8">
      <w:pPr>
        <w:pStyle w:val="BodyText2"/>
        <w:numPr>
          <w:ilvl w:val="0"/>
          <w:numId w:val="7"/>
        </w:numPr>
        <w:spacing w:line="269" w:lineRule="auto"/>
        <w:rPr>
          <w:b w:val="0"/>
          <w:sz w:val="20"/>
        </w:rPr>
      </w:pPr>
      <w:r>
        <w:rPr>
          <w:b w:val="0"/>
          <w:sz w:val="20"/>
        </w:rPr>
        <w:t xml:space="preserve">The model law approach allows states and territories to innovate </w:t>
      </w:r>
    </w:p>
    <w:p w:rsidR="00011075" w:rsidRDefault="00011075" w:rsidP="00E672D8">
      <w:pPr>
        <w:pStyle w:val="BodyText2"/>
        <w:spacing w:line="269" w:lineRule="auto"/>
        <w:rPr>
          <w:b w:val="0"/>
          <w:sz w:val="20"/>
        </w:rPr>
      </w:pPr>
    </w:p>
    <w:p w:rsidR="00904D92" w:rsidRPr="00011075" w:rsidRDefault="0075034E" w:rsidP="00E672D8">
      <w:pPr>
        <w:pStyle w:val="BodyText2"/>
        <w:spacing w:line="269" w:lineRule="auto"/>
        <w:rPr>
          <w:b w:val="0"/>
          <w:sz w:val="20"/>
        </w:rPr>
      </w:pPr>
      <w:r>
        <w:rPr>
          <w:b w:val="0"/>
          <w:sz w:val="20"/>
        </w:rPr>
        <w:t xml:space="preserve">The NTC </w:t>
      </w:r>
      <w:r w:rsidR="00296F20">
        <w:rPr>
          <w:b w:val="0"/>
          <w:sz w:val="20"/>
        </w:rPr>
        <w:t xml:space="preserve">has </w:t>
      </w:r>
      <w:r>
        <w:rPr>
          <w:b w:val="0"/>
          <w:sz w:val="20"/>
        </w:rPr>
        <w:t xml:space="preserve">stated that under an applied approach states and territories </w:t>
      </w:r>
      <w:r w:rsidR="00296F20">
        <w:rPr>
          <w:b w:val="0"/>
          <w:sz w:val="20"/>
        </w:rPr>
        <w:t xml:space="preserve">will </w:t>
      </w:r>
      <w:r>
        <w:rPr>
          <w:b w:val="0"/>
          <w:sz w:val="20"/>
        </w:rPr>
        <w:t>retain t</w:t>
      </w:r>
      <w:r w:rsidR="00935A38">
        <w:rPr>
          <w:b w:val="0"/>
          <w:sz w:val="20"/>
        </w:rPr>
        <w:t xml:space="preserve">he right to </w:t>
      </w:r>
      <w:r w:rsidR="00296F20">
        <w:rPr>
          <w:b w:val="0"/>
          <w:sz w:val="20"/>
        </w:rPr>
        <w:t xml:space="preserve">amend the </w:t>
      </w:r>
      <w:r w:rsidR="00935A38">
        <w:rPr>
          <w:b w:val="0"/>
          <w:sz w:val="20"/>
        </w:rPr>
        <w:t>road rules. U</w:t>
      </w:r>
      <w:r>
        <w:rPr>
          <w:b w:val="0"/>
          <w:sz w:val="20"/>
        </w:rPr>
        <w:t>nder an applied approach</w:t>
      </w:r>
      <w:r w:rsidR="00296F20">
        <w:rPr>
          <w:b w:val="0"/>
          <w:sz w:val="20"/>
        </w:rPr>
        <w:t>,</w:t>
      </w:r>
      <w:r>
        <w:rPr>
          <w:b w:val="0"/>
          <w:sz w:val="20"/>
        </w:rPr>
        <w:t xml:space="preserve"> the advantage is that new road rules will be made explicit to road users in </w:t>
      </w:r>
      <w:r w:rsidR="00296F20">
        <w:rPr>
          <w:b w:val="0"/>
          <w:sz w:val="20"/>
        </w:rPr>
        <w:t xml:space="preserve">all </w:t>
      </w:r>
      <w:r>
        <w:rPr>
          <w:b w:val="0"/>
          <w:sz w:val="20"/>
        </w:rPr>
        <w:t xml:space="preserve">states </w:t>
      </w:r>
      <w:r w:rsidR="00935A38">
        <w:rPr>
          <w:b w:val="0"/>
          <w:sz w:val="20"/>
        </w:rPr>
        <w:t xml:space="preserve">or territories </w:t>
      </w:r>
      <w:r w:rsidR="00296F20">
        <w:rPr>
          <w:b w:val="0"/>
          <w:sz w:val="20"/>
        </w:rPr>
        <w:t>to which the</w:t>
      </w:r>
      <w:r w:rsidR="00140514">
        <w:rPr>
          <w:b w:val="0"/>
          <w:sz w:val="20"/>
        </w:rPr>
        <w:t xml:space="preserve"> </w:t>
      </w:r>
      <w:r>
        <w:rPr>
          <w:b w:val="0"/>
          <w:sz w:val="20"/>
        </w:rPr>
        <w:t>Act</w:t>
      </w:r>
      <w:r w:rsidR="00296F20">
        <w:rPr>
          <w:b w:val="0"/>
          <w:sz w:val="20"/>
        </w:rPr>
        <w:t xml:space="preserve"> applies</w:t>
      </w:r>
      <w:r>
        <w:rPr>
          <w:b w:val="0"/>
          <w:sz w:val="20"/>
        </w:rPr>
        <w:t>.</w:t>
      </w:r>
    </w:p>
    <w:p w:rsidR="004C5E5E" w:rsidRDefault="004C5E5E" w:rsidP="00E672D8">
      <w:pPr>
        <w:pStyle w:val="BodyText2"/>
        <w:spacing w:line="269" w:lineRule="auto"/>
        <w:ind w:left="720"/>
        <w:rPr>
          <w:b w:val="0"/>
          <w:sz w:val="20"/>
        </w:rPr>
      </w:pPr>
    </w:p>
    <w:p w:rsidR="003826BD" w:rsidRDefault="003B3AB8" w:rsidP="00E672D8">
      <w:pPr>
        <w:pStyle w:val="BodyText2"/>
        <w:numPr>
          <w:ilvl w:val="0"/>
          <w:numId w:val="7"/>
        </w:numPr>
        <w:spacing w:line="269" w:lineRule="auto"/>
        <w:rPr>
          <w:b w:val="0"/>
          <w:sz w:val="20"/>
        </w:rPr>
      </w:pPr>
      <w:r>
        <w:rPr>
          <w:b w:val="0"/>
          <w:sz w:val="20"/>
        </w:rPr>
        <w:t xml:space="preserve">States and territories want to retain their right to control their laws. </w:t>
      </w:r>
    </w:p>
    <w:p w:rsidR="00011075" w:rsidRDefault="00011075" w:rsidP="00E672D8">
      <w:pPr>
        <w:pStyle w:val="BodyText2"/>
        <w:spacing w:line="269" w:lineRule="auto"/>
        <w:rPr>
          <w:b w:val="0"/>
          <w:sz w:val="20"/>
        </w:rPr>
      </w:pPr>
    </w:p>
    <w:p w:rsidR="00011075" w:rsidRDefault="00513833" w:rsidP="00E672D8">
      <w:pPr>
        <w:pStyle w:val="BodyText2"/>
        <w:spacing w:line="269" w:lineRule="auto"/>
        <w:rPr>
          <w:b w:val="0"/>
          <w:sz w:val="20"/>
        </w:rPr>
      </w:pPr>
      <w:r w:rsidRPr="00140514">
        <w:rPr>
          <w:b w:val="0"/>
          <w:sz w:val="20"/>
        </w:rPr>
        <w:t>As stated above, states and territories can still produce their own road rules through the applied law system.</w:t>
      </w:r>
      <w:r w:rsidR="0075034E" w:rsidRPr="00140514">
        <w:rPr>
          <w:b w:val="0"/>
          <w:sz w:val="20"/>
        </w:rPr>
        <w:t xml:space="preserve"> The applied law approach may also prove to be a valuable system for states and territories to re-evaluate non-uniform rules. For instance</w:t>
      </w:r>
      <w:r w:rsidR="002F76D8" w:rsidRPr="00140514">
        <w:rPr>
          <w:b w:val="0"/>
          <w:sz w:val="20"/>
        </w:rPr>
        <w:t>,</w:t>
      </w:r>
      <w:r w:rsidR="0075034E" w:rsidRPr="00140514">
        <w:rPr>
          <w:b w:val="0"/>
          <w:sz w:val="20"/>
        </w:rPr>
        <w:t xml:space="preserve"> the </w:t>
      </w:r>
      <w:r w:rsidR="00011075" w:rsidRPr="00140514">
        <w:rPr>
          <w:b w:val="0"/>
          <w:sz w:val="20"/>
        </w:rPr>
        <w:t>individual state law which Victoria ci</w:t>
      </w:r>
      <w:r w:rsidR="0075034E" w:rsidRPr="00140514">
        <w:rPr>
          <w:b w:val="0"/>
          <w:sz w:val="20"/>
        </w:rPr>
        <w:t>tes as the benefit of model law</w:t>
      </w:r>
      <w:r w:rsidR="00296F20" w:rsidRPr="00140514">
        <w:rPr>
          <w:b w:val="0"/>
          <w:sz w:val="20"/>
        </w:rPr>
        <w:t xml:space="preserve"> (i.e. </w:t>
      </w:r>
      <w:r w:rsidR="00011075" w:rsidRPr="00140514">
        <w:rPr>
          <w:b w:val="0"/>
          <w:sz w:val="20"/>
        </w:rPr>
        <w:t>that of taking lawful U turns</w:t>
      </w:r>
      <w:r w:rsidR="00296F20" w:rsidRPr="00140514">
        <w:rPr>
          <w:b w:val="0"/>
          <w:sz w:val="20"/>
        </w:rPr>
        <w:t xml:space="preserve">) </w:t>
      </w:r>
      <w:r w:rsidR="00011075" w:rsidRPr="00140514">
        <w:rPr>
          <w:b w:val="0"/>
          <w:sz w:val="20"/>
        </w:rPr>
        <w:t xml:space="preserve">may need </w:t>
      </w:r>
      <w:r w:rsidR="00EC4CB2" w:rsidRPr="00140514">
        <w:rPr>
          <w:b w:val="0"/>
          <w:sz w:val="20"/>
        </w:rPr>
        <w:t xml:space="preserve">to be </w:t>
      </w:r>
      <w:r w:rsidR="00296F20" w:rsidRPr="00140514">
        <w:rPr>
          <w:b w:val="0"/>
          <w:sz w:val="20"/>
        </w:rPr>
        <w:t>considered</w:t>
      </w:r>
      <w:r w:rsidR="00EC4CB2" w:rsidRPr="00140514">
        <w:rPr>
          <w:b w:val="0"/>
          <w:sz w:val="20"/>
        </w:rPr>
        <w:t xml:space="preserve"> in the broader road safety application</w:t>
      </w:r>
      <w:r w:rsidR="00011075" w:rsidRPr="00140514">
        <w:rPr>
          <w:b w:val="0"/>
          <w:sz w:val="20"/>
        </w:rPr>
        <w:t>.</w:t>
      </w:r>
      <w:r w:rsidR="00011075">
        <w:rPr>
          <w:b w:val="0"/>
          <w:sz w:val="20"/>
        </w:rPr>
        <w:t xml:space="preserve"> </w:t>
      </w:r>
    </w:p>
    <w:p w:rsidR="00AF6990" w:rsidRDefault="00AF6990" w:rsidP="00E672D8">
      <w:pPr>
        <w:pStyle w:val="BodyText2"/>
        <w:spacing w:line="269" w:lineRule="auto"/>
        <w:rPr>
          <w:b w:val="0"/>
          <w:sz w:val="20"/>
        </w:rPr>
      </w:pPr>
    </w:p>
    <w:p w:rsidR="00AF6990" w:rsidRDefault="00AF6990" w:rsidP="00E672D8">
      <w:pPr>
        <w:pStyle w:val="BodyText2"/>
        <w:spacing w:line="269" w:lineRule="auto"/>
        <w:rPr>
          <w:b w:val="0"/>
          <w:sz w:val="20"/>
        </w:rPr>
      </w:pPr>
    </w:p>
    <w:p w:rsidR="00AF6990" w:rsidRDefault="00AF6990" w:rsidP="00E672D8">
      <w:pPr>
        <w:pStyle w:val="BodyText2"/>
        <w:spacing w:line="269" w:lineRule="auto"/>
        <w:rPr>
          <w:b w:val="0"/>
          <w:sz w:val="20"/>
        </w:rPr>
      </w:pPr>
    </w:p>
    <w:p w:rsidR="00AF6990" w:rsidRDefault="00AF6990" w:rsidP="00E672D8">
      <w:pPr>
        <w:pStyle w:val="BodyText2"/>
        <w:spacing w:line="269" w:lineRule="auto"/>
        <w:rPr>
          <w:b w:val="0"/>
          <w:sz w:val="20"/>
        </w:rPr>
      </w:pPr>
    </w:p>
    <w:p w:rsidR="004C5E5E" w:rsidRDefault="004C5E5E" w:rsidP="00E672D8">
      <w:pPr>
        <w:pStyle w:val="BodyText2"/>
        <w:spacing w:line="269" w:lineRule="auto"/>
        <w:ind w:left="720"/>
        <w:rPr>
          <w:b w:val="0"/>
          <w:sz w:val="20"/>
        </w:rPr>
      </w:pPr>
    </w:p>
    <w:p w:rsidR="003B3AB8" w:rsidRDefault="003B3AB8" w:rsidP="00E672D8">
      <w:pPr>
        <w:pStyle w:val="BodyText2"/>
        <w:numPr>
          <w:ilvl w:val="0"/>
          <w:numId w:val="7"/>
        </w:numPr>
        <w:spacing w:line="269" w:lineRule="auto"/>
        <w:rPr>
          <w:b w:val="0"/>
          <w:sz w:val="20"/>
        </w:rPr>
      </w:pPr>
      <w:r>
        <w:rPr>
          <w:b w:val="0"/>
          <w:sz w:val="20"/>
        </w:rPr>
        <w:lastRenderedPageBreak/>
        <w:t xml:space="preserve">Staying with the model law approach will be cheaper than changing to </w:t>
      </w:r>
      <w:r w:rsidR="002F76D8">
        <w:rPr>
          <w:b w:val="0"/>
          <w:sz w:val="20"/>
        </w:rPr>
        <w:t xml:space="preserve">an </w:t>
      </w:r>
      <w:r>
        <w:rPr>
          <w:b w:val="0"/>
          <w:sz w:val="20"/>
        </w:rPr>
        <w:t xml:space="preserve">applied law approach </w:t>
      </w:r>
    </w:p>
    <w:p w:rsidR="004C5E5E" w:rsidRPr="004C5E5E" w:rsidRDefault="004C5E5E" w:rsidP="00E672D8">
      <w:pPr>
        <w:ind w:left="360"/>
        <w:rPr>
          <w:b/>
          <w:sz w:val="20"/>
        </w:rPr>
      </w:pPr>
    </w:p>
    <w:p w:rsidR="004C5E5E" w:rsidRDefault="004C5E5E" w:rsidP="00E672D8">
      <w:pPr>
        <w:pStyle w:val="BodyText2"/>
        <w:spacing w:line="269" w:lineRule="auto"/>
        <w:rPr>
          <w:b w:val="0"/>
          <w:sz w:val="20"/>
        </w:rPr>
      </w:pPr>
      <w:r>
        <w:rPr>
          <w:b w:val="0"/>
          <w:sz w:val="20"/>
        </w:rPr>
        <w:t xml:space="preserve">We cannot forget that applied law </w:t>
      </w:r>
      <w:r w:rsidR="00317A4F">
        <w:rPr>
          <w:b w:val="0"/>
          <w:sz w:val="20"/>
        </w:rPr>
        <w:t xml:space="preserve">for </w:t>
      </w:r>
      <w:r w:rsidR="00BC4F34">
        <w:rPr>
          <w:b w:val="0"/>
          <w:sz w:val="20"/>
        </w:rPr>
        <w:t>ARR</w:t>
      </w:r>
      <w:r w:rsidR="00317A4F">
        <w:rPr>
          <w:b w:val="0"/>
          <w:sz w:val="20"/>
        </w:rPr>
        <w:t xml:space="preserve"> and </w:t>
      </w:r>
      <w:r w:rsidR="00BC4F34">
        <w:rPr>
          <w:b w:val="0"/>
          <w:sz w:val="20"/>
        </w:rPr>
        <w:t>AVSR</w:t>
      </w:r>
      <w:r w:rsidR="00317A4F">
        <w:rPr>
          <w:b w:val="0"/>
          <w:sz w:val="20"/>
        </w:rPr>
        <w:t xml:space="preserve"> </w:t>
      </w:r>
      <w:r>
        <w:rPr>
          <w:b w:val="0"/>
          <w:sz w:val="20"/>
        </w:rPr>
        <w:t xml:space="preserve">was introduced in </w:t>
      </w:r>
      <w:r w:rsidR="0075034E">
        <w:rPr>
          <w:b w:val="0"/>
          <w:sz w:val="20"/>
        </w:rPr>
        <w:t>1999;</w:t>
      </w:r>
      <w:r>
        <w:rPr>
          <w:b w:val="0"/>
          <w:sz w:val="20"/>
        </w:rPr>
        <w:t xml:space="preserve"> however</w:t>
      </w:r>
      <w:r w:rsidR="0075034E">
        <w:rPr>
          <w:b w:val="0"/>
          <w:sz w:val="20"/>
        </w:rPr>
        <w:t>,</w:t>
      </w:r>
      <w:r>
        <w:rPr>
          <w:b w:val="0"/>
          <w:sz w:val="20"/>
        </w:rPr>
        <w:t xml:space="preserve"> the majority of states and territories</w:t>
      </w:r>
      <w:r w:rsidR="00317A4F">
        <w:rPr>
          <w:b w:val="0"/>
          <w:sz w:val="20"/>
        </w:rPr>
        <w:t>,</w:t>
      </w:r>
      <w:r>
        <w:rPr>
          <w:b w:val="0"/>
          <w:sz w:val="20"/>
        </w:rPr>
        <w:t xml:space="preserve"> </w:t>
      </w:r>
      <w:r w:rsidR="002F76D8">
        <w:rPr>
          <w:b w:val="0"/>
          <w:sz w:val="20"/>
        </w:rPr>
        <w:t xml:space="preserve">apart from </w:t>
      </w:r>
      <w:r>
        <w:rPr>
          <w:b w:val="0"/>
          <w:sz w:val="20"/>
        </w:rPr>
        <w:t xml:space="preserve">NSW and </w:t>
      </w:r>
      <w:r w:rsidR="002F76D8">
        <w:rPr>
          <w:b w:val="0"/>
          <w:sz w:val="20"/>
        </w:rPr>
        <w:t xml:space="preserve">the </w:t>
      </w:r>
      <w:r w:rsidR="00317A4F">
        <w:rPr>
          <w:b w:val="0"/>
          <w:sz w:val="20"/>
        </w:rPr>
        <w:t>ACT, did</w:t>
      </w:r>
      <w:r>
        <w:rPr>
          <w:b w:val="0"/>
          <w:sz w:val="20"/>
        </w:rPr>
        <w:t xml:space="preserve"> not comply with the ATC ruling. If all state and territories </w:t>
      </w:r>
      <w:r w:rsidR="00296F20">
        <w:rPr>
          <w:b w:val="0"/>
          <w:sz w:val="20"/>
        </w:rPr>
        <w:t>had</w:t>
      </w:r>
      <w:r>
        <w:rPr>
          <w:b w:val="0"/>
          <w:sz w:val="20"/>
        </w:rPr>
        <w:t xml:space="preserve"> implemented applied law the costs </w:t>
      </w:r>
      <w:r w:rsidR="00296F20">
        <w:rPr>
          <w:b w:val="0"/>
          <w:sz w:val="20"/>
        </w:rPr>
        <w:t>today</w:t>
      </w:r>
      <w:r>
        <w:rPr>
          <w:b w:val="0"/>
          <w:sz w:val="20"/>
        </w:rPr>
        <w:t xml:space="preserve"> would be zero</w:t>
      </w:r>
      <w:r w:rsidR="0075034E">
        <w:rPr>
          <w:b w:val="0"/>
          <w:sz w:val="20"/>
        </w:rPr>
        <w:t>,</w:t>
      </w:r>
      <w:r>
        <w:rPr>
          <w:b w:val="0"/>
          <w:sz w:val="20"/>
        </w:rPr>
        <w:t xml:space="preserve"> as applied law would </w:t>
      </w:r>
      <w:r w:rsidR="00296F20">
        <w:rPr>
          <w:b w:val="0"/>
          <w:sz w:val="20"/>
        </w:rPr>
        <w:t>be in force</w:t>
      </w:r>
      <w:r>
        <w:rPr>
          <w:b w:val="0"/>
          <w:sz w:val="20"/>
        </w:rPr>
        <w:t xml:space="preserve">. </w:t>
      </w:r>
    </w:p>
    <w:p w:rsidR="002F76D8" w:rsidRDefault="002F76D8" w:rsidP="00E672D8">
      <w:pPr>
        <w:pStyle w:val="BodyText2"/>
        <w:spacing w:line="269" w:lineRule="auto"/>
        <w:rPr>
          <w:b w:val="0"/>
          <w:sz w:val="20"/>
        </w:rPr>
      </w:pPr>
    </w:p>
    <w:p w:rsidR="002F76D8" w:rsidRDefault="002F76D8" w:rsidP="00E672D8">
      <w:pPr>
        <w:pStyle w:val="BodyText2"/>
        <w:spacing w:line="269" w:lineRule="auto"/>
        <w:rPr>
          <w:b w:val="0"/>
          <w:sz w:val="20"/>
        </w:rPr>
      </w:pPr>
      <w:r>
        <w:rPr>
          <w:b w:val="0"/>
          <w:sz w:val="20"/>
        </w:rPr>
        <w:t xml:space="preserve">The NTC </w:t>
      </w:r>
      <w:r w:rsidR="00296F20">
        <w:rPr>
          <w:b w:val="0"/>
          <w:sz w:val="20"/>
        </w:rPr>
        <w:t xml:space="preserve">has </w:t>
      </w:r>
      <w:r>
        <w:rPr>
          <w:b w:val="0"/>
          <w:sz w:val="20"/>
        </w:rPr>
        <w:t xml:space="preserve">yet to finalise </w:t>
      </w:r>
      <w:r w:rsidR="00296F20">
        <w:rPr>
          <w:b w:val="0"/>
          <w:sz w:val="20"/>
        </w:rPr>
        <w:t xml:space="preserve">its </w:t>
      </w:r>
      <w:r>
        <w:rPr>
          <w:b w:val="0"/>
          <w:sz w:val="20"/>
        </w:rPr>
        <w:t xml:space="preserve">cost benefit analysis to see whether an applied law approach would be financially viable. The qualitative approach would suggest that an applied law approach would achieve uniform laws and improve road safety.   </w:t>
      </w:r>
    </w:p>
    <w:p w:rsidR="000A6054" w:rsidRDefault="000A6054" w:rsidP="00E672D8">
      <w:pPr>
        <w:pStyle w:val="BodyText2"/>
        <w:spacing w:line="269" w:lineRule="auto"/>
        <w:rPr>
          <w:b w:val="0"/>
          <w:sz w:val="20"/>
        </w:rPr>
      </w:pPr>
    </w:p>
    <w:p w:rsidR="0075034E" w:rsidRDefault="0075034E" w:rsidP="00E672D8">
      <w:pPr>
        <w:pStyle w:val="BodyText2"/>
        <w:spacing w:line="269" w:lineRule="auto"/>
        <w:rPr>
          <w:b w:val="0"/>
          <w:sz w:val="20"/>
        </w:rPr>
      </w:pPr>
      <w:r>
        <w:rPr>
          <w:b w:val="0"/>
          <w:sz w:val="20"/>
        </w:rPr>
        <w:t>An advantage to road users of the applied law approach is that any differences in state</w:t>
      </w:r>
      <w:r w:rsidR="00317A4F">
        <w:rPr>
          <w:b w:val="0"/>
          <w:sz w:val="20"/>
        </w:rPr>
        <w:t xml:space="preserve"> or territory</w:t>
      </w:r>
      <w:r>
        <w:rPr>
          <w:b w:val="0"/>
          <w:sz w:val="20"/>
        </w:rPr>
        <w:t xml:space="preserve"> rules will be clear and understandable. Any divergence from the national rules will need to be included in the </w:t>
      </w:r>
      <w:r w:rsidRPr="00011075">
        <w:rPr>
          <w:b w:val="0"/>
          <w:sz w:val="20"/>
        </w:rPr>
        <w:t>legislation or regulation of the state or territory that is making the deviation</w:t>
      </w:r>
      <w:r>
        <w:rPr>
          <w:b w:val="0"/>
          <w:sz w:val="20"/>
        </w:rPr>
        <w:t>.</w:t>
      </w:r>
    </w:p>
    <w:p w:rsidR="00A259ED" w:rsidRDefault="00A259ED" w:rsidP="00E672D8">
      <w:pPr>
        <w:pStyle w:val="BodyText2"/>
        <w:spacing w:line="269" w:lineRule="auto"/>
        <w:rPr>
          <w:b w:val="0"/>
          <w:sz w:val="20"/>
        </w:rPr>
      </w:pPr>
    </w:p>
    <w:p w:rsidR="00A259ED" w:rsidRDefault="00A259ED" w:rsidP="00E672D8">
      <w:pPr>
        <w:pStyle w:val="BodyText2"/>
        <w:spacing w:line="269" w:lineRule="auto"/>
        <w:rPr>
          <w:b w:val="0"/>
          <w:sz w:val="20"/>
        </w:rPr>
      </w:pPr>
      <w:r>
        <w:rPr>
          <w:b w:val="0"/>
          <w:sz w:val="20"/>
        </w:rPr>
        <w:t>There are also savings to be made for road agencies through an applied law approach. Co-financed joint national commun</w:t>
      </w:r>
      <w:r w:rsidR="002F76D8">
        <w:rPr>
          <w:b w:val="0"/>
          <w:sz w:val="20"/>
        </w:rPr>
        <w:t>ications</w:t>
      </w:r>
      <w:r>
        <w:rPr>
          <w:b w:val="0"/>
          <w:sz w:val="20"/>
        </w:rPr>
        <w:t xml:space="preserve"> could be coordinated to introduce new rules and updates. </w:t>
      </w:r>
    </w:p>
    <w:p w:rsidR="00A259ED" w:rsidRDefault="00A259ED" w:rsidP="00E672D8">
      <w:pPr>
        <w:pStyle w:val="BodyText2"/>
        <w:spacing w:line="269" w:lineRule="auto"/>
        <w:rPr>
          <w:b w:val="0"/>
          <w:sz w:val="20"/>
        </w:rPr>
      </w:pPr>
    </w:p>
    <w:p w:rsidR="00317A4F" w:rsidRDefault="00A259ED" w:rsidP="00E672D8">
      <w:pPr>
        <w:pStyle w:val="BodyText2"/>
        <w:spacing w:line="269" w:lineRule="auto"/>
        <w:rPr>
          <w:b w:val="0"/>
          <w:sz w:val="20"/>
        </w:rPr>
      </w:pPr>
      <w:r>
        <w:rPr>
          <w:b w:val="0"/>
          <w:sz w:val="20"/>
        </w:rPr>
        <w:t xml:space="preserve">There is also a very important opportunity to </w:t>
      </w:r>
      <w:r w:rsidR="00140514">
        <w:rPr>
          <w:b w:val="0"/>
          <w:sz w:val="20"/>
        </w:rPr>
        <w:t>harmonise</w:t>
      </w:r>
      <w:r w:rsidR="00513833" w:rsidRPr="00140514">
        <w:rPr>
          <w:b w:val="0"/>
          <w:sz w:val="20"/>
        </w:rPr>
        <w:t xml:space="preserve"> learner driver manual</w:t>
      </w:r>
      <w:r w:rsidR="00140514">
        <w:rPr>
          <w:b w:val="0"/>
          <w:sz w:val="20"/>
        </w:rPr>
        <w:t>s</w:t>
      </w:r>
      <w:r w:rsidRPr="00140514">
        <w:rPr>
          <w:b w:val="0"/>
          <w:sz w:val="20"/>
        </w:rPr>
        <w:t>. People</w:t>
      </w:r>
      <w:r>
        <w:rPr>
          <w:b w:val="0"/>
          <w:sz w:val="20"/>
        </w:rPr>
        <w:t xml:space="preserve"> learning to drive</w:t>
      </w:r>
      <w:r w:rsidR="002F76D8">
        <w:rPr>
          <w:b w:val="0"/>
          <w:sz w:val="20"/>
        </w:rPr>
        <w:t>,</w:t>
      </w:r>
      <w:r>
        <w:rPr>
          <w:b w:val="0"/>
          <w:sz w:val="20"/>
        </w:rPr>
        <w:t xml:space="preserve"> regardless if it is a light or heavy vehicle</w:t>
      </w:r>
      <w:r w:rsidR="002F76D8">
        <w:rPr>
          <w:b w:val="0"/>
          <w:sz w:val="20"/>
        </w:rPr>
        <w:t>,</w:t>
      </w:r>
      <w:r>
        <w:rPr>
          <w:b w:val="0"/>
          <w:sz w:val="20"/>
        </w:rPr>
        <w:t xml:space="preserve"> need to be </w:t>
      </w:r>
      <w:r w:rsidR="00317A4F">
        <w:rPr>
          <w:b w:val="0"/>
          <w:sz w:val="20"/>
        </w:rPr>
        <w:t xml:space="preserve">provided with </w:t>
      </w:r>
      <w:r>
        <w:rPr>
          <w:b w:val="0"/>
          <w:sz w:val="20"/>
        </w:rPr>
        <w:t>clear consistent information</w:t>
      </w:r>
      <w:r w:rsidR="002F76D8">
        <w:rPr>
          <w:b w:val="0"/>
          <w:sz w:val="20"/>
        </w:rPr>
        <w:t xml:space="preserve"> on road rules</w:t>
      </w:r>
      <w:r>
        <w:rPr>
          <w:b w:val="0"/>
          <w:sz w:val="20"/>
        </w:rPr>
        <w:t xml:space="preserve">. A national approach to road safety would be the </w:t>
      </w:r>
      <w:r w:rsidR="002F76D8">
        <w:rPr>
          <w:b w:val="0"/>
          <w:sz w:val="20"/>
        </w:rPr>
        <w:t>most favourable</w:t>
      </w:r>
      <w:r>
        <w:rPr>
          <w:b w:val="0"/>
          <w:sz w:val="20"/>
        </w:rPr>
        <w:t xml:space="preserve"> outcome. An applied law approach would provide this. </w:t>
      </w:r>
    </w:p>
    <w:p w:rsidR="00351377" w:rsidRDefault="00351377" w:rsidP="00E672D8">
      <w:pPr>
        <w:pStyle w:val="BodyText2"/>
        <w:spacing w:line="269" w:lineRule="auto"/>
        <w:rPr>
          <w:b w:val="0"/>
          <w:sz w:val="20"/>
        </w:rPr>
      </w:pPr>
    </w:p>
    <w:p w:rsidR="0074470B" w:rsidRDefault="0074470B" w:rsidP="00E672D8">
      <w:pPr>
        <w:pStyle w:val="BodyText2"/>
        <w:spacing w:line="269" w:lineRule="auto"/>
        <w:rPr>
          <w:b w:val="0"/>
          <w:sz w:val="20"/>
        </w:rPr>
      </w:pPr>
      <w:r>
        <w:rPr>
          <w:b w:val="0"/>
          <w:sz w:val="20"/>
        </w:rPr>
        <w:t xml:space="preserve">Given the NTC evidence provided, the ATA supports </w:t>
      </w:r>
      <w:r w:rsidR="001E7B97">
        <w:rPr>
          <w:b w:val="0"/>
          <w:sz w:val="20"/>
        </w:rPr>
        <w:t xml:space="preserve">the NTC’s </w:t>
      </w:r>
      <w:r>
        <w:rPr>
          <w:b w:val="0"/>
          <w:sz w:val="20"/>
        </w:rPr>
        <w:t xml:space="preserve">draft </w:t>
      </w:r>
      <w:r w:rsidR="001E7B97">
        <w:rPr>
          <w:b w:val="0"/>
          <w:sz w:val="20"/>
        </w:rPr>
        <w:t>R</w:t>
      </w:r>
      <w:r>
        <w:rPr>
          <w:b w:val="0"/>
          <w:sz w:val="20"/>
        </w:rPr>
        <w:t xml:space="preserve">ecommendation 4. </w:t>
      </w:r>
    </w:p>
    <w:p w:rsidR="0074470B" w:rsidRDefault="0074470B" w:rsidP="00E672D8">
      <w:pPr>
        <w:pStyle w:val="BodyText2"/>
        <w:spacing w:line="269" w:lineRule="auto"/>
        <w:rPr>
          <w:b w:val="0"/>
          <w:sz w:val="20"/>
        </w:rPr>
      </w:pPr>
    </w:p>
    <w:p w:rsidR="0074470B" w:rsidRDefault="0074470B" w:rsidP="00E672D8">
      <w:pPr>
        <w:pStyle w:val="BodyText2"/>
        <w:spacing w:line="269" w:lineRule="auto"/>
        <w:rPr>
          <w:b w:val="0"/>
          <w:sz w:val="20"/>
        </w:rPr>
      </w:pPr>
      <w:r>
        <w:rPr>
          <w:b w:val="0"/>
          <w:sz w:val="20"/>
        </w:rPr>
        <w:t>The NTC</w:t>
      </w:r>
      <w:r w:rsidR="001E7B97">
        <w:rPr>
          <w:b w:val="0"/>
          <w:sz w:val="20"/>
        </w:rPr>
        <w:t>’s R</w:t>
      </w:r>
      <w:r>
        <w:rPr>
          <w:b w:val="0"/>
          <w:sz w:val="20"/>
        </w:rPr>
        <w:t>ecommendation 5 state</w:t>
      </w:r>
      <w:r w:rsidR="001E7B97">
        <w:rPr>
          <w:b w:val="0"/>
          <w:sz w:val="20"/>
        </w:rPr>
        <w:t>s</w:t>
      </w:r>
      <w:r>
        <w:rPr>
          <w:b w:val="0"/>
          <w:sz w:val="20"/>
        </w:rPr>
        <w:t xml:space="preserve"> that applied law approaches should be </w:t>
      </w:r>
      <w:r w:rsidR="00317A4F">
        <w:rPr>
          <w:b w:val="0"/>
          <w:sz w:val="20"/>
        </w:rPr>
        <w:t>prepared</w:t>
      </w:r>
      <w:r>
        <w:rPr>
          <w:b w:val="0"/>
          <w:sz w:val="20"/>
        </w:rPr>
        <w:t xml:space="preserve"> for light vehicles. As the heavy vehicle standards rules are picked up in the NHVR this application</w:t>
      </w:r>
      <w:r w:rsidR="00317A4F">
        <w:rPr>
          <w:b w:val="0"/>
          <w:sz w:val="20"/>
        </w:rPr>
        <w:t xml:space="preserve"> is appropriate</w:t>
      </w:r>
      <w:r>
        <w:rPr>
          <w:b w:val="0"/>
          <w:sz w:val="20"/>
        </w:rPr>
        <w:t xml:space="preserve">. </w:t>
      </w:r>
    </w:p>
    <w:p w:rsidR="0074470B" w:rsidRDefault="0074470B" w:rsidP="00E672D8">
      <w:pPr>
        <w:pStyle w:val="BodyText2"/>
        <w:spacing w:line="269" w:lineRule="auto"/>
        <w:rPr>
          <w:b w:val="0"/>
          <w:sz w:val="20"/>
        </w:rPr>
      </w:pPr>
    </w:p>
    <w:p w:rsidR="0074470B" w:rsidRPr="004203F7" w:rsidRDefault="0074470B" w:rsidP="00E672D8">
      <w:pPr>
        <w:pStyle w:val="Heading1"/>
        <w:numPr>
          <w:ilvl w:val="1"/>
          <w:numId w:val="6"/>
        </w:numPr>
      </w:pPr>
      <w:bookmarkStart w:id="8" w:name="_Toc363718941"/>
      <w:r w:rsidRPr="004203F7">
        <w:t>Implementation plan</w:t>
      </w:r>
      <w:bookmarkEnd w:id="8"/>
    </w:p>
    <w:p w:rsidR="00011075" w:rsidRDefault="00011075" w:rsidP="00E672D8">
      <w:pPr>
        <w:pStyle w:val="BodyText2"/>
        <w:spacing w:line="269" w:lineRule="auto"/>
        <w:rPr>
          <w:b w:val="0"/>
          <w:sz w:val="20"/>
        </w:rPr>
      </w:pPr>
    </w:p>
    <w:p w:rsidR="00011075" w:rsidRDefault="004203F7" w:rsidP="00E672D8">
      <w:pPr>
        <w:pStyle w:val="BodyText2"/>
        <w:spacing w:line="269" w:lineRule="auto"/>
        <w:rPr>
          <w:b w:val="0"/>
          <w:sz w:val="20"/>
        </w:rPr>
      </w:pPr>
      <w:r>
        <w:rPr>
          <w:b w:val="0"/>
          <w:sz w:val="20"/>
        </w:rPr>
        <w:t xml:space="preserve">The NTC </w:t>
      </w:r>
      <w:r w:rsidR="001E7B97">
        <w:rPr>
          <w:b w:val="0"/>
          <w:sz w:val="20"/>
        </w:rPr>
        <w:t xml:space="preserve">is </w:t>
      </w:r>
      <w:r>
        <w:rPr>
          <w:b w:val="0"/>
          <w:sz w:val="20"/>
        </w:rPr>
        <w:t xml:space="preserve">keen to finalise an </w:t>
      </w:r>
      <w:r w:rsidR="002F76D8">
        <w:rPr>
          <w:b w:val="0"/>
          <w:sz w:val="20"/>
        </w:rPr>
        <w:t>execution</w:t>
      </w:r>
      <w:r>
        <w:rPr>
          <w:b w:val="0"/>
          <w:sz w:val="20"/>
        </w:rPr>
        <w:t xml:space="preserve"> plan for a transition to applied law for </w:t>
      </w:r>
      <w:r w:rsidR="00BC4F34">
        <w:rPr>
          <w:b w:val="0"/>
          <w:sz w:val="20"/>
        </w:rPr>
        <w:t>ARR</w:t>
      </w:r>
      <w:r>
        <w:rPr>
          <w:b w:val="0"/>
          <w:sz w:val="20"/>
        </w:rPr>
        <w:t xml:space="preserve"> and </w:t>
      </w:r>
      <w:r w:rsidR="00BC4F34">
        <w:rPr>
          <w:b w:val="0"/>
          <w:sz w:val="20"/>
        </w:rPr>
        <w:t>AVSR</w:t>
      </w:r>
      <w:r>
        <w:rPr>
          <w:b w:val="0"/>
          <w:sz w:val="20"/>
        </w:rPr>
        <w:t xml:space="preserve">. The NTC </w:t>
      </w:r>
      <w:r w:rsidR="001E7B97">
        <w:rPr>
          <w:b w:val="0"/>
          <w:sz w:val="20"/>
        </w:rPr>
        <w:t xml:space="preserve">has </w:t>
      </w:r>
      <w:r>
        <w:rPr>
          <w:b w:val="0"/>
          <w:sz w:val="20"/>
        </w:rPr>
        <w:t xml:space="preserve">identified the NHVR implementation </w:t>
      </w:r>
      <w:r w:rsidR="00DC052E">
        <w:rPr>
          <w:b w:val="0"/>
          <w:sz w:val="20"/>
        </w:rPr>
        <w:t xml:space="preserve">mechanism as an appropriate example to follow. </w:t>
      </w:r>
    </w:p>
    <w:p w:rsidR="00DC052E" w:rsidRDefault="00DC052E" w:rsidP="00E672D8">
      <w:pPr>
        <w:pStyle w:val="BodyText2"/>
        <w:spacing w:line="269" w:lineRule="auto"/>
        <w:rPr>
          <w:b w:val="0"/>
          <w:sz w:val="20"/>
        </w:rPr>
      </w:pPr>
    </w:p>
    <w:p w:rsidR="004203F7" w:rsidRDefault="00DC052E" w:rsidP="00E672D8">
      <w:pPr>
        <w:pStyle w:val="BodyText2"/>
        <w:spacing w:line="269" w:lineRule="auto"/>
        <w:rPr>
          <w:b w:val="0"/>
          <w:sz w:val="20"/>
        </w:rPr>
      </w:pPr>
      <w:r>
        <w:rPr>
          <w:b w:val="0"/>
          <w:sz w:val="20"/>
        </w:rPr>
        <w:t xml:space="preserve">Indentifying Queensland as the </w:t>
      </w:r>
      <w:r w:rsidR="001E7B97">
        <w:rPr>
          <w:b w:val="0"/>
          <w:sz w:val="20"/>
        </w:rPr>
        <w:t xml:space="preserve">jurisdiction </w:t>
      </w:r>
      <w:r>
        <w:rPr>
          <w:b w:val="0"/>
          <w:sz w:val="20"/>
        </w:rPr>
        <w:t>to implement the changes to the ARR and AVSR applied laws may present timing issues with</w:t>
      </w:r>
      <w:r w:rsidR="001E7B97">
        <w:rPr>
          <w:b w:val="0"/>
          <w:sz w:val="20"/>
        </w:rPr>
        <w:t xml:space="preserve"> new</w:t>
      </w:r>
      <w:r>
        <w:rPr>
          <w:b w:val="0"/>
          <w:sz w:val="20"/>
        </w:rPr>
        <w:t xml:space="preserve"> NHVR law. </w:t>
      </w:r>
    </w:p>
    <w:p w:rsidR="00DC052E" w:rsidRDefault="00DC052E" w:rsidP="00E672D8">
      <w:pPr>
        <w:pStyle w:val="BodyText2"/>
        <w:spacing w:line="269" w:lineRule="auto"/>
        <w:rPr>
          <w:b w:val="0"/>
          <w:sz w:val="20"/>
        </w:rPr>
      </w:pPr>
    </w:p>
    <w:p w:rsidR="00DC052E" w:rsidRDefault="00DC052E" w:rsidP="00E672D8">
      <w:pPr>
        <w:pStyle w:val="BodyText2"/>
        <w:spacing w:line="269" w:lineRule="auto"/>
        <w:rPr>
          <w:b w:val="0"/>
          <w:sz w:val="20"/>
        </w:rPr>
      </w:pPr>
      <w:r>
        <w:rPr>
          <w:b w:val="0"/>
          <w:sz w:val="20"/>
        </w:rPr>
        <w:t xml:space="preserve">The NTC </w:t>
      </w:r>
      <w:r w:rsidR="001E7B97">
        <w:rPr>
          <w:b w:val="0"/>
          <w:sz w:val="20"/>
        </w:rPr>
        <w:t xml:space="preserve">suggests </w:t>
      </w:r>
      <w:r>
        <w:rPr>
          <w:b w:val="0"/>
          <w:sz w:val="20"/>
        </w:rPr>
        <w:t>improvements for new and update</w:t>
      </w:r>
      <w:r w:rsidR="002F76D8">
        <w:rPr>
          <w:b w:val="0"/>
          <w:sz w:val="20"/>
        </w:rPr>
        <w:t>d</w:t>
      </w:r>
      <w:r>
        <w:rPr>
          <w:b w:val="0"/>
          <w:sz w:val="20"/>
        </w:rPr>
        <w:t xml:space="preserve"> </w:t>
      </w:r>
      <w:r w:rsidR="00FA45C5">
        <w:rPr>
          <w:b w:val="0"/>
          <w:sz w:val="20"/>
        </w:rPr>
        <w:t>rules</w:t>
      </w:r>
      <w:r>
        <w:rPr>
          <w:b w:val="0"/>
          <w:sz w:val="20"/>
        </w:rPr>
        <w:t xml:space="preserve"> would be an </w:t>
      </w:r>
      <w:r w:rsidR="00FA45C5">
        <w:rPr>
          <w:b w:val="0"/>
          <w:sz w:val="20"/>
        </w:rPr>
        <w:t>enhancement</w:t>
      </w:r>
      <w:r>
        <w:rPr>
          <w:b w:val="0"/>
          <w:sz w:val="20"/>
        </w:rPr>
        <w:t xml:space="preserve"> on the current system</w:t>
      </w:r>
      <w:r w:rsidR="00FA45C5">
        <w:rPr>
          <w:b w:val="0"/>
          <w:sz w:val="20"/>
        </w:rPr>
        <w:t xml:space="preserve"> of sporadic implementation of road rules. </w:t>
      </w:r>
    </w:p>
    <w:p w:rsidR="00FA45C5" w:rsidRDefault="00FA45C5" w:rsidP="00E672D8">
      <w:pPr>
        <w:pStyle w:val="BodyText2"/>
        <w:spacing w:line="269" w:lineRule="auto"/>
        <w:rPr>
          <w:b w:val="0"/>
          <w:sz w:val="20"/>
        </w:rPr>
      </w:pPr>
    </w:p>
    <w:p w:rsidR="00FA45C5" w:rsidRDefault="00FA45C5" w:rsidP="00E672D8">
      <w:pPr>
        <w:pStyle w:val="BodyText2"/>
        <w:spacing w:line="269" w:lineRule="auto"/>
        <w:rPr>
          <w:b w:val="0"/>
          <w:sz w:val="20"/>
        </w:rPr>
      </w:pPr>
      <w:r>
        <w:rPr>
          <w:b w:val="0"/>
          <w:sz w:val="20"/>
        </w:rPr>
        <w:t xml:space="preserve">The publishing of the </w:t>
      </w:r>
      <w:r w:rsidR="001E7B97">
        <w:rPr>
          <w:b w:val="0"/>
          <w:sz w:val="20"/>
        </w:rPr>
        <w:t xml:space="preserve">forward </w:t>
      </w:r>
      <w:r>
        <w:rPr>
          <w:b w:val="0"/>
          <w:sz w:val="20"/>
        </w:rPr>
        <w:t>maintenance work program, as part of the NTC’s strategic planning process</w:t>
      </w:r>
      <w:r w:rsidR="002F76D8">
        <w:rPr>
          <w:b w:val="0"/>
          <w:sz w:val="20"/>
        </w:rPr>
        <w:t>,</w:t>
      </w:r>
      <w:r>
        <w:rPr>
          <w:b w:val="0"/>
          <w:sz w:val="20"/>
        </w:rPr>
        <w:t xml:space="preserve"> </w:t>
      </w:r>
      <w:r w:rsidR="00F22477">
        <w:rPr>
          <w:b w:val="0"/>
          <w:sz w:val="20"/>
        </w:rPr>
        <w:t>and improving stakeholder consultation,</w:t>
      </w:r>
      <w:r>
        <w:rPr>
          <w:b w:val="0"/>
          <w:sz w:val="20"/>
        </w:rPr>
        <w:t xml:space="preserve"> will ensure that research priorities are planned and undertaken across the transport sector. </w:t>
      </w:r>
    </w:p>
    <w:p w:rsidR="002F76D8" w:rsidRDefault="002F76D8" w:rsidP="00E672D8">
      <w:pPr>
        <w:pStyle w:val="BodyText2"/>
        <w:spacing w:line="269" w:lineRule="auto"/>
        <w:rPr>
          <w:b w:val="0"/>
          <w:sz w:val="20"/>
        </w:rPr>
      </w:pPr>
    </w:p>
    <w:p w:rsidR="002F76D8" w:rsidRDefault="002F76D8" w:rsidP="00E672D8">
      <w:pPr>
        <w:pStyle w:val="BodyText2"/>
        <w:spacing w:line="269" w:lineRule="auto"/>
        <w:rPr>
          <w:b w:val="0"/>
          <w:sz w:val="20"/>
        </w:rPr>
      </w:pPr>
      <w:r>
        <w:rPr>
          <w:b w:val="0"/>
          <w:sz w:val="20"/>
        </w:rPr>
        <w:t xml:space="preserve">It is very important that industry is </w:t>
      </w:r>
      <w:r w:rsidR="006E301C">
        <w:rPr>
          <w:b w:val="0"/>
          <w:sz w:val="20"/>
        </w:rPr>
        <w:t>consulted on</w:t>
      </w:r>
      <w:r>
        <w:rPr>
          <w:b w:val="0"/>
          <w:sz w:val="20"/>
        </w:rPr>
        <w:t xml:space="preserve"> specific road rules </w:t>
      </w:r>
      <w:r w:rsidR="005B5B0B">
        <w:rPr>
          <w:b w:val="0"/>
          <w:sz w:val="20"/>
        </w:rPr>
        <w:t>that may</w:t>
      </w:r>
      <w:r w:rsidR="000E4784">
        <w:rPr>
          <w:b w:val="0"/>
          <w:sz w:val="20"/>
        </w:rPr>
        <w:t xml:space="preserve"> </w:t>
      </w:r>
      <w:r w:rsidR="001A2016">
        <w:rPr>
          <w:b w:val="0"/>
          <w:sz w:val="20"/>
        </w:rPr>
        <w:t>affect</w:t>
      </w:r>
      <w:r>
        <w:rPr>
          <w:b w:val="0"/>
          <w:sz w:val="20"/>
        </w:rPr>
        <w:t xml:space="preserve"> the heavy vehicle industry. </w:t>
      </w:r>
    </w:p>
    <w:p w:rsidR="00DC052E" w:rsidRDefault="00DC052E" w:rsidP="00E672D8">
      <w:pPr>
        <w:pStyle w:val="BodyText2"/>
        <w:spacing w:line="269" w:lineRule="auto"/>
        <w:rPr>
          <w:b w:val="0"/>
          <w:sz w:val="20"/>
        </w:rPr>
      </w:pPr>
      <w:r>
        <w:rPr>
          <w:b w:val="0"/>
          <w:sz w:val="20"/>
        </w:rPr>
        <w:t xml:space="preserve"> </w:t>
      </w:r>
    </w:p>
    <w:p w:rsidR="004203F7" w:rsidRDefault="00F22477" w:rsidP="00E672D8">
      <w:pPr>
        <w:pStyle w:val="BodyText2"/>
        <w:spacing w:line="269" w:lineRule="auto"/>
        <w:rPr>
          <w:b w:val="0"/>
          <w:sz w:val="20"/>
        </w:rPr>
      </w:pPr>
      <w:r>
        <w:rPr>
          <w:b w:val="0"/>
          <w:sz w:val="20"/>
        </w:rPr>
        <w:t>These changes will improve</w:t>
      </w:r>
      <w:r w:rsidR="000E4784">
        <w:rPr>
          <w:b w:val="0"/>
          <w:sz w:val="20"/>
        </w:rPr>
        <w:t xml:space="preserve"> the</w:t>
      </w:r>
      <w:r>
        <w:rPr>
          <w:b w:val="0"/>
          <w:sz w:val="20"/>
        </w:rPr>
        <w:t xml:space="preserve"> transparency surrounding the NTC’s work in harmonising road rules. </w:t>
      </w:r>
      <w:r w:rsidR="004203F7">
        <w:rPr>
          <w:b w:val="0"/>
          <w:sz w:val="20"/>
        </w:rPr>
        <w:t xml:space="preserve">The ATA </w:t>
      </w:r>
      <w:r>
        <w:rPr>
          <w:b w:val="0"/>
          <w:sz w:val="20"/>
        </w:rPr>
        <w:t>endorses</w:t>
      </w:r>
      <w:r w:rsidR="004203F7">
        <w:rPr>
          <w:b w:val="0"/>
          <w:sz w:val="20"/>
        </w:rPr>
        <w:t xml:space="preserve"> the NTC draft </w:t>
      </w:r>
      <w:r>
        <w:rPr>
          <w:b w:val="0"/>
          <w:sz w:val="20"/>
        </w:rPr>
        <w:t>recommendations</w:t>
      </w:r>
      <w:r w:rsidR="004203F7">
        <w:rPr>
          <w:b w:val="0"/>
          <w:sz w:val="20"/>
        </w:rPr>
        <w:t xml:space="preserve"> 6 and 7. </w:t>
      </w:r>
    </w:p>
    <w:p w:rsidR="00F22477" w:rsidRDefault="00F22477" w:rsidP="00E672D8">
      <w:pPr>
        <w:pStyle w:val="BodyText2"/>
        <w:spacing w:line="269" w:lineRule="auto"/>
        <w:rPr>
          <w:b w:val="0"/>
          <w:sz w:val="20"/>
        </w:rPr>
      </w:pPr>
    </w:p>
    <w:p w:rsidR="00F22477" w:rsidRPr="00317A4F" w:rsidRDefault="00F22477" w:rsidP="00E672D8">
      <w:pPr>
        <w:pStyle w:val="Heading1"/>
        <w:numPr>
          <w:ilvl w:val="1"/>
          <w:numId w:val="6"/>
        </w:numPr>
      </w:pPr>
      <w:bookmarkStart w:id="9" w:name="_Toc363718942"/>
      <w:r w:rsidRPr="00317A4F">
        <w:t>Performance based, prescriptive or advisory rules</w:t>
      </w:r>
      <w:bookmarkEnd w:id="9"/>
      <w:r w:rsidRPr="00317A4F">
        <w:t xml:space="preserve"> </w:t>
      </w:r>
    </w:p>
    <w:p w:rsidR="00F22477" w:rsidRDefault="00F22477" w:rsidP="00E672D8">
      <w:pPr>
        <w:pStyle w:val="BodyText2"/>
        <w:spacing w:line="269" w:lineRule="auto"/>
        <w:rPr>
          <w:b w:val="0"/>
          <w:sz w:val="20"/>
        </w:rPr>
      </w:pPr>
    </w:p>
    <w:p w:rsidR="00F22477" w:rsidRDefault="00F22477" w:rsidP="00E672D8">
      <w:pPr>
        <w:pStyle w:val="BodyText2"/>
        <w:spacing w:line="269" w:lineRule="auto"/>
        <w:rPr>
          <w:b w:val="0"/>
          <w:sz w:val="20"/>
        </w:rPr>
      </w:pPr>
      <w:r>
        <w:rPr>
          <w:b w:val="0"/>
          <w:sz w:val="20"/>
        </w:rPr>
        <w:t xml:space="preserve">As stated in the previous ATA submission, prescriptive rules provide drivers and enforcement with defined rules that explain offences better to drivers and do not present the vagueness </w:t>
      </w:r>
      <w:r w:rsidR="000E4784">
        <w:rPr>
          <w:b w:val="0"/>
          <w:sz w:val="20"/>
        </w:rPr>
        <w:t xml:space="preserve">of </w:t>
      </w:r>
      <w:r>
        <w:rPr>
          <w:b w:val="0"/>
          <w:sz w:val="20"/>
        </w:rPr>
        <w:t xml:space="preserve">performance based rules. </w:t>
      </w:r>
    </w:p>
    <w:p w:rsidR="00AF6990" w:rsidRDefault="00AF6990" w:rsidP="00E672D8">
      <w:pPr>
        <w:pStyle w:val="BodyText2"/>
        <w:spacing w:line="269" w:lineRule="auto"/>
        <w:rPr>
          <w:b w:val="0"/>
          <w:sz w:val="20"/>
        </w:rPr>
      </w:pPr>
    </w:p>
    <w:p w:rsidR="005B5B0B" w:rsidRDefault="005B5B0B" w:rsidP="00E672D8">
      <w:pPr>
        <w:pStyle w:val="BodyText2"/>
        <w:spacing w:line="269" w:lineRule="auto"/>
        <w:rPr>
          <w:b w:val="0"/>
          <w:sz w:val="20"/>
        </w:rPr>
      </w:pPr>
    </w:p>
    <w:p w:rsidR="00AF6990" w:rsidRDefault="00AF6990" w:rsidP="00E672D8">
      <w:pPr>
        <w:pStyle w:val="BodyText2"/>
        <w:spacing w:line="269" w:lineRule="auto"/>
        <w:rPr>
          <w:b w:val="0"/>
          <w:sz w:val="20"/>
        </w:rPr>
      </w:pPr>
    </w:p>
    <w:p w:rsidR="00AF6990" w:rsidRDefault="00AF6990" w:rsidP="00E672D8">
      <w:pPr>
        <w:pStyle w:val="BodyText2"/>
        <w:spacing w:line="269" w:lineRule="auto"/>
        <w:rPr>
          <w:b w:val="0"/>
          <w:sz w:val="20"/>
        </w:rPr>
      </w:pPr>
    </w:p>
    <w:p w:rsidR="00AF6990" w:rsidRDefault="00AF6990" w:rsidP="00E672D8">
      <w:pPr>
        <w:pStyle w:val="BodyText2"/>
        <w:spacing w:line="269" w:lineRule="auto"/>
        <w:rPr>
          <w:b w:val="0"/>
          <w:sz w:val="20"/>
        </w:rPr>
      </w:pPr>
    </w:p>
    <w:p w:rsidR="004203F7" w:rsidRDefault="004203F7" w:rsidP="00E672D8">
      <w:pPr>
        <w:pStyle w:val="BodyText2"/>
        <w:spacing w:line="269" w:lineRule="auto"/>
        <w:rPr>
          <w:b w:val="0"/>
          <w:sz w:val="20"/>
        </w:rPr>
      </w:pPr>
    </w:p>
    <w:p w:rsidR="004203F7" w:rsidRPr="00585DB0" w:rsidRDefault="004203F7" w:rsidP="00E672D8">
      <w:pPr>
        <w:pStyle w:val="Heading1"/>
        <w:numPr>
          <w:ilvl w:val="1"/>
          <w:numId w:val="6"/>
        </w:numPr>
      </w:pPr>
      <w:bookmarkStart w:id="10" w:name="_Toc363718943"/>
      <w:r w:rsidRPr="00585DB0">
        <w:lastRenderedPageBreak/>
        <w:t>Industry experience with the National Heavy Vehicle Regulator</w:t>
      </w:r>
      <w:bookmarkEnd w:id="10"/>
    </w:p>
    <w:p w:rsidR="004203F7" w:rsidRDefault="004203F7" w:rsidP="00E672D8">
      <w:pPr>
        <w:pStyle w:val="BodyText2"/>
        <w:spacing w:line="269" w:lineRule="auto"/>
        <w:rPr>
          <w:b w:val="0"/>
          <w:sz w:val="20"/>
        </w:rPr>
      </w:pPr>
    </w:p>
    <w:p w:rsidR="004203F7" w:rsidRDefault="004203F7" w:rsidP="00E672D8">
      <w:pPr>
        <w:pStyle w:val="BodyText2"/>
        <w:spacing w:line="269" w:lineRule="auto"/>
        <w:rPr>
          <w:b w:val="0"/>
          <w:sz w:val="20"/>
        </w:rPr>
      </w:pPr>
      <w:r>
        <w:rPr>
          <w:b w:val="0"/>
          <w:sz w:val="20"/>
        </w:rPr>
        <w:t>The ATA has supported national consistency in road rule</w:t>
      </w:r>
      <w:r w:rsidR="00317A4F">
        <w:rPr>
          <w:b w:val="0"/>
          <w:sz w:val="20"/>
        </w:rPr>
        <w:t xml:space="preserve">s. The creation of the NHVR </w:t>
      </w:r>
      <w:r>
        <w:rPr>
          <w:b w:val="0"/>
          <w:sz w:val="20"/>
        </w:rPr>
        <w:t xml:space="preserve">is set to harmonise heavy vehicle national law and be a one stop shop for heavy vehicle related issues such as access permits.  </w:t>
      </w:r>
    </w:p>
    <w:p w:rsidR="004203F7" w:rsidRDefault="004203F7" w:rsidP="00E672D8">
      <w:pPr>
        <w:pStyle w:val="BodyText2"/>
        <w:spacing w:line="269" w:lineRule="auto"/>
        <w:rPr>
          <w:b w:val="0"/>
          <w:sz w:val="20"/>
        </w:rPr>
      </w:pPr>
    </w:p>
    <w:p w:rsidR="004203F7" w:rsidRDefault="004203F7" w:rsidP="00E672D8">
      <w:pPr>
        <w:pStyle w:val="BodyText2"/>
        <w:spacing w:line="269" w:lineRule="auto"/>
        <w:rPr>
          <w:b w:val="0"/>
          <w:sz w:val="20"/>
        </w:rPr>
      </w:pPr>
      <w:r>
        <w:rPr>
          <w:b w:val="0"/>
          <w:sz w:val="20"/>
        </w:rPr>
        <w:t>The industry has embraced the concept o</w:t>
      </w:r>
      <w:r w:rsidR="00317A4F">
        <w:rPr>
          <w:b w:val="0"/>
          <w:sz w:val="20"/>
        </w:rPr>
        <w:t>f</w:t>
      </w:r>
      <w:r>
        <w:rPr>
          <w:b w:val="0"/>
          <w:sz w:val="20"/>
        </w:rPr>
        <w:t xml:space="preserve"> the NHVR, given the frustrating process which existed operators had to deal with individual states in laws and application processes. </w:t>
      </w:r>
    </w:p>
    <w:p w:rsidR="004203F7" w:rsidRDefault="004203F7" w:rsidP="00E672D8">
      <w:pPr>
        <w:pStyle w:val="BodyText2"/>
        <w:spacing w:line="269" w:lineRule="auto"/>
        <w:rPr>
          <w:b w:val="0"/>
          <w:sz w:val="20"/>
        </w:rPr>
      </w:pPr>
    </w:p>
    <w:p w:rsidR="004203F7" w:rsidRDefault="004203F7" w:rsidP="00E672D8">
      <w:pPr>
        <w:pStyle w:val="BodyText2"/>
        <w:spacing w:line="269" w:lineRule="auto"/>
        <w:rPr>
          <w:b w:val="0"/>
          <w:sz w:val="20"/>
        </w:rPr>
      </w:pPr>
      <w:r w:rsidRPr="00140514">
        <w:rPr>
          <w:b w:val="0"/>
          <w:sz w:val="20"/>
        </w:rPr>
        <w:t>NHVR is enacted through an applied law approach</w:t>
      </w:r>
      <w:r w:rsidR="00513833" w:rsidRPr="00140514">
        <w:rPr>
          <w:b w:val="0"/>
          <w:sz w:val="20"/>
        </w:rPr>
        <w:t>, which has proved to be moderately successful.</w:t>
      </w:r>
      <w:r>
        <w:rPr>
          <w:b w:val="0"/>
          <w:sz w:val="20"/>
        </w:rPr>
        <w:t xml:space="preserve"> However, one state</w:t>
      </w:r>
      <w:r w:rsidR="001A2016">
        <w:rPr>
          <w:b w:val="0"/>
          <w:sz w:val="20"/>
        </w:rPr>
        <w:t>,</w:t>
      </w:r>
      <w:r>
        <w:rPr>
          <w:b w:val="0"/>
          <w:sz w:val="20"/>
        </w:rPr>
        <w:t xml:space="preserve"> </w:t>
      </w:r>
      <w:r w:rsidR="00D40343" w:rsidRPr="00434BEC">
        <w:rPr>
          <w:b w:val="0"/>
          <w:sz w:val="20"/>
        </w:rPr>
        <w:t>W</w:t>
      </w:r>
      <w:r w:rsidR="00434BEC" w:rsidRPr="00434BEC">
        <w:rPr>
          <w:b w:val="0"/>
          <w:sz w:val="20"/>
        </w:rPr>
        <w:t>estern Australia</w:t>
      </w:r>
      <w:r w:rsidR="001A2016">
        <w:rPr>
          <w:b w:val="0"/>
          <w:sz w:val="20"/>
        </w:rPr>
        <w:t>,</w:t>
      </w:r>
      <w:r w:rsidR="00D40343">
        <w:rPr>
          <w:b w:val="0"/>
          <w:sz w:val="20"/>
        </w:rPr>
        <w:t xml:space="preserve"> </w:t>
      </w:r>
      <w:r>
        <w:rPr>
          <w:b w:val="0"/>
          <w:sz w:val="20"/>
        </w:rPr>
        <w:t xml:space="preserve">has not signed the intergovernmental agreement </w:t>
      </w:r>
      <w:r w:rsidR="000E4784">
        <w:rPr>
          <w:b w:val="0"/>
          <w:sz w:val="20"/>
        </w:rPr>
        <w:t xml:space="preserve">and this </w:t>
      </w:r>
      <w:r>
        <w:rPr>
          <w:b w:val="0"/>
          <w:sz w:val="20"/>
        </w:rPr>
        <w:t xml:space="preserve">limits the </w:t>
      </w:r>
      <w:r w:rsidR="000E4784">
        <w:rPr>
          <w:b w:val="0"/>
          <w:sz w:val="20"/>
        </w:rPr>
        <w:t xml:space="preserve">future </w:t>
      </w:r>
      <w:r>
        <w:rPr>
          <w:b w:val="0"/>
          <w:sz w:val="20"/>
        </w:rPr>
        <w:t xml:space="preserve">success of the NHVR and the </w:t>
      </w:r>
      <w:r w:rsidR="000E4784">
        <w:rPr>
          <w:b w:val="0"/>
          <w:sz w:val="20"/>
        </w:rPr>
        <w:t xml:space="preserve">full national </w:t>
      </w:r>
      <w:r>
        <w:rPr>
          <w:b w:val="0"/>
          <w:sz w:val="20"/>
        </w:rPr>
        <w:t xml:space="preserve">harmonisation of heavy vehicle laws and applications for the industry. </w:t>
      </w:r>
    </w:p>
    <w:p w:rsidR="004203F7" w:rsidRDefault="004203F7" w:rsidP="00E672D8">
      <w:pPr>
        <w:pStyle w:val="BodyText2"/>
        <w:spacing w:line="269" w:lineRule="auto"/>
        <w:rPr>
          <w:b w:val="0"/>
          <w:sz w:val="20"/>
        </w:rPr>
      </w:pPr>
    </w:p>
    <w:p w:rsidR="004203F7" w:rsidRPr="00434BEC" w:rsidRDefault="004203F7" w:rsidP="00E672D8">
      <w:pPr>
        <w:pStyle w:val="BodyText2"/>
        <w:spacing w:line="269" w:lineRule="auto"/>
        <w:rPr>
          <w:b w:val="0"/>
          <w:sz w:val="20"/>
        </w:rPr>
      </w:pPr>
      <w:r w:rsidRPr="00434BEC">
        <w:rPr>
          <w:b w:val="0"/>
          <w:sz w:val="20"/>
        </w:rPr>
        <w:t>The applied law approach has given states and territories flexibility to stick to specific state laws. For instance</w:t>
      </w:r>
      <w:r w:rsidR="00434BEC">
        <w:rPr>
          <w:b w:val="0"/>
          <w:sz w:val="20"/>
        </w:rPr>
        <w:t>,</w:t>
      </w:r>
      <w:r w:rsidRPr="00434BEC">
        <w:rPr>
          <w:b w:val="0"/>
          <w:sz w:val="20"/>
        </w:rPr>
        <w:t xml:space="preserve"> NSW has </w:t>
      </w:r>
      <w:r w:rsidR="00D40343" w:rsidRPr="00434BEC">
        <w:rPr>
          <w:b w:val="0"/>
          <w:sz w:val="20"/>
        </w:rPr>
        <w:t>retained a unique speed limiter fault deeming provision</w:t>
      </w:r>
      <w:r w:rsidR="008646AB">
        <w:rPr>
          <w:b w:val="0"/>
          <w:sz w:val="20"/>
        </w:rPr>
        <w:t xml:space="preserve"> - </w:t>
      </w:r>
      <w:r w:rsidR="00D40343" w:rsidRPr="00434BEC">
        <w:rPr>
          <w:b w:val="0"/>
          <w:sz w:val="20"/>
        </w:rPr>
        <w:t xml:space="preserve">outside nationally agreed policy. </w:t>
      </w:r>
      <w:r w:rsidRPr="00434BEC">
        <w:rPr>
          <w:b w:val="0"/>
          <w:sz w:val="20"/>
        </w:rPr>
        <w:t xml:space="preserve"> While this is not an outcome</w:t>
      </w:r>
      <w:r w:rsidR="008646AB">
        <w:rPr>
          <w:b w:val="0"/>
          <w:sz w:val="20"/>
        </w:rPr>
        <w:t xml:space="preserve"> that</w:t>
      </w:r>
      <w:r w:rsidRPr="00434BEC">
        <w:rPr>
          <w:b w:val="0"/>
          <w:sz w:val="20"/>
        </w:rPr>
        <w:t xml:space="preserve"> industry support</w:t>
      </w:r>
      <w:r w:rsidR="00D40343" w:rsidRPr="00434BEC">
        <w:rPr>
          <w:b w:val="0"/>
          <w:sz w:val="20"/>
        </w:rPr>
        <w:t>s</w:t>
      </w:r>
      <w:r w:rsidR="001A2016">
        <w:rPr>
          <w:b w:val="0"/>
          <w:sz w:val="20"/>
        </w:rPr>
        <w:t>, t</w:t>
      </w:r>
      <w:r w:rsidR="00D40343" w:rsidRPr="00434BEC">
        <w:rPr>
          <w:b w:val="0"/>
          <w:sz w:val="20"/>
        </w:rPr>
        <w:t>h</w:t>
      </w:r>
      <w:r w:rsidRPr="00434BEC">
        <w:rPr>
          <w:b w:val="0"/>
          <w:sz w:val="20"/>
        </w:rPr>
        <w:t xml:space="preserve">e applied law approach has not stopped NSW from implementing </w:t>
      </w:r>
      <w:r w:rsidR="008646AB">
        <w:rPr>
          <w:b w:val="0"/>
          <w:sz w:val="20"/>
        </w:rPr>
        <w:t>this</w:t>
      </w:r>
      <w:r w:rsidR="008646AB" w:rsidRPr="00434BEC">
        <w:rPr>
          <w:b w:val="0"/>
          <w:sz w:val="20"/>
        </w:rPr>
        <w:t xml:space="preserve"> </w:t>
      </w:r>
      <w:r w:rsidR="008646AB">
        <w:rPr>
          <w:b w:val="0"/>
          <w:sz w:val="20"/>
        </w:rPr>
        <w:t>variation</w:t>
      </w:r>
      <w:r w:rsidRPr="00434BEC">
        <w:rPr>
          <w:b w:val="0"/>
          <w:sz w:val="20"/>
        </w:rPr>
        <w:t>.</w:t>
      </w:r>
      <w:r w:rsidR="00D40343" w:rsidRPr="00434BEC">
        <w:rPr>
          <w:b w:val="0"/>
          <w:sz w:val="20"/>
        </w:rPr>
        <w:t xml:space="preserve"> However, only two truck</w:t>
      </w:r>
      <w:r w:rsidR="008646AB">
        <w:rPr>
          <w:b w:val="0"/>
          <w:sz w:val="20"/>
        </w:rPr>
        <w:t>-</w:t>
      </w:r>
      <w:r w:rsidR="00D40343" w:rsidRPr="00434BEC">
        <w:rPr>
          <w:b w:val="0"/>
          <w:sz w:val="20"/>
        </w:rPr>
        <w:t>related differences now</w:t>
      </w:r>
      <w:r w:rsidR="008646AB">
        <w:rPr>
          <w:b w:val="0"/>
          <w:sz w:val="20"/>
        </w:rPr>
        <w:t xml:space="preserve"> remain</w:t>
      </w:r>
      <w:r w:rsidR="00D40343" w:rsidRPr="00434BEC">
        <w:rPr>
          <w:b w:val="0"/>
          <w:sz w:val="20"/>
        </w:rPr>
        <w:t xml:space="preserve">, which is far </w:t>
      </w:r>
      <w:r w:rsidR="008646AB">
        <w:rPr>
          <w:b w:val="0"/>
          <w:sz w:val="20"/>
        </w:rPr>
        <w:t>fewer</w:t>
      </w:r>
      <w:r w:rsidR="008646AB" w:rsidRPr="00434BEC">
        <w:rPr>
          <w:b w:val="0"/>
          <w:sz w:val="20"/>
        </w:rPr>
        <w:t xml:space="preserve"> </w:t>
      </w:r>
      <w:r w:rsidR="00D40343" w:rsidRPr="00434BEC">
        <w:rPr>
          <w:b w:val="0"/>
          <w:sz w:val="20"/>
        </w:rPr>
        <w:t xml:space="preserve">than </w:t>
      </w:r>
      <w:r w:rsidR="008646AB">
        <w:rPr>
          <w:b w:val="0"/>
          <w:sz w:val="20"/>
        </w:rPr>
        <w:t>before</w:t>
      </w:r>
      <w:r w:rsidR="00D40343" w:rsidRPr="00434BEC">
        <w:rPr>
          <w:b w:val="0"/>
          <w:sz w:val="20"/>
        </w:rPr>
        <w:t>.</w:t>
      </w:r>
      <w:r w:rsidRPr="00434BEC">
        <w:rPr>
          <w:b w:val="0"/>
          <w:sz w:val="20"/>
        </w:rPr>
        <w:t xml:space="preserve">  </w:t>
      </w:r>
    </w:p>
    <w:p w:rsidR="004203F7" w:rsidRDefault="004203F7" w:rsidP="00E672D8">
      <w:pPr>
        <w:pStyle w:val="BodyText2"/>
        <w:spacing w:line="269" w:lineRule="auto"/>
        <w:rPr>
          <w:b w:val="0"/>
          <w:sz w:val="20"/>
        </w:rPr>
      </w:pPr>
    </w:p>
    <w:p w:rsidR="00BB26A0" w:rsidRPr="00F616CC" w:rsidRDefault="00513833" w:rsidP="00E672D8">
      <w:pPr>
        <w:pStyle w:val="BodyText2"/>
        <w:spacing w:line="269" w:lineRule="auto"/>
        <w:rPr>
          <w:b w:val="0"/>
          <w:sz w:val="20"/>
        </w:rPr>
      </w:pPr>
      <w:r w:rsidRPr="00140514">
        <w:rPr>
          <w:b w:val="0"/>
          <w:sz w:val="20"/>
        </w:rPr>
        <w:t xml:space="preserve">Nevertheless, from industry’s perspective, if an applied law approach does not provide a </w:t>
      </w:r>
      <w:r w:rsidR="00140514" w:rsidRPr="00140514">
        <w:rPr>
          <w:b w:val="0"/>
          <w:sz w:val="20"/>
        </w:rPr>
        <w:t>hundred per cent commitment</w:t>
      </w:r>
      <w:r w:rsidRPr="00140514">
        <w:rPr>
          <w:b w:val="0"/>
          <w:sz w:val="20"/>
        </w:rPr>
        <w:t xml:space="preserve"> to the enacted state law, road users will view the mechanism as a failure, and little better than the model law approach</w:t>
      </w:r>
      <w:r w:rsidR="004203F7" w:rsidRPr="00140514">
        <w:rPr>
          <w:b w:val="0"/>
          <w:sz w:val="20"/>
        </w:rPr>
        <w:t xml:space="preserve">. </w:t>
      </w:r>
      <w:bookmarkStart w:id="11" w:name="_Toc306957644"/>
      <w:r w:rsidR="00D40343" w:rsidRPr="00140514">
        <w:rPr>
          <w:b w:val="0"/>
          <w:sz w:val="20"/>
        </w:rPr>
        <w:t>Hence</w:t>
      </w:r>
      <w:r w:rsidR="00D40343" w:rsidRPr="00434BEC">
        <w:rPr>
          <w:b w:val="0"/>
          <w:sz w:val="20"/>
        </w:rPr>
        <w:t>, applied law must be robust</w:t>
      </w:r>
      <w:r w:rsidR="008646AB">
        <w:rPr>
          <w:b w:val="0"/>
          <w:sz w:val="20"/>
        </w:rPr>
        <w:t>, contain only</w:t>
      </w:r>
      <w:r w:rsidR="00D40343" w:rsidRPr="00434BEC">
        <w:rPr>
          <w:b w:val="0"/>
          <w:sz w:val="20"/>
        </w:rPr>
        <w:t xml:space="preserve"> </w:t>
      </w:r>
      <w:r w:rsidR="008646AB" w:rsidRPr="00434BEC">
        <w:rPr>
          <w:b w:val="0"/>
          <w:sz w:val="20"/>
        </w:rPr>
        <w:t xml:space="preserve">justified </w:t>
      </w:r>
      <w:proofErr w:type="gramStart"/>
      <w:r w:rsidR="00D40343" w:rsidRPr="00434BEC">
        <w:rPr>
          <w:b w:val="0"/>
          <w:sz w:val="20"/>
        </w:rPr>
        <w:t>derogations ,</w:t>
      </w:r>
      <w:proofErr w:type="gramEnd"/>
      <w:r w:rsidR="00D40343" w:rsidRPr="00434BEC">
        <w:rPr>
          <w:b w:val="0"/>
          <w:sz w:val="20"/>
        </w:rPr>
        <w:t xml:space="preserve"> transparent and </w:t>
      </w:r>
      <w:r w:rsidR="00F616CC">
        <w:rPr>
          <w:b w:val="0"/>
          <w:sz w:val="20"/>
        </w:rPr>
        <w:t>be</w:t>
      </w:r>
      <w:r w:rsidR="00D40343" w:rsidRPr="00434BEC">
        <w:rPr>
          <w:b w:val="0"/>
          <w:sz w:val="20"/>
        </w:rPr>
        <w:t xml:space="preserve"> fed back into the policy review process</w:t>
      </w:r>
      <w:r w:rsidR="008646AB">
        <w:rPr>
          <w:b w:val="0"/>
          <w:sz w:val="20"/>
        </w:rPr>
        <w:t xml:space="preserve">. In other words, </w:t>
      </w:r>
      <w:r w:rsidR="00D40343" w:rsidRPr="00434BEC">
        <w:rPr>
          <w:b w:val="0"/>
          <w:sz w:val="20"/>
        </w:rPr>
        <w:t>if the derogation is really valid</w:t>
      </w:r>
      <w:r w:rsidR="00F616CC">
        <w:rPr>
          <w:b w:val="0"/>
          <w:sz w:val="20"/>
        </w:rPr>
        <w:t>,</w:t>
      </w:r>
      <w:r w:rsidR="00D40343" w:rsidRPr="00434BEC">
        <w:rPr>
          <w:b w:val="0"/>
          <w:sz w:val="20"/>
        </w:rPr>
        <w:t xml:space="preserve"> why is it not applied law</w:t>
      </w:r>
      <w:r w:rsidR="00140514">
        <w:rPr>
          <w:b w:val="0"/>
          <w:sz w:val="20"/>
        </w:rPr>
        <w:t>?</w:t>
      </w:r>
    </w:p>
    <w:p w:rsidR="00BB26A0" w:rsidRPr="00FC0CFB" w:rsidRDefault="00BB26A0" w:rsidP="00E672D8">
      <w:pPr>
        <w:spacing w:line="269" w:lineRule="auto"/>
        <w:rPr>
          <w:rFonts w:ascii="Arial" w:hAnsi="Arial" w:cs="Arial"/>
          <w:bCs/>
          <w:noProof/>
          <w:color w:val="000000" w:themeColor="text1"/>
          <w:sz w:val="20"/>
          <w:szCs w:val="20"/>
        </w:rPr>
      </w:pPr>
    </w:p>
    <w:p w:rsidR="00805D90" w:rsidRPr="00FC0CFB" w:rsidRDefault="00805D90" w:rsidP="00E672D8">
      <w:pPr>
        <w:pStyle w:val="Heading1"/>
      </w:pPr>
      <w:bookmarkStart w:id="12" w:name="_Toc363718944"/>
      <w:r w:rsidRPr="00FC0CFB">
        <w:t>Conclusion</w:t>
      </w:r>
      <w:bookmarkEnd w:id="12"/>
    </w:p>
    <w:p w:rsidR="00805D90" w:rsidRPr="00FC0CFB" w:rsidRDefault="00805D90" w:rsidP="00E672D8">
      <w:pPr>
        <w:rPr>
          <w:rFonts w:ascii="Arial" w:hAnsi="Arial" w:cs="Arial"/>
        </w:rPr>
      </w:pPr>
    </w:p>
    <w:bookmarkEnd w:id="11"/>
    <w:p w:rsidR="00F22477" w:rsidRPr="00E672D8" w:rsidRDefault="00D95526" w:rsidP="00E672D8">
      <w:pPr>
        <w:pStyle w:val="BodyText2"/>
        <w:spacing w:line="269" w:lineRule="auto"/>
        <w:rPr>
          <w:b w:val="0"/>
          <w:sz w:val="20"/>
        </w:rPr>
      </w:pPr>
      <w:r w:rsidRPr="00E672D8">
        <w:rPr>
          <w:b w:val="0"/>
          <w:sz w:val="20"/>
        </w:rPr>
        <w:t>As noted in this submission, the</w:t>
      </w:r>
      <w:r w:rsidR="00F22477" w:rsidRPr="00E672D8">
        <w:rPr>
          <w:b w:val="0"/>
          <w:sz w:val="20"/>
        </w:rPr>
        <w:t xml:space="preserve"> ATA supports a move to an applied law approach for road rules and vehicle standards</w:t>
      </w:r>
      <w:r w:rsidR="00F616CC" w:rsidRPr="00E672D8">
        <w:rPr>
          <w:b w:val="0"/>
          <w:sz w:val="20"/>
        </w:rPr>
        <w:t>,</w:t>
      </w:r>
      <w:r w:rsidR="00433BE9" w:rsidRPr="00E672D8">
        <w:rPr>
          <w:b w:val="0"/>
          <w:sz w:val="20"/>
        </w:rPr>
        <w:t xml:space="preserve"> as it will produce better road safety outcomes due to consistent rules</w:t>
      </w:r>
      <w:r w:rsidR="008646AB" w:rsidRPr="00E672D8">
        <w:rPr>
          <w:b w:val="0"/>
          <w:sz w:val="20"/>
        </w:rPr>
        <w:t xml:space="preserve"> across the nation</w:t>
      </w:r>
      <w:r w:rsidR="00F22477" w:rsidRPr="00E672D8">
        <w:rPr>
          <w:b w:val="0"/>
          <w:sz w:val="20"/>
        </w:rPr>
        <w:t xml:space="preserve">. However, the fact </w:t>
      </w:r>
      <w:r w:rsidR="008646AB" w:rsidRPr="00E672D8">
        <w:rPr>
          <w:b w:val="0"/>
          <w:sz w:val="20"/>
        </w:rPr>
        <w:t xml:space="preserve">is that </w:t>
      </w:r>
      <w:r w:rsidR="00F22477" w:rsidRPr="00E672D8">
        <w:rPr>
          <w:b w:val="0"/>
          <w:sz w:val="20"/>
        </w:rPr>
        <w:t xml:space="preserve">the road rules and vehicle standard rules were originally </w:t>
      </w:r>
      <w:r w:rsidR="008646AB" w:rsidRPr="00E672D8">
        <w:rPr>
          <w:b w:val="0"/>
          <w:sz w:val="20"/>
        </w:rPr>
        <w:t xml:space="preserve">envisaged </w:t>
      </w:r>
      <w:r w:rsidR="00F22477" w:rsidRPr="00E672D8">
        <w:rPr>
          <w:b w:val="0"/>
          <w:sz w:val="20"/>
        </w:rPr>
        <w:t>as being an applied law approach in 1999</w:t>
      </w:r>
      <w:r w:rsidR="00F616CC" w:rsidRPr="00E672D8">
        <w:rPr>
          <w:b w:val="0"/>
          <w:sz w:val="20"/>
        </w:rPr>
        <w:t>.</w:t>
      </w:r>
      <w:r w:rsidR="00F22477" w:rsidRPr="00E672D8">
        <w:rPr>
          <w:b w:val="0"/>
          <w:sz w:val="20"/>
        </w:rPr>
        <w:t xml:space="preserve"> </w:t>
      </w:r>
      <w:r w:rsidR="00F616CC" w:rsidRPr="00E672D8">
        <w:rPr>
          <w:b w:val="0"/>
          <w:sz w:val="20"/>
        </w:rPr>
        <w:t>This approach</w:t>
      </w:r>
      <w:r w:rsidR="00F22477" w:rsidRPr="00E672D8">
        <w:rPr>
          <w:b w:val="0"/>
          <w:sz w:val="20"/>
        </w:rPr>
        <w:t xml:space="preserve"> had to be abandoned in 2004 due to the majority of states not adopting the applied </w:t>
      </w:r>
      <w:r w:rsidR="00433BE9" w:rsidRPr="00E672D8">
        <w:rPr>
          <w:b w:val="0"/>
          <w:sz w:val="20"/>
        </w:rPr>
        <w:t>approach</w:t>
      </w:r>
      <w:r w:rsidR="00F616CC" w:rsidRPr="00E672D8">
        <w:rPr>
          <w:b w:val="0"/>
          <w:sz w:val="20"/>
        </w:rPr>
        <w:t xml:space="preserve">. </w:t>
      </w:r>
      <w:r w:rsidR="00F22477" w:rsidRPr="00E672D8">
        <w:rPr>
          <w:b w:val="0"/>
          <w:sz w:val="20"/>
        </w:rPr>
        <w:t xml:space="preserve"> </w:t>
      </w:r>
      <w:r w:rsidR="00F616CC" w:rsidRPr="00E672D8">
        <w:rPr>
          <w:b w:val="0"/>
          <w:sz w:val="20"/>
        </w:rPr>
        <w:t>S</w:t>
      </w:r>
      <w:r w:rsidR="00F22477" w:rsidRPr="00E672D8">
        <w:rPr>
          <w:b w:val="0"/>
          <w:sz w:val="20"/>
        </w:rPr>
        <w:t>tates and territories need to</w:t>
      </w:r>
      <w:r w:rsidR="00433BE9" w:rsidRPr="00E672D8">
        <w:rPr>
          <w:b w:val="0"/>
          <w:sz w:val="20"/>
        </w:rPr>
        <w:t xml:space="preserve"> be</w:t>
      </w:r>
      <w:r w:rsidR="00F22477" w:rsidRPr="00E672D8">
        <w:rPr>
          <w:b w:val="0"/>
          <w:sz w:val="20"/>
        </w:rPr>
        <w:t xml:space="preserve"> genuinely </w:t>
      </w:r>
      <w:r w:rsidR="00433BE9" w:rsidRPr="00E672D8">
        <w:rPr>
          <w:b w:val="0"/>
          <w:sz w:val="20"/>
        </w:rPr>
        <w:t>committed</w:t>
      </w:r>
      <w:r w:rsidR="00F22477" w:rsidRPr="00E672D8">
        <w:rPr>
          <w:b w:val="0"/>
          <w:sz w:val="20"/>
        </w:rPr>
        <w:t xml:space="preserve"> to nationa</w:t>
      </w:r>
      <w:r w:rsidR="00762487" w:rsidRPr="00E672D8">
        <w:rPr>
          <w:b w:val="0"/>
          <w:sz w:val="20"/>
        </w:rPr>
        <w:t>l uniformity and their role in</w:t>
      </w:r>
      <w:r w:rsidR="00F22477" w:rsidRPr="00E672D8">
        <w:rPr>
          <w:b w:val="0"/>
          <w:sz w:val="20"/>
        </w:rPr>
        <w:t xml:space="preserve"> national road </w:t>
      </w:r>
      <w:r w:rsidR="00F616CC" w:rsidRPr="00E672D8">
        <w:rPr>
          <w:b w:val="0"/>
          <w:sz w:val="20"/>
        </w:rPr>
        <w:t>safety</w:t>
      </w:r>
      <w:r w:rsidR="00762487" w:rsidRPr="00E672D8">
        <w:rPr>
          <w:b w:val="0"/>
          <w:sz w:val="20"/>
        </w:rPr>
        <w:t xml:space="preserve"> if</w:t>
      </w:r>
      <w:r w:rsidR="00F616CC" w:rsidRPr="00E672D8">
        <w:rPr>
          <w:b w:val="0"/>
          <w:sz w:val="20"/>
        </w:rPr>
        <w:t xml:space="preserve"> the applied law approach is to be successful</w:t>
      </w:r>
      <w:r w:rsidR="00F22477" w:rsidRPr="00E672D8">
        <w:rPr>
          <w:b w:val="0"/>
          <w:sz w:val="20"/>
        </w:rPr>
        <w:t xml:space="preserve">.  </w:t>
      </w:r>
    </w:p>
    <w:p w:rsidR="00F22477" w:rsidRPr="00FC0CFB" w:rsidRDefault="00F22477" w:rsidP="00E672D8">
      <w:pPr>
        <w:autoSpaceDE w:val="0"/>
        <w:autoSpaceDN w:val="0"/>
        <w:adjustRightInd w:val="0"/>
        <w:rPr>
          <w:rFonts w:ascii="Arial" w:hAnsi="Arial" w:cs="Arial"/>
        </w:rPr>
      </w:pPr>
    </w:p>
    <w:p w:rsidR="00140514" w:rsidRDefault="00140514" w:rsidP="00E672D8">
      <w:pPr>
        <w:autoSpaceDE w:val="0"/>
        <w:autoSpaceDN w:val="0"/>
        <w:adjustRightInd w:val="0"/>
        <w:rPr>
          <w:rFonts w:ascii="Arial" w:hAnsi="Arial" w:cs="Arial"/>
        </w:rPr>
      </w:pPr>
      <w:r w:rsidRPr="009925C3">
        <w:rPr>
          <w:rFonts w:ascii="Arial" w:eastAsiaTheme="minorHAnsi" w:hAnsi="Arial" w:cs="Arial"/>
          <w:b/>
          <w:sz w:val="20"/>
          <w:szCs w:val="20"/>
          <w:highlight w:val="white"/>
        </w:rPr>
        <w:t>Recommendation 1</w:t>
      </w:r>
      <w:r>
        <w:rPr>
          <w:rFonts w:ascii="Arial" w:hAnsi="Arial" w:cs="Arial"/>
        </w:rPr>
        <w:t xml:space="preserve"> </w:t>
      </w:r>
    </w:p>
    <w:p w:rsidR="00140514" w:rsidRPr="00806EDF" w:rsidRDefault="00140514" w:rsidP="00E672D8">
      <w:pPr>
        <w:autoSpaceDE w:val="0"/>
        <w:autoSpaceDN w:val="0"/>
        <w:adjustRightInd w:val="0"/>
        <w:rPr>
          <w:rFonts w:ascii="Arial" w:eastAsiaTheme="minorHAnsi" w:hAnsi="Arial" w:cs="Arial"/>
          <w:sz w:val="20"/>
          <w:szCs w:val="20"/>
          <w:highlight w:val="white"/>
        </w:rPr>
      </w:pPr>
    </w:p>
    <w:p w:rsidR="00140514" w:rsidRDefault="00140514" w:rsidP="00E672D8">
      <w:pPr>
        <w:autoSpaceDE w:val="0"/>
        <w:autoSpaceDN w:val="0"/>
        <w:adjustRightInd w:val="0"/>
        <w:rPr>
          <w:rFonts w:ascii="Arial" w:eastAsiaTheme="minorHAnsi" w:hAnsi="Arial" w:cs="Arial"/>
          <w:sz w:val="20"/>
          <w:szCs w:val="20"/>
          <w:highlight w:val="white"/>
        </w:rPr>
      </w:pPr>
      <w:r w:rsidRPr="00806EDF">
        <w:rPr>
          <w:rFonts w:ascii="Arial" w:eastAsiaTheme="minorHAnsi" w:hAnsi="Arial" w:cs="Arial"/>
          <w:sz w:val="20"/>
          <w:szCs w:val="20"/>
          <w:highlight w:val="white"/>
        </w:rPr>
        <w:t xml:space="preserve">The ATA recommends the NTC continue to work towards an applied law approach for Australian Road Rules </w:t>
      </w:r>
      <w:r>
        <w:rPr>
          <w:rFonts w:ascii="Arial" w:eastAsiaTheme="minorHAnsi" w:hAnsi="Arial" w:cs="Arial"/>
          <w:sz w:val="20"/>
          <w:szCs w:val="20"/>
          <w:highlight w:val="white"/>
        </w:rPr>
        <w:t xml:space="preserve">(ARR) </w:t>
      </w:r>
      <w:r w:rsidRPr="00806EDF">
        <w:rPr>
          <w:rFonts w:ascii="Arial" w:eastAsiaTheme="minorHAnsi" w:hAnsi="Arial" w:cs="Arial"/>
          <w:sz w:val="20"/>
          <w:szCs w:val="20"/>
          <w:highlight w:val="white"/>
        </w:rPr>
        <w:t>and Australian Vehicle Standard Rules</w:t>
      </w:r>
      <w:r>
        <w:rPr>
          <w:rFonts w:ascii="Arial" w:eastAsiaTheme="minorHAnsi" w:hAnsi="Arial" w:cs="Arial"/>
          <w:sz w:val="20"/>
          <w:szCs w:val="20"/>
          <w:highlight w:val="white"/>
        </w:rPr>
        <w:t xml:space="preserve"> (AVSR)</w:t>
      </w:r>
      <w:r w:rsidRPr="00806EDF">
        <w:rPr>
          <w:rFonts w:ascii="Arial" w:eastAsiaTheme="minorHAnsi" w:hAnsi="Arial" w:cs="Arial"/>
          <w:sz w:val="20"/>
          <w:szCs w:val="20"/>
          <w:highlight w:val="white"/>
        </w:rPr>
        <w:t xml:space="preserve">. </w:t>
      </w:r>
      <w:r>
        <w:rPr>
          <w:rFonts w:ascii="Arial" w:eastAsiaTheme="minorHAnsi" w:hAnsi="Arial" w:cs="Arial"/>
          <w:sz w:val="20"/>
          <w:szCs w:val="20"/>
          <w:highlight w:val="white"/>
        </w:rPr>
        <w:t xml:space="preserve">An applied law approach will produce better road safety outcomes for Australia. </w:t>
      </w:r>
    </w:p>
    <w:p w:rsidR="00140514" w:rsidRDefault="00140514" w:rsidP="00E672D8">
      <w:pPr>
        <w:autoSpaceDE w:val="0"/>
        <w:autoSpaceDN w:val="0"/>
        <w:adjustRightInd w:val="0"/>
        <w:rPr>
          <w:rFonts w:ascii="Arial" w:eastAsiaTheme="minorHAnsi" w:hAnsi="Arial" w:cs="Arial"/>
          <w:sz w:val="20"/>
          <w:szCs w:val="20"/>
          <w:highlight w:val="white"/>
        </w:rPr>
      </w:pPr>
    </w:p>
    <w:p w:rsidR="00140514" w:rsidRDefault="00140514" w:rsidP="00E672D8">
      <w:pPr>
        <w:autoSpaceDE w:val="0"/>
        <w:autoSpaceDN w:val="0"/>
        <w:adjustRightInd w:val="0"/>
        <w:rPr>
          <w:rFonts w:ascii="Arial" w:eastAsiaTheme="minorHAnsi" w:hAnsi="Arial" w:cs="Arial"/>
          <w:b/>
          <w:sz w:val="20"/>
          <w:szCs w:val="20"/>
          <w:highlight w:val="white"/>
        </w:rPr>
      </w:pPr>
      <w:r w:rsidRPr="009925C3">
        <w:rPr>
          <w:rFonts w:ascii="Arial" w:eastAsiaTheme="minorHAnsi" w:hAnsi="Arial" w:cs="Arial"/>
          <w:b/>
          <w:sz w:val="20"/>
          <w:szCs w:val="20"/>
          <w:highlight w:val="white"/>
        </w:rPr>
        <w:t>Recommendation 2</w:t>
      </w:r>
    </w:p>
    <w:p w:rsidR="00140514" w:rsidRPr="009925C3" w:rsidRDefault="00140514" w:rsidP="00E672D8">
      <w:pPr>
        <w:autoSpaceDE w:val="0"/>
        <w:autoSpaceDN w:val="0"/>
        <w:adjustRightInd w:val="0"/>
        <w:rPr>
          <w:rFonts w:ascii="Arial" w:eastAsiaTheme="minorHAnsi" w:hAnsi="Arial" w:cs="Arial"/>
          <w:b/>
          <w:sz w:val="20"/>
          <w:szCs w:val="20"/>
          <w:highlight w:val="white"/>
        </w:rPr>
      </w:pPr>
    </w:p>
    <w:p w:rsidR="00140514" w:rsidRDefault="00140514" w:rsidP="00E672D8">
      <w:pPr>
        <w:autoSpaceDE w:val="0"/>
        <w:autoSpaceDN w:val="0"/>
        <w:adjustRightInd w:val="0"/>
        <w:rPr>
          <w:rFonts w:ascii="Arial" w:eastAsiaTheme="minorHAnsi" w:hAnsi="Arial" w:cs="Arial"/>
          <w:sz w:val="20"/>
          <w:szCs w:val="20"/>
          <w:highlight w:val="white"/>
        </w:rPr>
      </w:pPr>
      <w:r>
        <w:rPr>
          <w:rFonts w:ascii="Arial" w:eastAsiaTheme="minorHAnsi" w:hAnsi="Arial" w:cs="Arial"/>
          <w:sz w:val="20"/>
          <w:szCs w:val="20"/>
          <w:highlight w:val="white"/>
        </w:rPr>
        <w:t xml:space="preserve">The ATA recommends the NTC not pursue its second draft recommendation and focus instead on the core activity of achieving national uniformity through an applied law approach to ARR and AVSR. </w:t>
      </w:r>
    </w:p>
    <w:p w:rsidR="00140514" w:rsidRDefault="00140514" w:rsidP="00E672D8">
      <w:pPr>
        <w:autoSpaceDE w:val="0"/>
        <w:autoSpaceDN w:val="0"/>
        <w:adjustRightInd w:val="0"/>
        <w:rPr>
          <w:rFonts w:ascii="Arial" w:eastAsiaTheme="minorHAnsi" w:hAnsi="Arial" w:cs="Arial"/>
          <w:sz w:val="20"/>
          <w:szCs w:val="20"/>
          <w:highlight w:val="white"/>
        </w:rPr>
      </w:pPr>
    </w:p>
    <w:p w:rsidR="00140514" w:rsidRPr="00C61603" w:rsidRDefault="00140514" w:rsidP="00E672D8">
      <w:pPr>
        <w:autoSpaceDE w:val="0"/>
        <w:autoSpaceDN w:val="0"/>
        <w:adjustRightInd w:val="0"/>
        <w:rPr>
          <w:rFonts w:ascii="Arial" w:eastAsiaTheme="minorHAnsi" w:hAnsi="Arial" w:cs="Arial"/>
          <w:b/>
          <w:sz w:val="20"/>
          <w:szCs w:val="20"/>
          <w:highlight w:val="white"/>
        </w:rPr>
      </w:pPr>
      <w:r>
        <w:rPr>
          <w:rFonts w:ascii="Arial" w:eastAsiaTheme="minorHAnsi" w:hAnsi="Arial" w:cs="Arial"/>
          <w:b/>
          <w:sz w:val="20"/>
          <w:szCs w:val="20"/>
          <w:highlight w:val="white"/>
        </w:rPr>
        <w:t>Recommendation 3</w:t>
      </w:r>
    </w:p>
    <w:p w:rsidR="00140514" w:rsidRDefault="00140514" w:rsidP="00E672D8">
      <w:pPr>
        <w:autoSpaceDE w:val="0"/>
        <w:autoSpaceDN w:val="0"/>
        <w:adjustRightInd w:val="0"/>
        <w:rPr>
          <w:rFonts w:ascii="Arial" w:eastAsiaTheme="minorHAnsi" w:hAnsi="Arial" w:cs="Arial"/>
          <w:sz w:val="20"/>
          <w:szCs w:val="20"/>
          <w:highlight w:val="white"/>
        </w:rPr>
      </w:pPr>
    </w:p>
    <w:p w:rsidR="00140514" w:rsidRDefault="00140514" w:rsidP="00E672D8">
      <w:pPr>
        <w:autoSpaceDE w:val="0"/>
        <w:autoSpaceDN w:val="0"/>
        <w:adjustRightInd w:val="0"/>
        <w:rPr>
          <w:rFonts w:ascii="Arial" w:eastAsiaTheme="minorHAnsi" w:hAnsi="Arial" w:cs="Arial"/>
          <w:sz w:val="20"/>
          <w:szCs w:val="20"/>
          <w:highlight w:val="white"/>
        </w:rPr>
      </w:pPr>
      <w:r>
        <w:rPr>
          <w:rFonts w:ascii="Arial" w:eastAsiaTheme="minorHAnsi" w:hAnsi="Arial" w:cs="Arial"/>
          <w:sz w:val="20"/>
          <w:szCs w:val="20"/>
          <w:highlight w:val="white"/>
        </w:rPr>
        <w:t xml:space="preserve">The ATA recommends the NTC publish </w:t>
      </w:r>
      <w:r w:rsidRPr="00C61603">
        <w:rPr>
          <w:rFonts w:ascii="Arial" w:eastAsiaTheme="minorHAnsi" w:hAnsi="Arial" w:cs="Arial"/>
          <w:sz w:val="20"/>
          <w:szCs w:val="20"/>
          <w:highlight w:val="white"/>
        </w:rPr>
        <w:t xml:space="preserve">its </w:t>
      </w:r>
      <w:r>
        <w:rPr>
          <w:rFonts w:ascii="Arial" w:eastAsiaTheme="minorHAnsi" w:hAnsi="Arial" w:cs="Arial"/>
          <w:sz w:val="20"/>
          <w:szCs w:val="20"/>
          <w:highlight w:val="white"/>
        </w:rPr>
        <w:t>forward</w:t>
      </w:r>
      <w:r w:rsidRPr="00C61603">
        <w:rPr>
          <w:rFonts w:ascii="Arial" w:eastAsiaTheme="minorHAnsi" w:hAnsi="Arial" w:cs="Arial"/>
          <w:sz w:val="20"/>
          <w:szCs w:val="20"/>
          <w:highlight w:val="white"/>
        </w:rPr>
        <w:t xml:space="preserve"> maintenance work program</w:t>
      </w:r>
      <w:r>
        <w:rPr>
          <w:rFonts w:ascii="Arial" w:eastAsiaTheme="minorHAnsi" w:hAnsi="Arial" w:cs="Arial"/>
          <w:sz w:val="20"/>
          <w:szCs w:val="20"/>
          <w:highlight w:val="white"/>
        </w:rPr>
        <w:t xml:space="preserve"> in its annual report</w:t>
      </w:r>
      <w:r w:rsidRPr="00C61603">
        <w:rPr>
          <w:rFonts w:ascii="Arial" w:eastAsiaTheme="minorHAnsi" w:hAnsi="Arial" w:cs="Arial"/>
          <w:sz w:val="20"/>
          <w:szCs w:val="20"/>
          <w:highlight w:val="white"/>
        </w:rPr>
        <w:t xml:space="preserve"> and improve stakeholder consultation in the area of road rules.</w:t>
      </w:r>
    </w:p>
    <w:p w:rsidR="00140514" w:rsidRDefault="00140514" w:rsidP="00E672D8">
      <w:pPr>
        <w:autoSpaceDE w:val="0"/>
        <w:autoSpaceDN w:val="0"/>
        <w:adjustRightInd w:val="0"/>
        <w:rPr>
          <w:rFonts w:ascii="Arial" w:eastAsiaTheme="minorHAnsi" w:hAnsi="Arial" w:cs="Arial"/>
          <w:sz w:val="20"/>
          <w:szCs w:val="20"/>
          <w:highlight w:val="white"/>
        </w:rPr>
      </w:pPr>
    </w:p>
    <w:p w:rsidR="00140514" w:rsidRPr="00005632" w:rsidRDefault="00140514" w:rsidP="00E672D8">
      <w:pPr>
        <w:autoSpaceDE w:val="0"/>
        <w:autoSpaceDN w:val="0"/>
        <w:adjustRightInd w:val="0"/>
        <w:rPr>
          <w:rFonts w:ascii="Arial" w:eastAsiaTheme="minorHAnsi" w:hAnsi="Arial" w:cs="Arial"/>
          <w:b/>
          <w:sz w:val="20"/>
          <w:szCs w:val="20"/>
          <w:highlight w:val="white"/>
        </w:rPr>
      </w:pPr>
      <w:r>
        <w:rPr>
          <w:rFonts w:ascii="Arial" w:eastAsiaTheme="minorHAnsi" w:hAnsi="Arial" w:cs="Arial"/>
          <w:b/>
          <w:sz w:val="20"/>
          <w:szCs w:val="20"/>
          <w:highlight w:val="white"/>
        </w:rPr>
        <w:t>Recommendation 4</w:t>
      </w:r>
    </w:p>
    <w:p w:rsidR="00140514" w:rsidRDefault="00140514" w:rsidP="00E672D8">
      <w:pPr>
        <w:autoSpaceDE w:val="0"/>
        <w:autoSpaceDN w:val="0"/>
        <w:adjustRightInd w:val="0"/>
        <w:rPr>
          <w:rFonts w:ascii="Arial" w:eastAsiaTheme="minorHAnsi" w:hAnsi="Arial" w:cs="Arial"/>
          <w:sz w:val="20"/>
          <w:szCs w:val="20"/>
          <w:highlight w:val="white"/>
        </w:rPr>
      </w:pPr>
    </w:p>
    <w:p w:rsidR="00140514" w:rsidRDefault="00140514" w:rsidP="00E672D8">
      <w:pPr>
        <w:autoSpaceDE w:val="0"/>
        <w:autoSpaceDN w:val="0"/>
        <w:adjustRightInd w:val="0"/>
        <w:rPr>
          <w:rFonts w:ascii="Arial" w:eastAsiaTheme="minorHAnsi" w:hAnsi="Arial" w:cs="Arial"/>
          <w:sz w:val="20"/>
          <w:szCs w:val="20"/>
          <w:highlight w:val="white"/>
        </w:rPr>
      </w:pPr>
      <w:r>
        <w:rPr>
          <w:rFonts w:ascii="Arial" w:eastAsiaTheme="minorHAnsi" w:hAnsi="Arial" w:cs="Arial"/>
          <w:sz w:val="20"/>
          <w:szCs w:val="20"/>
          <w:highlight w:val="white"/>
        </w:rPr>
        <w:t xml:space="preserve">The NTC should use the national heavy vehicle regulator model as a mechanism for transitioning to model law to an applied law approach for ARR and AVSR. </w:t>
      </w:r>
    </w:p>
    <w:p w:rsidR="00005632" w:rsidRDefault="00005632" w:rsidP="00E672D8">
      <w:pPr>
        <w:autoSpaceDE w:val="0"/>
        <w:autoSpaceDN w:val="0"/>
        <w:adjustRightInd w:val="0"/>
        <w:rPr>
          <w:rFonts w:ascii="Arial" w:eastAsiaTheme="minorHAnsi" w:hAnsi="Arial" w:cs="Arial"/>
          <w:sz w:val="20"/>
          <w:szCs w:val="20"/>
          <w:highlight w:val="white"/>
        </w:rPr>
      </w:pPr>
    </w:p>
    <w:p w:rsidR="006E301C" w:rsidRDefault="006E301C" w:rsidP="00E672D8">
      <w:pPr>
        <w:autoSpaceDE w:val="0"/>
        <w:autoSpaceDN w:val="0"/>
        <w:adjustRightInd w:val="0"/>
        <w:rPr>
          <w:rFonts w:ascii="Arial" w:eastAsiaTheme="minorHAnsi" w:hAnsi="Arial" w:cs="Arial"/>
          <w:sz w:val="20"/>
          <w:szCs w:val="20"/>
          <w:highlight w:val="white"/>
        </w:rPr>
      </w:pPr>
    </w:p>
    <w:p w:rsidR="006E301C" w:rsidRDefault="006E301C" w:rsidP="00E672D8">
      <w:pPr>
        <w:autoSpaceDE w:val="0"/>
        <w:autoSpaceDN w:val="0"/>
        <w:adjustRightInd w:val="0"/>
        <w:rPr>
          <w:rFonts w:ascii="Arial" w:eastAsiaTheme="minorHAnsi" w:hAnsi="Arial" w:cs="Arial"/>
          <w:sz w:val="20"/>
          <w:szCs w:val="20"/>
          <w:highlight w:val="white"/>
        </w:rPr>
      </w:pPr>
    </w:p>
    <w:p w:rsidR="00005632" w:rsidRPr="00806EDF" w:rsidRDefault="00005632" w:rsidP="00E672D8">
      <w:pPr>
        <w:autoSpaceDE w:val="0"/>
        <w:autoSpaceDN w:val="0"/>
        <w:adjustRightInd w:val="0"/>
        <w:rPr>
          <w:rFonts w:ascii="Arial" w:eastAsiaTheme="minorHAnsi" w:hAnsi="Arial" w:cs="Arial"/>
          <w:sz w:val="20"/>
          <w:szCs w:val="20"/>
          <w:highlight w:val="white"/>
        </w:rPr>
      </w:pPr>
    </w:p>
    <w:sectPr w:rsidR="00005632" w:rsidRPr="00806EDF" w:rsidSect="00382CE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B0B" w:rsidRDefault="005B5B0B" w:rsidP="00805D90">
      <w:r>
        <w:separator/>
      </w:r>
    </w:p>
  </w:endnote>
  <w:endnote w:type="continuationSeparator" w:id="0">
    <w:p w:rsidR="005B5B0B" w:rsidRDefault="005B5B0B" w:rsidP="00805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0B" w:rsidRDefault="005B5B0B" w:rsidP="00382CED">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5B5B0B" w:rsidRPr="00E8056B" w:rsidRDefault="005B5B0B" w:rsidP="00382CED">
    <w:pPr>
      <w:jc w:val="right"/>
      <w:rPr>
        <w:rFonts w:ascii="Arial" w:hAnsi="Arial" w:cs="Arial"/>
        <w:sz w:val="16"/>
        <w:szCs w:val="16"/>
      </w:rPr>
    </w:pPr>
  </w:p>
  <w:p w:rsidR="005B5B0B" w:rsidRPr="00E8056B" w:rsidRDefault="005B5B0B" w:rsidP="00382CED">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5B5B0B" w:rsidRPr="00E8056B" w:rsidRDefault="005B5B0B" w:rsidP="00382CED">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0B" w:rsidRDefault="00B458E6">
    <w:pPr>
      <w:pStyle w:val="Footer"/>
      <w:jc w:val="right"/>
    </w:pPr>
    <w:fldSimple w:instr=" PAGE   \* MERGEFORMAT ">
      <w:r w:rsidR="005B5B0B">
        <w:rPr>
          <w:noProof/>
        </w:rPr>
        <w:t>7</w:t>
      </w:r>
    </w:fldSimple>
  </w:p>
  <w:p w:rsidR="005B5B0B" w:rsidRDefault="005B5B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0B" w:rsidRDefault="005B5B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5B5B0B" w:rsidRPr="00A91411" w:rsidTr="00382CED">
      <w:trPr>
        <w:trHeight w:val="278"/>
      </w:trPr>
      <w:tc>
        <w:tcPr>
          <w:tcW w:w="4927" w:type="dxa"/>
          <w:vAlign w:val="center"/>
        </w:tcPr>
        <w:p w:rsidR="005B5B0B" w:rsidRPr="00A91411" w:rsidRDefault="005B5B0B" w:rsidP="00FE0E51">
          <w:pPr>
            <w:pStyle w:val="Footer"/>
            <w:rPr>
              <w:rFonts w:ascii="Arial" w:hAnsi="Arial" w:cs="Arial"/>
              <w:sz w:val="14"/>
              <w:szCs w:val="14"/>
            </w:rPr>
          </w:pPr>
          <w:r>
            <w:rPr>
              <w:rFonts w:ascii="Arial" w:hAnsi="Arial" w:cs="Arial"/>
              <w:sz w:val="14"/>
              <w:szCs w:val="14"/>
            </w:rPr>
            <w:t xml:space="preserve">ATA Submission: NTC Review of the Australian Road Rules and Vehicle Standards Rules </w:t>
          </w:r>
        </w:p>
      </w:tc>
      <w:tc>
        <w:tcPr>
          <w:tcW w:w="4927" w:type="dxa"/>
          <w:vAlign w:val="center"/>
        </w:tcPr>
        <w:p w:rsidR="005B5B0B" w:rsidRPr="00A91411" w:rsidRDefault="005B5B0B" w:rsidP="00382CED">
          <w:pPr>
            <w:pStyle w:val="Footer"/>
            <w:jc w:val="right"/>
            <w:rPr>
              <w:rFonts w:ascii="Arial" w:hAnsi="Arial" w:cs="Arial"/>
              <w:sz w:val="14"/>
              <w:szCs w:val="14"/>
            </w:rPr>
          </w:pPr>
          <w:r w:rsidRPr="00A91411">
            <w:rPr>
              <w:rFonts w:ascii="Arial" w:hAnsi="Arial" w:cs="Arial"/>
              <w:sz w:val="14"/>
              <w:szCs w:val="14"/>
            </w:rPr>
            <w:t xml:space="preserve">Page </w:t>
          </w:r>
          <w:r w:rsidR="00B458E6"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B458E6" w:rsidRPr="00A91411">
            <w:rPr>
              <w:rFonts w:ascii="Arial" w:hAnsi="Arial" w:cs="Arial"/>
              <w:sz w:val="14"/>
              <w:szCs w:val="14"/>
            </w:rPr>
            <w:fldChar w:fldCharType="separate"/>
          </w:r>
          <w:r w:rsidR="00FE548F">
            <w:rPr>
              <w:rFonts w:ascii="Arial" w:hAnsi="Arial" w:cs="Arial"/>
              <w:noProof/>
              <w:sz w:val="14"/>
              <w:szCs w:val="14"/>
            </w:rPr>
            <w:t>2</w:t>
          </w:r>
          <w:r w:rsidR="00B458E6" w:rsidRPr="00A91411">
            <w:rPr>
              <w:rFonts w:ascii="Arial" w:hAnsi="Arial" w:cs="Arial"/>
              <w:sz w:val="14"/>
              <w:szCs w:val="14"/>
            </w:rPr>
            <w:fldChar w:fldCharType="end"/>
          </w:r>
        </w:p>
      </w:tc>
    </w:tr>
  </w:tbl>
  <w:p w:rsidR="005B5B0B" w:rsidRPr="00A91411" w:rsidRDefault="005B5B0B">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0B" w:rsidRDefault="005B5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B0B" w:rsidRDefault="005B5B0B" w:rsidP="00805D90">
      <w:r>
        <w:separator/>
      </w:r>
    </w:p>
  </w:footnote>
  <w:footnote w:type="continuationSeparator" w:id="0">
    <w:p w:rsidR="005B5B0B" w:rsidRDefault="005B5B0B" w:rsidP="00805D90">
      <w:r>
        <w:continuationSeparator/>
      </w:r>
    </w:p>
  </w:footnote>
  <w:footnote w:id="1">
    <w:p w:rsidR="005B5B0B" w:rsidRPr="00E672D8" w:rsidRDefault="005B5B0B">
      <w:pPr>
        <w:pStyle w:val="FootnoteText"/>
        <w:rPr>
          <w:sz w:val="16"/>
          <w:szCs w:val="16"/>
        </w:rPr>
      </w:pPr>
      <w:r w:rsidRPr="00E672D8">
        <w:rPr>
          <w:rStyle w:val="FootnoteReference"/>
          <w:sz w:val="16"/>
          <w:szCs w:val="16"/>
        </w:rPr>
        <w:footnoteRef/>
      </w:r>
      <w:r w:rsidRPr="00E672D8">
        <w:rPr>
          <w:sz w:val="16"/>
          <w:szCs w:val="16"/>
        </w:rPr>
        <w:t xml:space="preserve"> Page 16 - NTC Review of the Australian Road Rules and Vehicle Standards Rules 2013</w:t>
      </w:r>
    </w:p>
  </w:footnote>
  <w:footnote w:id="2">
    <w:p w:rsidR="005B5B0B" w:rsidRPr="00E672D8" w:rsidRDefault="005B5B0B" w:rsidP="009B2006">
      <w:pPr>
        <w:pStyle w:val="FootnoteText"/>
        <w:rPr>
          <w:sz w:val="16"/>
          <w:szCs w:val="16"/>
        </w:rPr>
      </w:pPr>
      <w:r w:rsidRPr="00E672D8">
        <w:rPr>
          <w:rStyle w:val="FootnoteReference"/>
          <w:sz w:val="16"/>
          <w:szCs w:val="16"/>
        </w:rPr>
        <w:footnoteRef/>
      </w:r>
      <w:r w:rsidRPr="00E672D8">
        <w:rPr>
          <w:sz w:val="16"/>
          <w:szCs w:val="16"/>
        </w:rPr>
        <w:t xml:space="preserve"> Page 30 - NTC Review of the Australian Road Rules and Vehicle Standards Rules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0B" w:rsidRPr="00E8056B" w:rsidRDefault="005B5B0B" w:rsidP="00382CED">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5B5B0B" w:rsidRDefault="005B5B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0B" w:rsidRDefault="005B5B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0B" w:rsidRPr="0019542E" w:rsidRDefault="005B5B0B" w:rsidP="00382CED">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0B" w:rsidRDefault="005B5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1AB3"/>
    <w:multiLevelType w:val="hybridMultilevel"/>
    <w:tmpl w:val="8F6833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F7613A"/>
    <w:multiLevelType w:val="hybridMultilevel"/>
    <w:tmpl w:val="2A520BFA"/>
    <w:lvl w:ilvl="0" w:tplc="779E42A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B972BC"/>
    <w:multiLevelType w:val="multilevel"/>
    <w:tmpl w:val="DE0E451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B592071"/>
    <w:multiLevelType w:val="hybridMultilevel"/>
    <w:tmpl w:val="2E8E50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C672302"/>
    <w:multiLevelType w:val="hybridMultilevel"/>
    <w:tmpl w:val="EA5680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674F1ADA"/>
    <w:multiLevelType w:val="hybridMultilevel"/>
    <w:tmpl w:val="EE025F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E840419"/>
    <w:multiLevelType w:val="hybridMultilevel"/>
    <w:tmpl w:val="DD8CBC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5726E12"/>
    <w:multiLevelType w:val="hybridMultilevel"/>
    <w:tmpl w:val="58B8263A"/>
    <w:lvl w:ilvl="0" w:tplc="0832DDE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4"/>
  </w:num>
  <w:num w:numId="6">
    <w:abstractNumId w:val="2"/>
  </w:num>
  <w:num w:numId="7">
    <w:abstractNumId w:val="3"/>
  </w:num>
  <w:num w:numId="8">
    <w:abstractNumId w:val="1"/>
  </w:num>
  <w:num w:numId="9">
    <w:abstractNumId w:val="8"/>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05D90"/>
    <w:rsid w:val="000026FB"/>
    <w:rsid w:val="00002886"/>
    <w:rsid w:val="00003C1A"/>
    <w:rsid w:val="00003FB1"/>
    <w:rsid w:val="00004EAD"/>
    <w:rsid w:val="00005632"/>
    <w:rsid w:val="00011075"/>
    <w:rsid w:val="00011900"/>
    <w:rsid w:val="00015E72"/>
    <w:rsid w:val="0001704B"/>
    <w:rsid w:val="000217FD"/>
    <w:rsid w:val="00021AE9"/>
    <w:rsid w:val="000305A9"/>
    <w:rsid w:val="0003495C"/>
    <w:rsid w:val="00034B85"/>
    <w:rsid w:val="000354AD"/>
    <w:rsid w:val="00035D57"/>
    <w:rsid w:val="00041DCF"/>
    <w:rsid w:val="00042CED"/>
    <w:rsid w:val="000454A7"/>
    <w:rsid w:val="000469F6"/>
    <w:rsid w:val="0004711F"/>
    <w:rsid w:val="00054260"/>
    <w:rsid w:val="000545DA"/>
    <w:rsid w:val="00060A50"/>
    <w:rsid w:val="00060D2D"/>
    <w:rsid w:val="000625CF"/>
    <w:rsid w:val="00062685"/>
    <w:rsid w:val="00062B87"/>
    <w:rsid w:val="00064937"/>
    <w:rsid w:val="0006519C"/>
    <w:rsid w:val="00067DB3"/>
    <w:rsid w:val="000700C8"/>
    <w:rsid w:val="00071E2F"/>
    <w:rsid w:val="00072DD5"/>
    <w:rsid w:val="00074560"/>
    <w:rsid w:val="000749E1"/>
    <w:rsid w:val="000756C5"/>
    <w:rsid w:val="000757F9"/>
    <w:rsid w:val="00075BB2"/>
    <w:rsid w:val="00077BB9"/>
    <w:rsid w:val="00082853"/>
    <w:rsid w:val="00082D10"/>
    <w:rsid w:val="00082D7B"/>
    <w:rsid w:val="000837B9"/>
    <w:rsid w:val="00083961"/>
    <w:rsid w:val="000840B4"/>
    <w:rsid w:val="00084F15"/>
    <w:rsid w:val="00090617"/>
    <w:rsid w:val="00095046"/>
    <w:rsid w:val="000962C5"/>
    <w:rsid w:val="0009749E"/>
    <w:rsid w:val="000979FD"/>
    <w:rsid w:val="000A2606"/>
    <w:rsid w:val="000A2702"/>
    <w:rsid w:val="000A6054"/>
    <w:rsid w:val="000A656F"/>
    <w:rsid w:val="000B1B3A"/>
    <w:rsid w:val="000B3860"/>
    <w:rsid w:val="000B648A"/>
    <w:rsid w:val="000B6A39"/>
    <w:rsid w:val="000B7ADF"/>
    <w:rsid w:val="000C6132"/>
    <w:rsid w:val="000D01C9"/>
    <w:rsid w:val="000D08AD"/>
    <w:rsid w:val="000D25A2"/>
    <w:rsid w:val="000D2DE9"/>
    <w:rsid w:val="000D3279"/>
    <w:rsid w:val="000D35A1"/>
    <w:rsid w:val="000D3A4D"/>
    <w:rsid w:val="000D424B"/>
    <w:rsid w:val="000D513C"/>
    <w:rsid w:val="000D539A"/>
    <w:rsid w:val="000D6C1F"/>
    <w:rsid w:val="000E4784"/>
    <w:rsid w:val="000E4982"/>
    <w:rsid w:val="000E784E"/>
    <w:rsid w:val="000F01D8"/>
    <w:rsid w:val="000F01E3"/>
    <w:rsid w:val="000F1640"/>
    <w:rsid w:val="000F1F2F"/>
    <w:rsid w:val="000F265E"/>
    <w:rsid w:val="000F651D"/>
    <w:rsid w:val="001025C3"/>
    <w:rsid w:val="001027F5"/>
    <w:rsid w:val="00103DE7"/>
    <w:rsid w:val="00105100"/>
    <w:rsid w:val="001051A6"/>
    <w:rsid w:val="001057E8"/>
    <w:rsid w:val="001059AF"/>
    <w:rsid w:val="00106F0B"/>
    <w:rsid w:val="00110C3C"/>
    <w:rsid w:val="001128EC"/>
    <w:rsid w:val="0011310D"/>
    <w:rsid w:val="00114B1B"/>
    <w:rsid w:val="00114DD9"/>
    <w:rsid w:val="00115B4D"/>
    <w:rsid w:val="001200CD"/>
    <w:rsid w:val="0012112A"/>
    <w:rsid w:val="00122982"/>
    <w:rsid w:val="00122E58"/>
    <w:rsid w:val="001247D3"/>
    <w:rsid w:val="00127377"/>
    <w:rsid w:val="00130191"/>
    <w:rsid w:val="001312D5"/>
    <w:rsid w:val="00136B98"/>
    <w:rsid w:val="0013788B"/>
    <w:rsid w:val="00140514"/>
    <w:rsid w:val="0014098D"/>
    <w:rsid w:val="0014291C"/>
    <w:rsid w:val="00147014"/>
    <w:rsid w:val="00147425"/>
    <w:rsid w:val="00147D52"/>
    <w:rsid w:val="00150BF6"/>
    <w:rsid w:val="00152D10"/>
    <w:rsid w:val="001535A3"/>
    <w:rsid w:val="00153F79"/>
    <w:rsid w:val="00160C68"/>
    <w:rsid w:val="00161F2B"/>
    <w:rsid w:val="00162AC8"/>
    <w:rsid w:val="001638D1"/>
    <w:rsid w:val="00165A61"/>
    <w:rsid w:val="0017191E"/>
    <w:rsid w:val="00172A05"/>
    <w:rsid w:val="00173DB4"/>
    <w:rsid w:val="00174E60"/>
    <w:rsid w:val="001750FF"/>
    <w:rsid w:val="00175627"/>
    <w:rsid w:val="00176A7B"/>
    <w:rsid w:val="00177BDF"/>
    <w:rsid w:val="00180C29"/>
    <w:rsid w:val="00181487"/>
    <w:rsid w:val="001878CE"/>
    <w:rsid w:val="001879A7"/>
    <w:rsid w:val="00193876"/>
    <w:rsid w:val="00194AB7"/>
    <w:rsid w:val="00195C5A"/>
    <w:rsid w:val="00195F36"/>
    <w:rsid w:val="001A2016"/>
    <w:rsid w:val="001A334F"/>
    <w:rsid w:val="001A510C"/>
    <w:rsid w:val="001B1351"/>
    <w:rsid w:val="001B13A7"/>
    <w:rsid w:val="001B1829"/>
    <w:rsid w:val="001B3B42"/>
    <w:rsid w:val="001B44DA"/>
    <w:rsid w:val="001B67A6"/>
    <w:rsid w:val="001C1E8D"/>
    <w:rsid w:val="001C2CDB"/>
    <w:rsid w:val="001C3F56"/>
    <w:rsid w:val="001D1E59"/>
    <w:rsid w:val="001D335F"/>
    <w:rsid w:val="001D64B3"/>
    <w:rsid w:val="001E18DC"/>
    <w:rsid w:val="001E250B"/>
    <w:rsid w:val="001E47D2"/>
    <w:rsid w:val="001E590E"/>
    <w:rsid w:val="001E5D31"/>
    <w:rsid w:val="001E6928"/>
    <w:rsid w:val="001E7B97"/>
    <w:rsid w:val="001E7EFE"/>
    <w:rsid w:val="001F15BC"/>
    <w:rsid w:val="001F41A1"/>
    <w:rsid w:val="001F4ADA"/>
    <w:rsid w:val="001F4CA5"/>
    <w:rsid w:val="002015B6"/>
    <w:rsid w:val="0020360B"/>
    <w:rsid w:val="00205ECE"/>
    <w:rsid w:val="0021001E"/>
    <w:rsid w:val="00216A53"/>
    <w:rsid w:val="00221ED4"/>
    <w:rsid w:val="00222FC2"/>
    <w:rsid w:val="002231CD"/>
    <w:rsid w:val="00223DDB"/>
    <w:rsid w:val="00230FF8"/>
    <w:rsid w:val="002314C6"/>
    <w:rsid w:val="002323CB"/>
    <w:rsid w:val="002340B3"/>
    <w:rsid w:val="00236AAF"/>
    <w:rsid w:val="002404E1"/>
    <w:rsid w:val="002414C3"/>
    <w:rsid w:val="00247002"/>
    <w:rsid w:val="00253230"/>
    <w:rsid w:val="00262672"/>
    <w:rsid w:val="00272688"/>
    <w:rsid w:val="00272A5B"/>
    <w:rsid w:val="002756F2"/>
    <w:rsid w:val="00275A07"/>
    <w:rsid w:val="002806A9"/>
    <w:rsid w:val="00281695"/>
    <w:rsid w:val="00281C2B"/>
    <w:rsid w:val="00281CB0"/>
    <w:rsid w:val="00283B36"/>
    <w:rsid w:val="00284CF6"/>
    <w:rsid w:val="00286EF4"/>
    <w:rsid w:val="00290757"/>
    <w:rsid w:val="00292AF7"/>
    <w:rsid w:val="00295AB5"/>
    <w:rsid w:val="00296E4C"/>
    <w:rsid w:val="00296F20"/>
    <w:rsid w:val="00297E04"/>
    <w:rsid w:val="002A39CE"/>
    <w:rsid w:val="002A3D56"/>
    <w:rsid w:val="002A4452"/>
    <w:rsid w:val="002A5035"/>
    <w:rsid w:val="002A5231"/>
    <w:rsid w:val="002A69E4"/>
    <w:rsid w:val="002B1C5A"/>
    <w:rsid w:val="002B1F2A"/>
    <w:rsid w:val="002B5319"/>
    <w:rsid w:val="002B57D1"/>
    <w:rsid w:val="002C0FE6"/>
    <w:rsid w:val="002C1C51"/>
    <w:rsid w:val="002C4A7A"/>
    <w:rsid w:val="002C4FB2"/>
    <w:rsid w:val="002C557B"/>
    <w:rsid w:val="002C6E15"/>
    <w:rsid w:val="002D19CB"/>
    <w:rsid w:val="002D2A73"/>
    <w:rsid w:val="002D3C17"/>
    <w:rsid w:val="002D68F9"/>
    <w:rsid w:val="002E0377"/>
    <w:rsid w:val="002E21CE"/>
    <w:rsid w:val="002E2C03"/>
    <w:rsid w:val="002E3B12"/>
    <w:rsid w:val="002E62B0"/>
    <w:rsid w:val="002F0624"/>
    <w:rsid w:val="002F32B5"/>
    <w:rsid w:val="002F33E5"/>
    <w:rsid w:val="002F66FC"/>
    <w:rsid w:val="002F76D8"/>
    <w:rsid w:val="0030034B"/>
    <w:rsid w:val="00301C4A"/>
    <w:rsid w:val="003034B8"/>
    <w:rsid w:val="00303728"/>
    <w:rsid w:val="00304865"/>
    <w:rsid w:val="00310A44"/>
    <w:rsid w:val="003126FB"/>
    <w:rsid w:val="003145A0"/>
    <w:rsid w:val="00315DDE"/>
    <w:rsid w:val="00316B91"/>
    <w:rsid w:val="0031767C"/>
    <w:rsid w:val="003178CB"/>
    <w:rsid w:val="00317A4F"/>
    <w:rsid w:val="00320307"/>
    <w:rsid w:val="00321EC6"/>
    <w:rsid w:val="0032236A"/>
    <w:rsid w:val="0032277D"/>
    <w:rsid w:val="00323111"/>
    <w:rsid w:val="00324012"/>
    <w:rsid w:val="00324478"/>
    <w:rsid w:val="003245A9"/>
    <w:rsid w:val="00324AF3"/>
    <w:rsid w:val="00327013"/>
    <w:rsid w:val="003302D1"/>
    <w:rsid w:val="0033074F"/>
    <w:rsid w:val="00330C5E"/>
    <w:rsid w:val="00332424"/>
    <w:rsid w:val="00334C9A"/>
    <w:rsid w:val="00334CBD"/>
    <w:rsid w:val="00334D6E"/>
    <w:rsid w:val="00337DBB"/>
    <w:rsid w:val="003414E8"/>
    <w:rsid w:val="003427C5"/>
    <w:rsid w:val="00343E7D"/>
    <w:rsid w:val="00344E06"/>
    <w:rsid w:val="00345985"/>
    <w:rsid w:val="00346ACF"/>
    <w:rsid w:val="0034741E"/>
    <w:rsid w:val="00347D1B"/>
    <w:rsid w:val="003503B4"/>
    <w:rsid w:val="00351377"/>
    <w:rsid w:val="00352BC1"/>
    <w:rsid w:val="003604FB"/>
    <w:rsid w:val="00372291"/>
    <w:rsid w:val="003726CC"/>
    <w:rsid w:val="00373FE9"/>
    <w:rsid w:val="003740A9"/>
    <w:rsid w:val="003826BD"/>
    <w:rsid w:val="00382CED"/>
    <w:rsid w:val="00392664"/>
    <w:rsid w:val="003946AE"/>
    <w:rsid w:val="003A013F"/>
    <w:rsid w:val="003A0BE8"/>
    <w:rsid w:val="003A15D8"/>
    <w:rsid w:val="003A38D3"/>
    <w:rsid w:val="003B04F8"/>
    <w:rsid w:val="003B1C89"/>
    <w:rsid w:val="003B34EF"/>
    <w:rsid w:val="003B38BA"/>
    <w:rsid w:val="003B3AB8"/>
    <w:rsid w:val="003B6D82"/>
    <w:rsid w:val="003C05BD"/>
    <w:rsid w:val="003C0B77"/>
    <w:rsid w:val="003C1649"/>
    <w:rsid w:val="003C16EE"/>
    <w:rsid w:val="003C2D93"/>
    <w:rsid w:val="003C2EFA"/>
    <w:rsid w:val="003C4C6C"/>
    <w:rsid w:val="003D0603"/>
    <w:rsid w:val="003D0E98"/>
    <w:rsid w:val="003D3E9D"/>
    <w:rsid w:val="003D45C3"/>
    <w:rsid w:val="003D5F88"/>
    <w:rsid w:val="003E0DCE"/>
    <w:rsid w:val="003E29D0"/>
    <w:rsid w:val="003E4B0C"/>
    <w:rsid w:val="003E68CD"/>
    <w:rsid w:val="003E6DED"/>
    <w:rsid w:val="003E6E08"/>
    <w:rsid w:val="003E7400"/>
    <w:rsid w:val="003F2599"/>
    <w:rsid w:val="003F3B3F"/>
    <w:rsid w:val="003F59B6"/>
    <w:rsid w:val="003F6869"/>
    <w:rsid w:val="00406544"/>
    <w:rsid w:val="00411C68"/>
    <w:rsid w:val="00411DA6"/>
    <w:rsid w:val="004161E6"/>
    <w:rsid w:val="004203F7"/>
    <w:rsid w:val="00425FE6"/>
    <w:rsid w:val="00426C26"/>
    <w:rsid w:val="0043140C"/>
    <w:rsid w:val="00432316"/>
    <w:rsid w:val="00432748"/>
    <w:rsid w:val="00433507"/>
    <w:rsid w:val="0043354E"/>
    <w:rsid w:val="00433BE9"/>
    <w:rsid w:val="00434BEC"/>
    <w:rsid w:val="0043561D"/>
    <w:rsid w:val="00435C8C"/>
    <w:rsid w:val="004405DD"/>
    <w:rsid w:val="00446EF6"/>
    <w:rsid w:val="004513C1"/>
    <w:rsid w:val="004519A6"/>
    <w:rsid w:val="0045204C"/>
    <w:rsid w:val="00455F0F"/>
    <w:rsid w:val="0045693A"/>
    <w:rsid w:val="0046394B"/>
    <w:rsid w:val="00463A24"/>
    <w:rsid w:val="00463AF1"/>
    <w:rsid w:val="00466422"/>
    <w:rsid w:val="0046680F"/>
    <w:rsid w:val="00467515"/>
    <w:rsid w:val="00467C69"/>
    <w:rsid w:val="00470E86"/>
    <w:rsid w:val="00471927"/>
    <w:rsid w:val="004750D2"/>
    <w:rsid w:val="00475EEB"/>
    <w:rsid w:val="00476B37"/>
    <w:rsid w:val="00477C01"/>
    <w:rsid w:val="00481B06"/>
    <w:rsid w:val="00481B20"/>
    <w:rsid w:val="00483B6E"/>
    <w:rsid w:val="0048591C"/>
    <w:rsid w:val="0048673C"/>
    <w:rsid w:val="004908CB"/>
    <w:rsid w:val="00490988"/>
    <w:rsid w:val="00490DA0"/>
    <w:rsid w:val="00496BB8"/>
    <w:rsid w:val="004A0E6B"/>
    <w:rsid w:val="004A17FD"/>
    <w:rsid w:val="004A26C3"/>
    <w:rsid w:val="004A3EA0"/>
    <w:rsid w:val="004A493B"/>
    <w:rsid w:val="004A7DF6"/>
    <w:rsid w:val="004B0377"/>
    <w:rsid w:val="004B3558"/>
    <w:rsid w:val="004B423A"/>
    <w:rsid w:val="004B46E0"/>
    <w:rsid w:val="004C09F4"/>
    <w:rsid w:val="004C1B35"/>
    <w:rsid w:val="004C2346"/>
    <w:rsid w:val="004C47F9"/>
    <w:rsid w:val="004C5E5E"/>
    <w:rsid w:val="004C6242"/>
    <w:rsid w:val="004C6381"/>
    <w:rsid w:val="004C6DD2"/>
    <w:rsid w:val="004C75CA"/>
    <w:rsid w:val="004D00D7"/>
    <w:rsid w:val="004D38A7"/>
    <w:rsid w:val="004D4802"/>
    <w:rsid w:val="004E4970"/>
    <w:rsid w:val="004E4C3A"/>
    <w:rsid w:val="004E5E54"/>
    <w:rsid w:val="004F1A50"/>
    <w:rsid w:val="004F3135"/>
    <w:rsid w:val="004F421B"/>
    <w:rsid w:val="004F5AAF"/>
    <w:rsid w:val="004F7140"/>
    <w:rsid w:val="005009D7"/>
    <w:rsid w:val="00502F06"/>
    <w:rsid w:val="0050376F"/>
    <w:rsid w:val="00504CEF"/>
    <w:rsid w:val="005055DB"/>
    <w:rsid w:val="00507B21"/>
    <w:rsid w:val="00510D1E"/>
    <w:rsid w:val="005114BD"/>
    <w:rsid w:val="005137E1"/>
    <w:rsid w:val="00513833"/>
    <w:rsid w:val="005151C0"/>
    <w:rsid w:val="0051714E"/>
    <w:rsid w:val="0052548A"/>
    <w:rsid w:val="005303AD"/>
    <w:rsid w:val="00535C0D"/>
    <w:rsid w:val="005364C6"/>
    <w:rsid w:val="005371CD"/>
    <w:rsid w:val="00537301"/>
    <w:rsid w:val="0053733D"/>
    <w:rsid w:val="005430C5"/>
    <w:rsid w:val="00543193"/>
    <w:rsid w:val="00550922"/>
    <w:rsid w:val="00552935"/>
    <w:rsid w:val="00554FE6"/>
    <w:rsid w:val="005560A5"/>
    <w:rsid w:val="0055673B"/>
    <w:rsid w:val="00560731"/>
    <w:rsid w:val="00560BC0"/>
    <w:rsid w:val="00562457"/>
    <w:rsid w:val="00562FA4"/>
    <w:rsid w:val="005666B0"/>
    <w:rsid w:val="005672FD"/>
    <w:rsid w:val="00567E85"/>
    <w:rsid w:val="00572A0A"/>
    <w:rsid w:val="00573A44"/>
    <w:rsid w:val="00574838"/>
    <w:rsid w:val="00576349"/>
    <w:rsid w:val="00577C0A"/>
    <w:rsid w:val="00581A8A"/>
    <w:rsid w:val="00582602"/>
    <w:rsid w:val="00582CB3"/>
    <w:rsid w:val="00583A8A"/>
    <w:rsid w:val="00583E79"/>
    <w:rsid w:val="00585DB0"/>
    <w:rsid w:val="00586032"/>
    <w:rsid w:val="00587099"/>
    <w:rsid w:val="0058742A"/>
    <w:rsid w:val="00587858"/>
    <w:rsid w:val="00591003"/>
    <w:rsid w:val="0059388F"/>
    <w:rsid w:val="00594CB8"/>
    <w:rsid w:val="0059610A"/>
    <w:rsid w:val="005962DE"/>
    <w:rsid w:val="00597082"/>
    <w:rsid w:val="005A3362"/>
    <w:rsid w:val="005A5FB8"/>
    <w:rsid w:val="005A63A1"/>
    <w:rsid w:val="005A7C9A"/>
    <w:rsid w:val="005A7F87"/>
    <w:rsid w:val="005B0A6A"/>
    <w:rsid w:val="005B2886"/>
    <w:rsid w:val="005B2D19"/>
    <w:rsid w:val="005B58F2"/>
    <w:rsid w:val="005B5B0B"/>
    <w:rsid w:val="005B5F05"/>
    <w:rsid w:val="005B68ED"/>
    <w:rsid w:val="005C3CB0"/>
    <w:rsid w:val="005C5392"/>
    <w:rsid w:val="005C5A3B"/>
    <w:rsid w:val="005D2D5D"/>
    <w:rsid w:val="005D3719"/>
    <w:rsid w:val="005D3B1E"/>
    <w:rsid w:val="005D782F"/>
    <w:rsid w:val="005E00CF"/>
    <w:rsid w:val="005E29B3"/>
    <w:rsid w:val="005E4F55"/>
    <w:rsid w:val="005E654B"/>
    <w:rsid w:val="005E6B22"/>
    <w:rsid w:val="005E7E04"/>
    <w:rsid w:val="005E7E5F"/>
    <w:rsid w:val="005F0753"/>
    <w:rsid w:val="005F3304"/>
    <w:rsid w:val="005F4EE4"/>
    <w:rsid w:val="005F635C"/>
    <w:rsid w:val="00602B9F"/>
    <w:rsid w:val="00603BBF"/>
    <w:rsid w:val="00605DC7"/>
    <w:rsid w:val="00606E36"/>
    <w:rsid w:val="006165E1"/>
    <w:rsid w:val="006243CC"/>
    <w:rsid w:val="0062623D"/>
    <w:rsid w:val="0063079C"/>
    <w:rsid w:val="00631C24"/>
    <w:rsid w:val="0063488B"/>
    <w:rsid w:val="0063641C"/>
    <w:rsid w:val="006418A4"/>
    <w:rsid w:val="00642558"/>
    <w:rsid w:val="006430A9"/>
    <w:rsid w:val="006434A5"/>
    <w:rsid w:val="00650205"/>
    <w:rsid w:val="00650D58"/>
    <w:rsid w:val="00650E2E"/>
    <w:rsid w:val="0065430B"/>
    <w:rsid w:val="00656F97"/>
    <w:rsid w:val="006660C9"/>
    <w:rsid w:val="0067374E"/>
    <w:rsid w:val="00674362"/>
    <w:rsid w:val="006763C1"/>
    <w:rsid w:val="00677226"/>
    <w:rsid w:val="0067785E"/>
    <w:rsid w:val="00677953"/>
    <w:rsid w:val="00685DE5"/>
    <w:rsid w:val="0068736B"/>
    <w:rsid w:val="00691319"/>
    <w:rsid w:val="006917E6"/>
    <w:rsid w:val="006919A0"/>
    <w:rsid w:val="00695957"/>
    <w:rsid w:val="006A35DC"/>
    <w:rsid w:val="006A4659"/>
    <w:rsid w:val="006A5594"/>
    <w:rsid w:val="006A6628"/>
    <w:rsid w:val="006B034E"/>
    <w:rsid w:val="006B0BFB"/>
    <w:rsid w:val="006B1609"/>
    <w:rsid w:val="006B381F"/>
    <w:rsid w:val="006B5DD2"/>
    <w:rsid w:val="006B6221"/>
    <w:rsid w:val="006C3230"/>
    <w:rsid w:val="006C3CDC"/>
    <w:rsid w:val="006C5A18"/>
    <w:rsid w:val="006C5BA6"/>
    <w:rsid w:val="006C61CD"/>
    <w:rsid w:val="006D1D6E"/>
    <w:rsid w:val="006D1EC4"/>
    <w:rsid w:val="006D3F68"/>
    <w:rsid w:val="006D7326"/>
    <w:rsid w:val="006D7FD4"/>
    <w:rsid w:val="006E1473"/>
    <w:rsid w:val="006E17E6"/>
    <w:rsid w:val="006E2376"/>
    <w:rsid w:val="006E2A96"/>
    <w:rsid w:val="006E301C"/>
    <w:rsid w:val="006E4859"/>
    <w:rsid w:val="006E4DCD"/>
    <w:rsid w:val="006E6C8C"/>
    <w:rsid w:val="006F3E85"/>
    <w:rsid w:val="006F4131"/>
    <w:rsid w:val="006F4E20"/>
    <w:rsid w:val="006F66C6"/>
    <w:rsid w:val="0070075D"/>
    <w:rsid w:val="0070096C"/>
    <w:rsid w:val="007036BC"/>
    <w:rsid w:val="00703FDE"/>
    <w:rsid w:val="00706F9E"/>
    <w:rsid w:val="00707583"/>
    <w:rsid w:val="0071067F"/>
    <w:rsid w:val="00714A42"/>
    <w:rsid w:val="00721A2B"/>
    <w:rsid w:val="007223A6"/>
    <w:rsid w:val="00723D49"/>
    <w:rsid w:val="00723E54"/>
    <w:rsid w:val="007256C8"/>
    <w:rsid w:val="00726421"/>
    <w:rsid w:val="00726A5D"/>
    <w:rsid w:val="00731364"/>
    <w:rsid w:val="0073261F"/>
    <w:rsid w:val="00733C07"/>
    <w:rsid w:val="00733EAA"/>
    <w:rsid w:val="0073578A"/>
    <w:rsid w:val="00740583"/>
    <w:rsid w:val="00743662"/>
    <w:rsid w:val="0074470B"/>
    <w:rsid w:val="0074539E"/>
    <w:rsid w:val="007459C0"/>
    <w:rsid w:val="0075034E"/>
    <w:rsid w:val="00751F5D"/>
    <w:rsid w:val="00752BDF"/>
    <w:rsid w:val="00753089"/>
    <w:rsid w:val="00753D20"/>
    <w:rsid w:val="00754C9F"/>
    <w:rsid w:val="00755C80"/>
    <w:rsid w:val="00760554"/>
    <w:rsid w:val="00762487"/>
    <w:rsid w:val="007628A6"/>
    <w:rsid w:val="00764780"/>
    <w:rsid w:val="00766D44"/>
    <w:rsid w:val="00771578"/>
    <w:rsid w:val="00773761"/>
    <w:rsid w:val="00781F67"/>
    <w:rsid w:val="00784182"/>
    <w:rsid w:val="00784424"/>
    <w:rsid w:val="00786283"/>
    <w:rsid w:val="0078652D"/>
    <w:rsid w:val="00794467"/>
    <w:rsid w:val="0079497A"/>
    <w:rsid w:val="00795B61"/>
    <w:rsid w:val="007A1A18"/>
    <w:rsid w:val="007A2EA4"/>
    <w:rsid w:val="007A74CE"/>
    <w:rsid w:val="007B382B"/>
    <w:rsid w:val="007B68A4"/>
    <w:rsid w:val="007B6A16"/>
    <w:rsid w:val="007C1CF2"/>
    <w:rsid w:val="007C3B96"/>
    <w:rsid w:val="007C4A9F"/>
    <w:rsid w:val="007C670D"/>
    <w:rsid w:val="007D2D68"/>
    <w:rsid w:val="007D47B1"/>
    <w:rsid w:val="007D54A8"/>
    <w:rsid w:val="007D7F18"/>
    <w:rsid w:val="007E2C55"/>
    <w:rsid w:val="007E46FE"/>
    <w:rsid w:val="007E5815"/>
    <w:rsid w:val="007F1A17"/>
    <w:rsid w:val="007F1B36"/>
    <w:rsid w:val="007F6E51"/>
    <w:rsid w:val="00803FFF"/>
    <w:rsid w:val="00805D90"/>
    <w:rsid w:val="00806EDF"/>
    <w:rsid w:val="00807976"/>
    <w:rsid w:val="00807979"/>
    <w:rsid w:val="00814464"/>
    <w:rsid w:val="008146DD"/>
    <w:rsid w:val="00815A46"/>
    <w:rsid w:val="008161F5"/>
    <w:rsid w:val="00820CBF"/>
    <w:rsid w:val="00821D78"/>
    <w:rsid w:val="00823075"/>
    <w:rsid w:val="0082383C"/>
    <w:rsid w:val="00825C45"/>
    <w:rsid w:val="00834727"/>
    <w:rsid w:val="0083776A"/>
    <w:rsid w:val="00840043"/>
    <w:rsid w:val="00840C9B"/>
    <w:rsid w:val="008419E5"/>
    <w:rsid w:val="008464B7"/>
    <w:rsid w:val="0085101F"/>
    <w:rsid w:val="0085320A"/>
    <w:rsid w:val="00853EFB"/>
    <w:rsid w:val="00860AF7"/>
    <w:rsid w:val="008620CA"/>
    <w:rsid w:val="008636CF"/>
    <w:rsid w:val="008646AB"/>
    <w:rsid w:val="00866185"/>
    <w:rsid w:val="00870223"/>
    <w:rsid w:val="00871B37"/>
    <w:rsid w:val="008724F4"/>
    <w:rsid w:val="00873E4B"/>
    <w:rsid w:val="00874F53"/>
    <w:rsid w:val="00874F95"/>
    <w:rsid w:val="00875572"/>
    <w:rsid w:val="00876609"/>
    <w:rsid w:val="00881222"/>
    <w:rsid w:val="00882EA7"/>
    <w:rsid w:val="008934DC"/>
    <w:rsid w:val="00894944"/>
    <w:rsid w:val="00894E35"/>
    <w:rsid w:val="00896C6B"/>
    <w:rsid w:val="008A036C"/>
    <w:rsid w:val="008A4BC8"/>
    <w:rsid w:val="008A6B90"/>
    <w:rsid w:val="008A6EB0"/>
    <w:rsid w:val="008B1812"/>
    <w:rsid w:val="008B278B"/>
    <w:rsid w:val="008B4722"/>
    <w:rsid w:val="008B5871"/>
    <w:rsid w:val="008B6E15"/>
    <w:rsid w:val="008C0DC2"/>
    <w:rsid w:val="008C2764"/>
    <w:rsid w:val="008C57E1"/>
    <w:rsid w:val="008C6A1F"/>
    <w:rsid w:val="008D0ECD"/>
    <w:rsid w:val="008D1355"/>
    <w:rsid w:val="008D6237"/>
    <w:rsid w:val="008D6C99"/>
    <w:rsid w:val="008E09C2"/>
    <w:rsid w:val="008E2BBF"/>
    <w:rsid w:val="008E6924"/>
    <w:rsid w:val="008E7C7D"/>
    <w:rsid w:val="008F0936"/>
    <w:rsid w:val="008F1BC3"/>
    <w:rsid w:val="008F298B"/>
    <w:rsid w:val="008F6412"/>
    <w:rsid w:val="008F67DB"/>
    <w:rsid w:val="008F790F"/>
    <w:rsid w:val="0090023F"/>
    <w:rsid w:val="00903180"/>
    <w:rsid w:val="00904D92"/>
    <w:rsid w:val="00907E52"/>
    <w:rsid w:val="009137CC"/>
    <w:rsid w:val="009145CA"/>
    <w:rsid w:val="00921900"/>
    <w:rsid w:val="009244AF"/>
    <w:rsid w:val="00924B46"/>
    <w:rsid w:val="00924BCB"/>
    <w:rsid w:val="0092749D"/>
    <w:rsid w:val="00930E66"/>
    <w:rsid w:val="009349E1"/>
    <w:rsid w:val="009352CE"/>
    <w:rsid w:val="00935A38"/>
    <w:rsid w:val="009473D5"/>
    <w:rsid w:val="009526EF"/>
    <w:rsid w:val="009615B9"/>
    <w:rsid w:val="009616D5"/>
    <w:rsid w:val="00963FF6"/>
    <w:rsid w:val="00970789"/>
    <w:rsid w:val="00970881"/>
    <w:rsid w:val="00972476"/>
    <w:rsid w:val="00976523"/>
    <w:rsid w:val="00982B33"/>
    <w:rsid w:val="009832A5"/>
    <w:rsid w:val="00984595"/>
    <w:rsid w:val="009853E3"/>
    <w:rsid w:val="009900CE"/>
    <w:rsid w:val="00990E21"/>
    <w:rsid w:val="00991107"/>
    <w:rsid w:val="009925C3"/>
    <w:rsid w:val="00993478"/>
    <w:rsid w:val="00994B94"/>
    <w:rsid w:val="00994EE1"/>
    <w:rsid w:val="00995FBE"/>
    <w:rsid w:val="0099647E"/>
    <w:rsid w:val="009A2C7B"/>
    <w:rsid w:val="009A5A17"/>
    <w:rsid w:val="009A7E9B"/>
    <w:rsid w:val="009B0462"/>
    <w:rsid w:val="009B0743"/>
    <w:rsid w:val="009B1A68"/>
    <w:rsid w:val="009B2006"/>
    <w:rsid w:val="009B4AF8"/>
    <w:rsid w:val="009B4CA9"/>
    <w:rsid w:val="009C0CDF"/>
    <w:rsid w:val="009C4775"/>
    <w:rsid w:val="009C5CD2"/>
    <w:rsid w:val="009C64B8"/>
    <w:rsid w:val="009C6970"/>
    <w:rsid w:val="009D1261"/>
    <w:rsid w:val="009D1CAD"/>
    <w:rsid w:val="009D2C80"/>
    <w:rsid w:val="009E3CBF"/>
    <w:rsid w:val="009E7D9F"/>
    <w:rsid w:val="009F0514"/>
    <w:rsid w:val="009F0D60"/>
    <w:rsid w:val="009F1BD1"/>
    <w:rsid w:val="009F26AC"/>
    <w:rsid w:val="00A000E2"/>
    <w:rsid w:val="00A06D52"/>
    <w:rsid w:val="00A14200"/>
    <w:rsid w:val="00A14395"/>
    <w:rsid w:val="00A1533E"/>
    <w:rsid w:val="00A15400"/>
    <w:rsid w:val="00A15DA3"/>
    <w:rsid w:val="00A20570"/>
    <w:rsid w:val="00A20EE4"/>
    <w:rsid w:val="00A21A58"/>
    <w:rsid w:val="00A23A62"/>
    <w:rsid w:val="00A24029"/>
    <w:rsid w:val="00A24BBE"/>
    <w:rsid w:val="00A259ED"/>
    <w:rsid w:val="00A26E5A"/>
    <w:rsid w:val="00A27325"/>
    <w:rsid w:val="00A3277A"/>
    <w:rsid w:val="00A335A3"/>
    <w:rsid w:val="00A346DB"/>
    <w:rsid w:val="00A36AE2"/>
    <w:rsid w:val="00A37467"/>
    <w:rsid w:val="00A374CB"/>
    <w:rsid w:val="00A4444F"/>
    <w:rsid w:val="00A46F54"/>
    <w:rsid w:val="00A518E9"/>
    <w:rsid w:val="00A51FF5"/>
    <w:rsid w:val="00A55B94"/>
    <w:rsid w:val="00A608FC"/>
    <w:rsid w:val="00A62639"/>
    <w:rsid w:val="00A629CB"/>
    <w:rsid w:val="00A65630"/>
    <w:rsid w:val="00A66F05"/>
    <w:rsid w:val="00A714B9"/>
    <w:rsid w:val="00A71A2D"/>
    <w:rsid w:val="00A73868"/>
    <w:rsid w:val="00A775E0"/>
    <w:rsid w:val="00A83928"/>
    <w:rsid w:val="00A85035"/>
    <w:rsid w:val="00A868C2"/>
    <w:rsid w:val="00A91961"/>
    <w:rsid w:val="00AA1A12"/>
    <w:rsid w:val="00AA4039"/>
    <w:rsid w:val="00AA4171"/>
    <w:rsid w:val="00AA4F86"/>
    <w:rsid w:val="00AA5FB3"/>
    <w:rsid w:val="00AA6215"/>
    <w:rsid w:val="00AA627A"/>
    <w:rsid w:val="00AA7224"/>
    <w:rsid w:val="00AB2638"/>
    <w:rsid w:val="00AB2D47"/>
    <w:rsid w:val="00AB3E5F"/>
    <w:rsid w:val="00AB3FCC"/>
    <w:rsid w:val="00AB63B5"/>
    <w:rsid w:val="00AC11C0"/>
    <w:rsid w:val="00AC2406"/>
    <w:rsid w:val="00AC3F7A"/>
    <w:rsid w:val="00AC4F46"/>
    <w:rsid w:val="00AC5BFB"/>
    <w:rsid w:val="00AC5CB8"/>
    <w:rsid w:val="00AD0692"/>
    <w:rsid w:val="00AD0FC9"/>
    <w:rsid w:val="00AD21F8"/>
    <w:rsid w:val="00AD2D2C"/>
    <w:rsid w:val="00AD3E29"/>
    <w:rsid w:val="00AD54FE"/>
    <w:rsid w:val="00AE38D5"/>
    <w:rsid w:val="00AE4B4A"/>
    <w:rsid w:val="00AF016C"/>
    <w:rsid w:val="00AF0707"/>
    <w:rsid w:val="00AF1791"/>
    <w:rsid w:val="00AF56AB"/>
    <w:rsid w:val="00AF5A92"/>
    <w:rsid w:val="00AF6990"/>
    <w:rsid w:val="00B01C5D"/>
    <w:rsid w:val="00B03E25"/>
    <w:rsid w:val="00B03E9D"/>
    <w:rsid w:val="00B06082"/>
    <w:rsid w:val="00B07192"/>
    <w:rsid w:val="00B07371"/>
    <w:rsid w:val="00B07CF4"/>
    <w:rsid w:val="00B10E33"/>
    <w:rsid w:val="00B144C1"/>
    <w:rsid w:val="00B166C7"/>
    <w:rsid w:val="00B16892"/>
    <w:rsid w:val="00B21A04"/>
    <w:rsid w:val="00B2205A"/>
    <w:rsid w:val="00B243C5"/>
    <w:rsid w:val="00B25A0E"/>
    <w:rsid w:val="00B34E6E"/>
    <w:rsid w:val="00B41B4A"/>
    <w:rsid w:val="00B41FBF"/>
    <w:rsid w:val="00B454A4"/>
    <w:rsid w:val="00B458E6"/>
    <w:rsid w:val="00B45EC7"/>
    <w:rsid w:val="00B51A2F"/>
    <w:rsid w:val="00B55227"/>
    <w:rsid w:val="00B559F3"/>
    <w:rsid w:val="00B57B6F"/>
    <w:rsid w:val="00B614A9"/>
    <w:rsid w:val="00B70C35"/>
    <w:rsid w:val="00B75C18"/>
    <w:rsid w:val="00B772E6"/>
    <w:rsid w:val="00B802CF"/>
    <w:rsid w:val="00B80EFB"/>
    <w:rsid w:val="00B83038"/>
    <w:rsid w:val="00B87DDC"/>
    <w:rsid w:val="00B87ECD"/>
    <w:rsid w:val="00B914CD"/>
    <w:rsid w:val="00B93709"/>
    <w:rsid w:val="00BA48E1"/>
    <w:rsid w:val="00BA5742"/>
    <w:rsid w:val="00BA79E7"/>
    <w:rsid w:val="00BB09A5"/>
    <w:rsid w:val="00BB26A0"/>
    <w:rsid w:val="00BB2EB3"/>
    <w:rsid w:val="00BB3135"/>
    <w:rsid w:val="00BB4C69"/>
    <w:rsid w:val="00BB5764"/>
    <w:rsid w:val="00BC1547"/>
    <w:rsid w:val="00BC412F"/>
    <w:rsid w:val="00BC4F34"/>
    <w:rsid w:val="00BC5FA9"/>
    <w:rsid w:val="00BC7301"/>
    <w:rsid w:val="00BD0109"/>
    <w:rsid w:val="00BD4988"/>
    <w:rsid w:val="00BD744E"/>
    <w:rsid w:val="00BF10D0"/>
    <w:rsid w:val="00BF154D"/>
    <w:rsid w:val="00BF2225"/>
    <w:rsid w:val="00BF2F29"/>
    <w:rsid w:val="00BF3A1D"/>
    <w:rsid w:val="00BF3C58"/>
    <w:rsid w:val="00BF4E14"/>
    <w:rsid w:val="00BF5549"/>
    <w:rsid w:val="00BF62FB"/>
    <w:rsid w:val="00BF779C"/>
    <w:rsid w:val="00C02AA5"/>
    <w:rsid w:val="00C043EC"/>
    <w:rsid w:val="00C049EB"/>
    <w:rsid w:val="00C070BF"/>
    <w:rsid w:val="00C11631"/>
    <w:rsid w:val="00C13F0B"/>
    <w:rsid w:val="00C14328"/>
    <w:rsid w:val="00C144A9"/>
    <w:rsid w:val="00C14F82"/>
    <w:rsid w:val="00C22DA3"/>
    <w:rsid w:val="00C24F69"/>
    <w:rsid w:val="00C25D26"/>
    <w:rsid w:val="00C2632D"/>
    <w:rsid w:val="00C30497"/>
    <w:rsid w:val="00C31EB4"/>
    <w:rsid w:val="00C33691"/>
    <w:rsid w:val="00C33E08"/>
    <w:rsid w:val="00C3415C"/>
    <w:rsid w:val="00C351D9"/>
    <w:rsid w:val="00C404F9"/>
    <w:rsid w:val="00C42487"/>
    <w:rsid w:val="00C4287B"/>
    <w:rsid w:val="00C443B2"/>
    <w:rsid w:val="00C44D67"/>
    <w:rsid w:val="00C45756"/>
    <w:rsid w:val="00C45C30"/>
    <w:rsid w:val="00C4622C"/>
    <w:rsid w:val="00C50988"/>
    <w:rsid w:val="00C52FBA"/>
    <w:rsid w:val="00C550E7"/>
    <w:rsid w:val="00C551CE"/>
    <w:rsid w:val="00C5594E"/>
    <w:rsid w:val="00C57E0A"/>
    <w:rsid w:val="00C61451"/>
    <w:rsid w:val="00C61603"/>
    <w:rsid w:val="00C61B1D"/>
    <w:rsid w:val="00C7107E"/>
    <w:rsid w:val="00C71F62"/>
    <w:rsid w:val="00C7243D"/>
    <w:rsid w:val="00C816AF"/>
    <w:rsid w:val="00C81CB5"/>
    <w:rsid w:val="00C845DF"/>
    <w:rsid w:val="00C8624C"/>
    <w:rsid w:val="00C92868"/>
    <w:rsid w:val="00C9383B"/>
    <w:rsid w:val="00C94595"/>
    <w:rsid w:val="00C94A8B"/>
    <w:rsid w:val="00CA20DB"/>
    <w:rsid w:val="00CA22B3"/>
    <w:rsid w:val="00CA2F8E"/>
    <w:rsid w:val="00CA453A"/>
    <w:rsid w:val="00CA48CA"/>
    <w:rsid w:val="00CA5FC2"/>
    <w:rsid w:val="00CA7D70"/>
    <w:rsid w:val="00CB264E"/>
    <w:rsid w:val="00CB329E"/>
    <w:rsid w:val="00CC07D6"/>
    <w:rsid w:val="00CC0BCF"/>
    <w:rsid w:val="00CC1151"/>
    <w:rsid w:val="00CC42CD"/>
    <w:rsid w:val="00CC51BB"/>
    <w:rsid w:val="00CC6756"/>
    <w:rsid w:val="00CC67BE"/>
    <w:rsid w:val="00CD0004"/>
    <w:rsid w:val="00CD3E36"/>
    <w:rsid w:val="00CD5335"/>
    <w:rsid w:val="00CD56E3"/>
    <w:rsid w:val="00CD68B8"/>
    <w:rsid w:val="00CD7AB0"/>
    <w:rsid w:val="00CE099C"/>
    <w:rsid w:val="00CE229F"/>
    <w:rsid w:val="00CE27CA"/>
    <w:rsid w:val="00CF024C"/>
    <w:rsid w:val="00CF12C0"/>
    <w:rsid w:val="00CF1970"/>
    <w:rsid w:val="00CF21FB"/>
    <w:rsid w:val="00CF2A56"/>
    <w:rsid w:val="00CF3432"/>
    <w:rsid w:val="00CF521F"/>
    <w:rsid w:val="00CF5665"/>
    <w:rsid w:val="00CF5B6E"/>
    <w:rsid w:val="00CF777D"/>
    <w:rsid w:val="00D00B54"/>
    <w:rsid w:val="00D014AA"/>
    <w:rsid w:val="00D0650A"/>
    <w:rsid w:val="00D06CA9"/>
    <w:rsid w:val="00D07D0D"/>
    <w:rsid w:val="00D11F70"/>
    <w:rsid w:val="00D1244D"/>
    <w:rsid w:val="00D134DB"/>
    <w:rsid w:val="00D149B3"/>
    <w:rsid w:val="00D16BD7"/>
    <w:rsid w:val="00D20CBA"/>
    <w:rsid w:val="00D21AA3"/>
    <w:rsid w:val="00D22E6F"/>
    <w:rsid w:val="00D240E0"/>
    <w:rsid w:val="00D243B9"/>
    <w:rsid w:val="00D246F1"/>
    <w:rsid w:val="00D25404"/>
    <w:rsid w:val="00D26606"/>
    <w:rsid w:val="00D27C5E"/>
    <w:rsid w:val="00D32AFD"/>
    <w:rsid w:val="00D33DBD"/>
    <w:rsid w:val="00D34AF7"/>
    <w:rsid w:val="00D359E5"/>
    <w:rsid w:val="00D40343"/>
    <w:rsid w:val="00D40710"/>
    <w:rsid w:val="00D42284"/>
    <w:rsid w:val="00D4325C"/>
    <w:rsid w:val="00D52465"/>
    <w:rsid w:val="00D53ECC"/>
    <w:rsid w:val="00D5437E"/>
    <w:rsid w:val="00D617FD"/>
    <w:rsid w:val="00D64632"/>
    <w:rsid w:val="00D64A2F"/>
    <w:rsid w:val="00D705D1"/>
    <w:rsid w:val="00D75061"/>
    <w:rsid w:val="00D75A48"/>
    <w:rsid w:val="00D8629B"/>
    <w:rsid w:val="00D86CB6"/>
    <w:rsid w:val="00D91C24"/>
    <w:rsid w:val="00D92DD7"/>
    <w:rsid w:val="00D936FD"/>
    <w:rsid w:val="00D94E01"/>
    <w:rsid w:val="00D95526"/>
    <w:rsid w:val="00D977B8"/>
    <w:rsid w:val="00DA1270"/>
    <w:rsid w:val="00DA18F0"/>
    <w:rsid w:val="00DA1BAA"/>
    <w:rsid w:val="00DA2DCA"/>
    <w:rsid w:val="00DA3BCD"/>
    <w:rsid w:val="00DA4890"/>
    <w:rsid w:val="00DA4B71"/>
    <w:rsid w:val="00DA7013"/>
    <w:rsid w:val="00DB0BE9"/>
    <w:rsid w:val="00DB26C2"/>
    <w:rsid w:val="00DB438C"/>
    <w:rsid w:val="00DB46BF"/>
    <w:rsid w:val="00DB4840"/>
    <w:rsid w:val="00DB5066"/>
    <w:rsid w:val="00DB5ABC"/>
    <w:rsid w:val="00DB69F9"/>
    <w:rsid w:val="00DC052E"/>
    <w:rsid w:val="00DC2F88"/>
    <w:rsid w:val="00DC441F"/>
    <w:rsid w:val="00DD206D"/>
    <w:rsid w:val="00DD305C"/>
    <w:rsid w:val="00DE0022"/>
    <w:rsid w:val="00DE0ADE"/>
    <w:rsid w:val="00DE0B2F"/>
    <w:rsid w:val="00DE0E2F"/>
    <w:rsid w:val="00DE4700"/>
    <w:rsid w:val="00DE4ABF"/>
    <w:rsid w:val="00DE4D93"/>
    <w:rsid w:val="00DE4E2F"/>
    <w:rsid w:val="00DE5954"/>
    <w:rsid w:val="00DE771A"/>
    <w:rsid w:val="00DF0CA9"/>
    <w:rsid w:val="00DF0DAD"/>
    <w:rsid w:val="00DF102B"/>
    <w:rsid w:val="00DF19EE"/>
    <w:rsid w:val="00DF2EE6"/>
    <w:rsid w:val="00DF5B92"/>
    <w:rsid w:val="00E03CFA"/>
    <w:rsid w:val="00E04575"/>
    <w:rsid w:val="00E06066"/>
    <w:rsid w:val="00E0724E"/>
    <w:rsid w:val="00E10B86"/>
    <w:rsid w:val="00E13A84"/>
    <w:rsid w:val="00E173D8"/>
    <w:rsid w:val="00E20071"/>
    <w:rsid w:val="00E2053E"/>
    <w:rsid w:val="00E21713"/>
    <w:rsid w:val="00E21FB1"/>
    <w:rsid w:val="00E226E2"/>
    <w:rsid w:val="00E239E8"/>
    <w:rsid w:val="00E24561"/>
    <w:rsid w:val="00E252F0"/>
    <w:rsid w:val="00E26139"/>
    <w:rsid w:val="00E26D45"/>
    <w:rsid w:val="00E36F34"/>
    <w:rsid w:val="00E417EB"/>
    <w:rsid w:val="00E457E5"/>
    <w:rsid w:val="00E46A42"/>
    <w:rsid w:val="00E470D2"/>
    <w:rsid w:val="00E51D6F"/>
    <w:rsid w:val="00E52BE6"/>
    <w:rsid w:val="00E54412"/>
    <w:rsid w:val="00E57B65"/>
    <w:rsid w:val="00E60D13"/>
    <w:rsid w:val="00E62718"/>
    <w:rsid w:val="00E64735"/>
    <w:rsid w:val="00E6584F"/>
    <w:rsid w:val="00E6618A"/>
    <w:rsid w:val="00E672D8"/>
    <w:rsid w:val="00E70DBA"/>
    <w:rsid w:val="00E711C5"/>
    <w:rsid w:val="00E74719"/>
    <w:rsid w:val="00E807A6"/>
    <w:rsid w:val="00E83DEC"/>
    <w:rsid w:val="00E857C3"/>
    <w:rsid w:val="00E93E91"/>
    <w:rsid w:val="00E94723"/>
    <w:rsid w:val="00E94970"/>
    <w:rsid w:val="00E96145"/>
    <w:rsid w:val="00E96620"/>
    <w:rsid w:val="00EA1A14"/>
    <w:rsid w:val="00EA2612"/>
    <w:rsid w:val="00EB178C"/>
    <w:rsid w:val="00EB18A7"/>
    <w:rsid w:val="00EB225F"/>
    <w:rsid w:val="00EB3D53"/>
    <w:rsid w:val="00EB5A1D"/>
    <w:rsid w:val="00EB5FDB"/>
    <w:rsid w:val="00EB6158"/>
    <w:rsid w:val="00EC1CF6"/>
    <w:rsid w:val="00EC4CB2"/>
    <w:rsid w:val="00EC5E39"/>
    <w:rsid w:val="00ED4D5C"/>
    <w:rsid w:val="00ED5A8D"/>
    <w:rsid w:val="00ED6F9B"/>
    <w:rsid w:val="00ED6FBD"/>
    <w:rsid w:val="00ED786B"/>
    <w:rsid w:val="00EE36E1"/>
    <w:rsid w:val="00EF0579"/>
    <w:rsid w:val="00EF203D"/>
    <w:rsid w:val="00EF2402"/>
    <w:rsid w:val="00EF5592"/>
    <w:rsid w:val="00F01C86"/>
    <w:rsid w:val="00F038A1"/>
    <w:rsid w:val="00F073D3"/>
    <w:rsid w:val="00F11528"/>
    <w:rsid w:val="00F21B02"/>
    <w:rsid w:val="00F22477"/>
    <w:rsid w:val="00F22593"/>
    <w:rsid w:val="00F23046"/>
    <w:rsid w:val="00F239E0"/>
    <w:rsid w:val="00F246E6"/>
    <w:rsid w:val="00F26A28"/>
    <w:rsid w:val="00F309DE"/>
    <w:rsid w:val="00F35CFE"/>
    <w:rsid w:val="00F37425"/>
    <w:rsid w:val="00F40405"/>
    <w:rsid w:val="00F431D0"/>
    <w:rsid w:val="00F452A5"/>
    <w:rsid w:val="00F45578"/>
    <w:rsid w:val="00F459B9"/>
    <w:rsid w:val="00F46A1A"/>
    <w:rsid w:val="00F47504"/>
    <w:rsid w:val="00F500BB"/>
    <w:rsid w:val="00F52A9B"/>
    <w:rsid w:val="00F53112"/>
    <w:rsid w:val="00F5766C"/>
    <w:rsid w:val="00F57B3C"/>
    <w:rsid w:val="00F57D0E"/>
    <w:rsid w:val="00F616CC"/>
    <w:rsid w:val="00F62455"/>
    <w:rsid w:val="00F6300A"/>
    <w:rsid w:val="00F65F29"/>
    <w:rsid w:val="00F6778E"/>
    <w:rsid w:val="00F70D7B"/>
    <w:rsid w:val="00F73532"/>
    <w:rsid w:val="00F73636"/>
    <w:rsid w:val="00F745D4"/>
    <w:rsid w:val="00F75B15"/>
    <w:rsid w:val="00F76322"/>
    <w:rsid w:val="00F777A1"/>
    <w:rsid w:val="00F81102"/>
    <w:rsid w:val="00F840DD"/>
    <w:rsid w:val="00F85BCF"/>
    <w:rsid w:val="00F863CA"/>
    <w:rsid w:val="00F86403"/>
    <w:rsid w:val="00F91C2A"/>
    <w:rsid w:val="00F94B80"/>
    <w:rsid w:val="00F94C32"/>
    <w:rsid w:val="00FA09AD"/>
    <w:rsid w:val="00FA2012"/>
    <w:rsid w:val="00FA2B58"/>
    <w:rsid w:val="00FA3462"/>
    <w:rsid w:val="00FA45C5"/>
    <w:rsid w:val="00FA68B4"/>
    <w:rsid w:val="00FA72E0"/>
    <w:rsid w:val="00FB5E2F"/>
    <w:rsid w:val="00FB5F1F"/>
    <w:rsid w:val="00FB64B4"/>
    <w:rsid w:val="00FC0CFB"/>
    <w:rsid w:val="00FC18A1"/>
    <w:rsid w:val="00FC3166"/>
    <w:rsid w:val="00FC345A"/>
    <w:rsid w:val="00FC4CE6"/>
    <w:rsid w:val="00FC7618"/>
    <w:rsid w:val="00FC7BB2"/>
    <w:rsid w:val="00FD094F"/>
    <w:rsid w:val="00FD0EC9"/>
    <w:rsid w:val="00FD3C98"/>
    <w:rsid w:val="00FD5709"/>
    <w:rsid w:val="00FD7695"/>
    <w:rsid w:val="00FE053C"/>
    <w:rsid w:val="00FE0E51"/>
    <w:rsid w:val="00FE1231"/>
    <w:rsid w:val="00FE30F0"/>
    <w:rsid w:val="00FE548F"/>
    <w:rsid w:val="00FE5FF2"/>
    <w:rsid w:val="00FE75E1"/>
    <w:rsid w:val="00FF2376"/>
    <w:rsid w:val="00FF4DE5"/>
    <w:rsid w:val="00FF733E"/>
    <w:rsid w:val="00FF7B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90"/>
    <w:pPr>
      <w:spacing w:after="0" w:line="240" w:lineRule="auto"/>
    </w:pPr>
    <w:rPr>
      <w:rFonts w:ascii="Calibri" w:eastAsia="Calibri" w:hAnsi="Calibri" w:cs="Times New Roman"/>
    </w:rPr>
  </w:style>
  <w:style w:type="paragraph" w:styleId="Heading1">
    <w:name w:val="heading 1"/>
    <w:aliases w:val="ATA Submission Heading 1"/>
    <w:basedOn w:val="Normal"/>
    <w:next w:val="Normal"/>
    <w:link w:val="Heading1Char"/>
    <w:uiPriority w:val="99"/>
    <w:qFormat/>
    <w:rsid w:val="00805D90"/>
    <w:pPr>
      <w:numPr>
        <w:numId w:val="1"/>
      </w:numPr>
      <w:outlineLvl w:val="0"/>
    </w:pPr>
    <w:rPr>
      <w:rFonts w:ascii="Arial" w:hAnsi="Arial" w:cs="Arial"/>
      <w:b/>
      <w:color w:val="00006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rsid w:val="00805D90"/>
    <w:rPr>
      <w:rFonts w:ascii="Arial" w:eastAsia="Calibri" w:hAnsi="Arial" w:cs="Arial"/>
      <w:b/>
      <w:color w:val="000064"/>
      <w:sz w:val="28"/>
      <w:szCs w:val="28"/>
    </w:rPr>
  </w:style>
  <w:style w:type="paragraph" w:styleId="BodyText2">
    <w:name w:val="Body Text 2"/>
    <w:basedOn w:val="Normal"/>
    <w:link w:val="BodyText2Char"/>
    <w:uiPriority w:val="99"/>
    <w:semiHidden/>
    <w:rsid w:val="00805D90"/>
    <w:rPr>
      <w:rFonts w:ascii="Arial" w:eastAsia="Times New Roman" w:hAnsi="Arial" w:cs="Arial"/>
      <w:b/>
      <w:bCs/>
      <w:szCs w:val="20"/>
    </w:rPr>
  </w:style>
  <w:style w:type="character" w:customStyle="1" w:styleId="BodyText2Char">
    <w:name w:val="Body Text 2 Char"/>
    <w:basedOn w:val="DefaultParagraphFont"/>
    <w:link w:val="BodyText2"/>
    <w:uiPriority w:val="99"/>
    <w:semiHidden/>
    <w:rsid w:val="00805D90"/>
    <w:rPr>
      <w:rFonts w:ascii="Arial" w:eastAsia="Times New Roman" w:hAnsi="Arial" w:cs="Arial"/>
      <w:b/>
      <w:bCs/>
      <w:szCs w:val="20"/>
    </w:rPr>
  </w:style>
  <w:style w:type="paragraph" w:styleId="Header">
    <w:name w:val="header"/>
    <w:basedOn w:val="Normal"/>
    <w:link w:val="HeaderChar"/>
    <w:uiPriority w:val="99"/>
    <w:rsid w:val="00805D90"/>
    <w:pPr>
      <w:tabs>
        <w:tab w:val="center" w:pos="4513"/>
        <w:tab w:val="right" w:pos="9026"/>
      </w:tabs>
    </w:pPr>
  </w:style>
  <w:style w:type="character" w:customStyle="1" w:styleId="HeaderChar">
    <w:name w:val="Header Char"/>
    <w:basedOn w:val="DefaultParagraphFont"/>
    <w:link w:val="Header"/>
    <w:uiPriority w:val="99"/>
    <w:rsid w:val="00805D90"/>
    <w:rPr>
      <w:rFonts w:ascii="Calibri" w:eastAsia="Calibri" w:hAnsi="Calibri" w:cs="Times New Roman"/>
    </w:rPr>
  </w:style>
  <w:style w:type="paragraph" w:styleId="Footer">
    <w:name w:val="footer"/>
    <w:basedOn w:val="Normal"/>
    <w:link w:val="FooterChar"/>
    <w:uiPriority w:val="99"/>
    <w:rsid w:val="00805D90"/>
    <w:pPr>
      <w:tabs>
        <w:tab w:val="center" w:pos="4513"/>
        <w:tab w:val="right" w:pos="9026"/>
      </w:tabs>
    </w:pPr>
  </w:style>
  <w:style w:type="character" w:customStyle="1" w:styleId="FooterChar">
    <w:name w:val="Footer Char"/>
    <w:basedOn w:val="DefaultParagraphFont"/>
    <w:link w:val="Footer"/>
    <w:uiPriority w:val="99"/>
    <w:rsid w:val="00805D90"/>
    <w:rPr>
      <w:rFonts w:ascii="Calibri" w:eastAsia="Calibri" w:hAnsi="Calibri" w:cs="Times New Roman"/>
    </w:rPr>
  </w:style>
  <w:style w:type="paragraph" w:styleId="ListParagraph">
    <w:name w:val="List Paragraph"/>
    <w:basedOn w:val="Normal"/>
    <w:uiPriority w:val="34"/>
    <w:qFormat/>
    <w:rsid w:val="00805D90"/>
    <w:pPr>
      <w:spacing w:after="200" w:line="276" w:lineRule="auto"/>
      <w:ind w:left="720"/>
      <w:contextualSpacing/>
    </w:pPr>
  </w:style>
  <w:style w:type="paragraph" w:styleId="FootnoteText">
    <w:name w:val="footnote text"/>
    <w:basedOn w:val="Normal"/>
    <w:link w:val="FootnoteTextChar"/>
    <w:uiPriority w:val="99"/>
    <w:semiHidden/>
    <w:rsid w:val="00805D90"/>
    <w:rPr>
      <w:sz w:val="20"/>
      <w:szCs w:val="20"/>
    </w:rPr>
  </w:style>
  <w:style w:type="character" w:customStyle="1" w:styleId="FootnoteTextChar">
    <w:name w:val="Footnote Text Char"/>
    <w:basedOn w:val="DefaultParagraphFont"/>
    <w:link w:val="FootnoteText"/>
    <w:uiPriority w:val="99"/>
    <w:semiHidden/>
    <w:rsid w:val="00805D90"/>
    <w:rPr>
      <w:rFonts w:ascii="Calibri" w:eastAsia="Calibri" w:hAnsi="Calibri" w:cs="Times New Roman"/>
      <w:sz w:val="20"/>
      <w:szCs w:val="20"/>
    </w:rPr>
  </w:style>
  <w:style w:type="character" w:styleId="FootnoteReference">
    <w:name w:val="footnote reference"/>
    <w:basedOn w:val="DefaultParagraphFont"/>
    <w:uiPriority w:val="99"/>
    <w:semiHidden/>
    <w:rsid w:val="00805D90"/>
    <w:rPr>
      <w:rFonts w:cs="Times New Roman"/>
      <w:vertAlign w:val="superscript"/>
    </w:rPr>
  </w:style>
  <w:style w:type="paragraph" w:customStyle="1" w:styleId="ATAHeading2">
    <w:name w:val="ATA Heading 2"/>
    <w:basedOn w:val="Normal"/>
    <w:uiPriority w:val="99"/>
    <w:rsid w:val="00805D90"/>
    <w:pPr>
      <w:numPr>
        <w:ilvl w:val="1"/>
        <w:numId w:val="1"/>
      </w:numPr>
      <w:spacing w:before="120" w:after="120" w:line="276" w:lineRule="auto"/>
    </w:pPr>
    <w:rPr>
      <w:rFonts w:ascii="Arial" w:hAnsi="Arial" w:cs="Arial"/>
      <w:b/>
      <w:color w:val="000064"/>
      <w:sz w:val="26"/>
      <w:szCs w:val="26"/>
    </w:rPr>
  </w:style>
  <w:style w:type="paragraph" w:customStyle="1" w:styleId="ATAHeading3">
    <w:name w:val="ATA Heading 3"/>
    <w:basedOn w:val="ATAHeading2"/>
    <w:uiPriority w:val="99"/>
    <w:rsid w:val="00805D90"/>
    <w:pPr>
      <w:numPr>
        <w:ilvl w:val="2"/>
      </w:numPr>
      <w:tabs>
        <w:tab w:val="left" w:pos="992"/>
      </w:tabs>
    </w:pPr>
    <w:rPr>
      <w:i/>
      <w:color w:val="0D0D0D" w:themeColor="text1" w:themeTint="F2"/>
      <w:sz w:val="22"/>
      <w:szCs w:val="22"/>
    </w:rPr>
  </w:style>
  <w:style w:type="paragraph" w:styleId="TOC1">
    <w:name w:val="toc 1"/>
    <w:basedOn w:val="Normal"/>
    <w:next w:val="Normal"/>
    <w:autoRedefine/>
    <w:uiPriority w:val="39"/>
    <w:rsid w:val="00805D90"/>
    <w:pPr>
      <w:tabs>
        <w:tab w:val="right" w:leader="dot" w:pos="9628"/>
      </w:tabs>
      <w:spacing w:before="360" w:after="100"/>
    </w:pPr>
    <w:rPr>
      <w:rFonts w:ascii="Arial" w:hAnsi="Arial"/>
      <w:b/>
      <w:noProof/>
      <w:color w:val="000000" w:themeColor="text1"/>
      <w:sz w:val="20"/>
      <w:szCs w:val="20"/>
    </w:rPr>
  </w:style>
  <w:style w:type="paragraph" w:styleId="BalloonText">
    <w:name w:val="Balloon Text"/>
    <w:basedOn w:val="Normal"/>
    <w:link w:val="BalloonTextChar"/>
    <w:uiPriority w:val="99"/>
    <w:semiHidden/>
    <w:unhideWhenUsed/>
    <w:rsid w:val="00805D90"/>
    <w:rPr>
      <w:rFonts w:ascii="Tahoma" w:hAnsi="Tahoma" w:cs="Tahoma"/>
      <w:sz w:val="16"/>
      <w:szCs w:val="16"/>
    </w:rPr>
  </w:style>
  <w:style w:type="character" w:customStyle="1" w:styleId="BalloonTextChar">
    <w:name w:val="Balloon Text Char"/>
    <w:basedOn w:val="DefaultParagraphFont"/>
    <w:link w:val="BalloonText"/>
    <w:uiPriority w:val="99"/>
    <w:semiHidden/>
    <w:rsid w:val="00805D9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526D0-C7AA-41E2-BBD9-1C62DEF2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harbers</dc:creator>
  <cp:lastModifiedBy>harbers</cp:lastModifiedBy>
  <cp:revision>3</cp:revision>
  <cp:lastPrinted>2013-08-16T00:01:00Z</cp:lastPrinted>
  <dcterms:created xsi:type="dcterms:W3CDTF">2013-08-16T00:00:00Z</dcterms:created>
  <dcterms:modified xsi:type="dcterms:W3CDTF">2013-08-16T00:08:00Z</dcterms:modified>
</cp:coreProperties>
</file>