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660"/>
        <w:gridCol w:w="6379"/>
      </w:tblGrid>
      <w:tr w:rsidR="00D735FF" w:rsidRPr="00B15706" w:rsidTr="000156D1">
        <w:trPr>
          <w:trHeight w:val="756"/>
        </w:trPr>
        <w:tc>
          <w:tcPr>
            <w:tcW w:w="2660" w:type="dxa"/>
            <w:vAlign w:val="center"/>
          </w:tcPr>
          <w:p w:rsidR="00D735FF" w:rsidRPr="00B15706" w:rsidRDefault="00D735FF" w:rsidP="00B20589">
            <w:pPr>
              <w:pStyle w:val="Header"/>
              <w:rPr>
                <w:rFonts w:ascii="Arial" w:hAnsi="Arial" w:cs="Arial"/>
                <w:b/>
                <w:sz w:val="32"/>
              </w:rPr>
            </w:pPr>
            <w:r w:rsidRPr="00B15706">
              <w:rPr>
                <w:rFonts w:ascii="Arial" w:hAnsi="Arial" w:cs="Arial"/>
                <w:b/>
                <w:sz w:val="32"/>
              </w:rPr>
              <w:t>Submission to:</w:t>
            </w:r>
          </w:p>
        </w:tc>
        <w:tc>
          <w:tcPr>
            <w:tcW w:w="6379" w:type="dxa"/>
            <w:vAlign w:val="center"/>
          </w:tcPr>
          <w:p w:rsidR="00D735FF" w:rsidRPr="00B15706" w:rsidRDefault="00C035E6" w:rsidP="00B20589">
            <w:pPr>
              <w:pStyle w:val="Header"/>
              <w:rPr>
                <w:rFonts w:ascii="Arial" w:hAnsi="Arial" w:cs="Arial"/>
                <w:sz w:val="32"/>
              </w:rPr>
            </w:pPr>
            <w:r w:rsidRPr="00B15706">
              <w:rPr>
                <w:rFonts w:ascii="Arial" w:hAnsi="Arial" w:cs="Arial"/>
                <w:sz w:val="32"/>
              </w:rPr>
              <w:t>National Transport Commission</w:t>
            </w:r>
            <w:r w:rsidR="00F3294F" w:rsidRPr="00B15706">
              <w:rPr>
                <w:rFonts w:ascii="Arial" w:hAnsi="Arial" w:cs="Arial"/>
                <w:sz w:val="32"/>
              </w:rPr>
              <w:t xml:space="preserve"> </w:t>
            </w:r>
            <w:r w:rsidR="00EA3322" w:rsidRPr="00B15706">
              <w:rPr>
                <w:rFonts w:ascii="Arial" w:hAnsi="Arial" w:cs="Arial"/>
                <w:sz w:val="32"/>
              </w:rPr>
              <w:t xml:space="preserve"> </w:t>
            </w:r>
          </w:p>
        </w:tc>
      </w:tr>
      <w:tr w:rsidR="00D735FF" w:rsidRPr="00B15706" w:rsidTr="000156D1">
        <w:trPr>
          <w:trHeight w:val="756"/>
        </w:trPr>
        <w:tc>
          <w:tcPr>
            <w:tcW w:w="2660" w:type="dxa"/>
            <w:vAlign w:val="center"/>
          </w:tcPr>
          <w:p w:rsidR="00D735FF" w:rsidRPr="00B15706" w:rsidRDefault="00D735FF" w:rsidP="00B20589">
            <w:pPr>
              <w:pStyle w:val="Header"/>
              <w:rPr>
                <w:rFonts w:ascii="Arial" w:hAnsi="Arial" w:cs="Arial"/>
                <w:b/>
                <w:sz w:val="32"/>
              </w:rPr>
            </w:pPr>
            <w:r w:rsidRPr="00B15706">
              <w:rPr>
                <w:rFonts w:ascii="Arial" w:hAnsi="Arial" w:cs="Arial"/>
                <w:b/>
                <w:sz w:val="32"/>
              </w:rPr>
              <w:t>Title:</w:t>
            </w:r>
          </w:p>
        </w:tc>
        <w:tc>
          <w:tcPr>
            <w:tcW w:w="6379" w:type="dxa"/>
            <w:vAlign w:val="center"/>
          </w:tcPr>
          <w:p w:rsidR="00D735FF" w:rsidRPr="00B15706" w:rsidRDefault="00C8106A" w:rsidP="00C8106A">
            <w:pPr>
              <w:pStyle w:val="Header"/>
              <w:rPr>
                <w:rFonts w:ascii="Arial" w:hAnsi="Arial" w:cs="Arial"/>
                <w:sz w:val="32"/>
              </w:rPr>
            </w:pPr>
            <w:bookmarkStart w:id="0" w:name="_GoBack"/>
            <w:r w:rsidRPr="00B15706">
              <w:rPr>
                <w:rFonts w:ascii="Arial" w:hAnsi="Arial" w:cs="Arial"/>
                <w:sz w:val="32"/>
              </w:rPr>
              <w:t>Heavy vehicle road user charge annual adjustment</w:t>
            </w:r>
            <w:bookmarkEnd w:id="0"/>
          </w:p>
        </w:tc>
      </w:tr>
      <w:tr w:rsidR="00D735FF" w:rsidRPr="00B15706" w:rsidTr="000156D1">
        <w:trPr>
          <w:trHeight w:val="756"/>
        </w:trPr>
        <w:tc>
          <w:tcPr>
            <w:tcW w:w="2660" w:type="dxa"/>
            <w:vAlign w:val="center"/>
          </w:tcPr>
          <w:p w:rsidR="00D735FF" w:rsidRPr="00B15706" w:rsidRDefault="00D735FF" w:rsidP="00B20589">
            <w:pPr>
              <w:pStyle w:val="Header"/>
              <w:rPr>
                <w:rFonts w:ascii="Arial" w:hAnsi="Arial" w:cs="Arial"/>
                <w:b/>
                <w:sz w:val="32"/>
              </w:rPr>
            </w:pPr>
            <w:r w:rsidRPr="00B15706">
              <w:rPr>
                <w:rFonts w:ascii="Arial" w:hAnsi="Arial" w:cs="Arial"/>
                <w:b/>
                <w:sz w:val="32"/>
              </w:rPr>
              <w:t>Date:</w:t>
            </w:r>
          </w:p>
        </w:tc>
        <w:tc>
          <w:tcPr>
            <w:tcW w:w="6379" w:type="dxa"/>
            <w:vAlign w:val="center"/>
          </w:tcPr>
          <w:p w:rsidR="00D735FF" w:rsidRPr="00B15706" w:rsidRDefault="001039F4" w:rsidP="00C035E6">
            <w:pPr>
              <w:pStyle w:val="Header"/>
              <w:rPr>
                <w:rFonts w:ascii="Arial" w:hAnsi="Arial" w:cs="Arial"/>
                <w:sz w:val="32"/>
              </w:rPr>
            </w:pPr>
            <w:r>
              <w:rPr>
                <w:rFonts w:ascii="Arial" w:hAnsi="Arial" w:cs="Arial"/>
                <w:sz w:val="32"/>
              </w:rPr>
              <w:t xml:space="preserve">7 </w:t>
            </w:r>
            <w:r w:rsidR="00B15706" w:rsidRPr="00B15706">
              <w:rPr>
                <w:rFonts w:ascii="Arial" w:hAnsi="Arial" w:cs="Arial"/>
                <w:sz w:val="32"/>
              </w:rPr>
              <w:t xml:space="preserve">April </w:t>
            </w:r>
            <w:r w:rsidR="00776E81" w:rsidRPr="00B15706">
              <w:rPr>
                <w:rFonts w:ascii="Arial" w:hAnsi="Arial" w:cs="Arial"/>
                <w:sz w:val="32"/>
              </w:rPr>
              <w:t>2015</w:t>
            </w:r>
          </w:p>
        </w:tc>
      </w:tr>
    </w:tbl>
    <w:p w:rsidR="00D735FF" w:rsidRPr="00B15706" w:rsidRDefault="00D735FF" w:rsidP="00B20589">
      <w:pPr>
        <w:pStyle w:val="Header"/>
        <w:rPr>
          <w:rFonts w:ascii="Arial" w:hAnsi="Arial" w:cs="Arial"/>
          <w:sz w:val="32"/>
        </w:rPr>
      </w:pPr>
    </w:p>
    <w:p w:rsidR="00D735FF" w:rsidRPr="00B15706" w:rsidRDefault="00D735FF" w:rsidP="00B20589">
      <w:pPr>
        <w:pStyle w:val="Header"/>
        <w:rPr>
          <w:rFonts w:ascii="Arial" w:hAnsi="Arial" w:cs="Arial"/>
          <w:sz w:val="32"/>
        </w:rPr>
      </w:pPr>
    </w:p>
    <w:p w:rsidR="00576ED0" w:rsidRPr="00B15706" w:rsidRDefault="00576ED0" w:rsidP="00B20589">
      <w:pPr>
        <w:pStyle w:val="Header"/>
        <w:rPr>
          <w:rFonts w:ascii="Arial" w:hAnsi="Arial" w:cs="Arial"/>
          <w:sz w:val="32"/>
        </w:rPr>
      </w:pPr>
    </w:p>
    <w:p w:rsidR="00576ED0" w:rsidRPr="00B15706" w:rsidRDefault="00576ED0" w:rsidP="00B20589">
      <w:pPr>
        <w:rPr>
          <w:rFonts w:ascii="Arial" w:hAnsi="Arial" w:cs="Arial"/>
        </w:rPr>
        <w:sectPr w:rsidR="00576ED0" w:rsidRPr="00B15706" w:rsidSect="005F5ACC">
          <w:headerReference w:type="even" r:id="rId8"/>
          <w:headerReference w:type="default" r:id="rId9"/>
          <w:footerReference w:type="even" r:id="rId10"/>
          <w:footerReference w:type="default" r:id="rId11"/>
          <w:headerReference w:type="first" r:id="rId12"/>
          <w:footerReference w:type="first" r:id="rId13"/>
          <w:pgSz w:w="11906" w:h="16838"/>
          <w:pgMar w:top="5103" w:right="1133" w:bottom="1418" w:left="1134" w:header="851" w:footer="651" w:gutter="0"/>
          <w:cols w:space="708"/>
          <w:docGrid w:linePitch="360"/>
        </w:sectPr>
      </w:pPr>
    </w:p>
    <w:p w:rsidR="00576ED0" w:rsidRPr="00B15706" w:rsidRDefault="00576ED0" w:rsidP="00B20589">
      <w:pPr>
        <w:rPr>
          <w:rFonts w:ascii="Arial" w:hAnsi="Arial" w:cs="Arial"/>
        </w:rPr>
      </w:pPr>
    </w:p>
    <w:p w:rsidR="0035493A" w:rsidRPr="00B15706" w:rsidRDefault="0035493A" w:rsidP="00B20589">
      <w:pPr>
        <w:rPr>
          <w:rFonts w:ascii="Arial" w:hAnsi="Arial" w:cs="Arial"/>
        </w:rPr>
      </w:pPr>
    </w:p>
    <w:p w:rsidR="0035493A" w:rsidRPr="00B15706" w:rsidRDefault="0035493A" w:rsidP="00B20589">
      <w:pPr>
        <w:rPr>
          <w:rFonts w:ascii="Arial" w:hAnsi="Arial" w:cs="Arial"/>
        </w:rPr>
      </w:pPr>
    </w:p>
    <w:p w:rsidR="0035493A" w:rsidRPr="00B15706" w:rsidRDefault="0035493A" w:rsidP="00B20589">
      <w:pPr>
        <w:rPr>
          <w:rFonts w:ascii="Arial" w:hAnsi="Arial" w:cs="Arial"/>
        </w:rPr>
      </w:pPr>
    </w:p>
    <w:p w:rsidR="0035493A" w:rsidRPr="00B15706" w:rsidRDefault="0035493A" w:rsidP="00B20589">
      <w:pPr>
        <w:rPr>
          <w:rFonts w:ascii="Arial" w:hAnsi="Arial" w:cs="Arial"/>
        </w:rPr>
      </w:pPr>
    </w:p>
    <w:p w:rsidR="0035493A" w:rsidRPr="00B15706" w:rsidRDefault="003B74E4" w:rsidP="00B20589">
      <w:pPr>
        <w:rPr>
          <w:rFonts w:ascii="Arial" w:hAnsi="Arial" w:cs="Arial"/>
          <w:b/>
          <w:color w:val="000064"/>
          <w:sz w:val="32"/>
        </w:rPr>
      </w:pPr>
      <w:r w:rsidRPr="00B15706">
        <w:rPr>
          <w:rFonts w:ascii="Arial" w:hAnsi="Arial" w:cs="Arial"/>
          <w:b/>
          <w:color w:val="000064"/>
          <w:sz w:val="32"/>
        </w:rPr>
        <w:t>Contents</w:t>
      </w:r>
    </w:p>
    <w:p w:rsidR="00576ED0" w:rsidRPr="00B15706" w:rsidRDefault="00576ED0" w:rsidP="00B20589">
      <w:pPr>
        <w:rPr>
          <w:rFonts w:ascii="Arial" w:hAnsi="Arial" w:cs="Arial"/>
        </w:rPr>
      </w:pPr>
    </w:p>
    <w:p w:rsidR="009B0520" w:rsidRPr="00B15706" w:rsidRDefault="009B0520" w:rsidP="00B20589">
      <w:pPr>
        <w:rPr>
          <w:rFonts w:ascii="Arial" w:hAnsi="Arial" w:cs="Arial"/>
        </w:rPr>
      </w:pPr>
    </w:p>
    <w:p w:rsidR="003E2C36" w:rsidRDefault="003B2024">
      <w:pPr>
        <w:pStyle w:val="TOC1"/>
        <w:tabs>
          <w:tab w:val="left" w:pos="442"/>
        </w:tabs>
        <w:rPr>
          <w:rFonts w:asciiTheme="minorHAnsi" w:eastAsiaTheme="minorEastAsia" w:hAnsiTheme="minorHAnsi" w:cstheme="minorBidi"/>
          <w:b w:val="0"/>
          <w:sz w:val="22"/>
          <w:szCs w:val="22"/>
          <w:lang w:eastAsia="en-AU"/>
        </w:rPr>
      </w:pPr>
      <w:r w:rsidRPr="00B15706">
        <w:rPr>
          <w:sz w:val="22"/>
          <w:szCs w:val="22"/>
        </w:rPr>
        <w:fldChar w:fldCharType="begin"/>
      </w:r>
      <w:r w:rsidR="00BD49FC" w:rsidRPr="00B15706">
        <w:rPr>
          <w:sz w:val="22"/>
          <w:szCs w:val="22"/>
        </w:rPr>
        <w:instrText xml:space="preserve"> TOC \o "1-2" \t "ATA Heading 2,2" </w:instrText>
      </w:r>
      <w:r w:rsidRPr="00B15706">
        <w:rPr>
          <w:sz w:val="22"/>
          <w:szCs w:val="22"/>
        </w:rPr>
        <w:fldChar w:fldCharType="separate"/>
      </w:r>
      <w:r w:rsidR="003E2C36" w:rsidRPr="0072653D">
        <w:rPr>
          <w:rFonts w:cs="Times New Roman"/>
        </w:rPr>
        <w:t>1.</w:t>
      </w:r>
      <w:r w:rsidR="003E2C36">
        <w:rPr>
          <w:rFonts w:asciiTheme="minorHAnsi" w:eastAsiaTheme="minorEastAsia" w:hAnsiTheme="minorHAnsi" w:cstheme="minorBidi"/>
          <w:b w:val="0"/>
          <w:sz w:val="22"/>
          <w:szCs w:val="22"/>
          <w:lang w:eastAsia="en-AU"/>
        </w:rPr>
        <w:tab/>
      </w:r>
      <w:r w:rsidR="003E2C36">
        <w:t>The Australian Trucking Association</w:t>
      </w:r>
      <w:r w:rsidR="003E2C36">
        <w:tab/>
      </w:r>
      <w:r w:rsidR="003E2C36">
        <w:fldChar w:fldCharType="begin"/>
      </w:r>
      <w:r w:rsidR="003E2C36">
        <w:instrText xml:space="preserve"> PAGEREF _Toc414960556 \h </w:instrText>
      </w:r>
      <w:r w:rsidR="003E2C36">
        <w:fldChar w:fldCharType="separate"/>
      </w:r>
      <w:r w:rsidR="007D2055">
        <w:t>3</w:t>
      </w:r>
      <w:r w:rsidR="003E2C36">
        <w:fldChar w:fldCharType="end"/>
      </w:r>
    </w:p>
    <w:p w:rsidR="003E2C36" w:rsidRDefault="003E2C36">
      <w:pPr>
        <w:pStyle w:val="TOC1"/>
        <w:tabs>
          <w:tab w:val="left" w:pos="442"/>
        </w:tabs>
        <w:rPr>
          <w:rFonts w:asciiTheme="minorHAnsi" w:eastAsiaTheme="minorEastAsia" w:hAnsiTheme="minorHAnsi" w:cstheme="minorBidi"/>
          <w:b w:val="0"/>
          <w:sz w:val="22"/>
          <w:szCs w:val="22"/>
          <w:lang w:eastAsia="en-AU"/>
        </w:rPr>
      </w:pPr>
      <w:r w:rsidRPr="0072653D">
        <w:rPr>
          <w:rFonts w:cs="Times New Roman"/>
        </w:rPr>
        <w:t>2.</w:t>
      </w:r>
      <w:r>
        <w:rPr>
          <w:rFonts w:asciiTheme="minorHAnsi" w:eastAsiaTheme="minorEastAsia" w:hAnsiTheme="minorHAnsi" w:cstheme="minorBidi"/>
          <w:b w:val="0"/>
          <w:sz w:val="22"/>
          <w:szCs w:val="22"/>
          <w:lang w:eastAsia="en-AU"/>
        </w:rPr>
        <w:tab/>
      </w:r>
      <w:r>
        <w:t>Summary of recommendations</w:t>
      </w:r>
      <w:r>
        <w:tab/>
      </w:r>
      <w:r>
        <w:fldChar w:fldCharType="begin"/>
      </w:r>
      <w:r>
        <w:instrText xml:space="preserve"> PAGEREF _Toc414960557 \h </w:instrText>
      </w:r>
      <w:r>
        <w:fldChar w:fldCharType="separate"/>
      </w:r>
      <w:r w:rsidR="007D2055">
        <w:t>3</w:t>
      </w:r>
      <w:r>
        <w:fldChar w:fldCharType="end"/>
      </w:r>
    </w:p>
    <w:p w:rsidR="003E2C36" w:rsidRDefault="003E2C36">
      <w:pPr>
        <w:pStyle w:val="TOC1"/>
        <w:tabs>
          <w:tab w:val="left" w:pos="442"/>
        </w:tabs>
        <w:rPr>
          <w:rFonts w:asciiTheme="minorHAnsi" w:eastAsiaTheme="minorEastAsia" w:hAnsiTheme="minorHAnsi" w:cstheme="minorBidi"/>
          <w:b w:val="0"/>
          <w:sz w:val="22"/>
          <w:szCs w:val="22"/>
          <w:lang w:eastAsia="en-AU"/>
        </w:rPr>
      </w:pPr>
      <w:r w:rsidRPr="0072653D">
        <w:rPr>
          <w:rFonts w:cs="Times New Roman"/>
        </w:rPr>
        <w:t>3.</w:t>
      </w:r>
      <w:r>
        <w:rPr>
          <w:rFonts w:asciiTheme="minorHAnsi" w:eastAsiaTheme="minorEastAsia" w:hAnsiTheme="minorHAnsi" w:cstheme="minorBidi"/>
          <w:b w:val="0"/>
          <w:sz w:val="22"/>
          <w:szCs w:val="22"/>
          <w:lang w:eastAsia="en-AU"/>
        </w:rPr>
        <w:tab/>
      </w:r>
      <w:r>
        <w:t>Introduction</w:t>
      </w:r>
      <w:r>
        <w:tab/>
      </w:r>
      <w:r>
        <w:fldChar w:fldCharType="begin"/>
      </w:r>
      <w:r>
        <w:instrText xml:space="preserve"> PAGEREF _Toc414960558 \h </w:instrText>
      </w:r>
      <w:r>
        <w:fldChar w:fldCharType="separate"/>
      </w:r>
      <w:r w:rsidR="007D2055">
        <w:t>3</w:t>
      </w:r>
      <w:r>
        <w:fldChar w:fldCharType="end"/>
      </w:r>
    </w:p>
    <w:p w:rsidR="003E2C36" w:rsidRDefault="003E2C36">
      <w:pPr>
        <w:pStyle w:val="TOC1"/>
        <w:tabs>
          <w:tab w:val="left" w:pos="442"/>
        </w:tabs>
        <w:rPr>
          <w:rFonts w:asciiTheme="minorHAnsi" w:eastAsiaTheme="minorEastAsia" w:hAnsiTheme="minorHAnsi" w:cstheme="minorBidi"/>
          <w:b w:val="0"/>
          <w:sz w:val="22"/>
          <w:szCs w:val="22"/>
          <w:lang w:eastAsia="en-AU"/>
        </w:rPr>
      </w:pPr>
      <w:r w:rsidRPr="0072653D">
        <w:rPr>
          <w:rFonts w:cs="Times New Roman"/>
        </w:rPr>
        <w:t>4.</w:t>
      </w:r>
      <w:r>
        <w:rPr>
          <w:rFonts w:asciiTheme="minorHAnsi" w:eastAsiaTheme="minorEastAsia" w:hAnsiTheme="minorHAnsi" w:cstheme="minorBidi"/>
          <w:b w:val="0"/>
          <w:sz w:val="22"/>
          <w:szCs w:val="22"/>
          <w:lang w:eastAsia="en-AU"/>
        </w:rPr>
        <w:tab/>
      </w:r>
      <w:r>
        <w:t>The underlying problem with the current PayGo model</w:t>
      </w:r>
      <w:r>
        <w:tab/>
      </w:r>
      <w:r>
        <w:fldChar w:fldCharType="begin"/>
      </w:r>
      <w:r>
        <w:instrText xml:space="preserve"> PAGEREF _Toc414960559 \h </w:instrText>
      </w:r>
      <w:r>
        <w:fldChar w:fldCharType="separate"/>
      </w:r>
      <w:r w:rsidR="007D2055">
        <w:t>3</w:t>
      </w:r>
      <w:r>
        <w:fldChar w:fldCharType="end"/>
      </w:r>
    </w:p>
    <w:p w:rsidR="003E2C36" w:rsidRDefault="003E2C36">
      <w:pPr>
        <w:pStyle w:val="TOC1"/>
        <w:tabs>
          <w:tab w:val="left" w:pos="442"/>
        </w:tabs>
        <w:rPr>
          <w:rFonts w:asciiTheme="minorHAnsi" w:eastAsiaTheme="minorEastAsia" w:hAnsiTheme="minorHAnsi" w:cstheme="minorBidi"/>
          <w:b w:val="0"/>
          <w:sz w:val="22"/>
          <w:szCs w:val="22"/>
          <w:lang w:eastAsia="en-AU"/>
        </w:rPr>
      </w:pPr>
      <w:r w:rsidRPr="0072653D">
        <w:rPr>
          <w:rFonts w:cs="Times New Roman"/>
        </w:rPr>
        <w:t>5.</w:t>
      </w:r>
      <w:r>
        <w:rPr>
          <w:rFonts w:asciiTheme="minorHAnsi" w:eastAsiaTheme="minorEastAsia" w:hAnsiTheme="minorHAnsi" w:cstheme="minorBidi"/>
          <w:b w:val="0"/>
          <w:sz w:val="22"/>
          <w:szCs w:val="22"/>
          <w:lang w:eastAsia="en-AU"/>
        </w:rPr>
        <w:tab/>
      </w:r>
      <w:r>
        <w:t>The Solution</w:t>
      </w:r>
      <w:r>
        <w:tab/>
      </w:r>
      <w:r>
        <w:fldChar w:fldCharType="begin"/>
      </w:r>
      <w:r>
        <w:instrText xml:space="preserve"> PAGEREF _Toc414960560 \h </w:instrText>
      </w:r>
      <w:r>
        <w:fldChar w:fldCharType="separate"/>
      </w:r>
      <w:r w:rsidR="007D2055">
        <w:t>7</w:t>
      </w:r>
      <w:r>
        <w:fldChar w:fldCharType="end"/>
      </w:r>
    </w:p>
    <w:p w:rsidR="00241C15" w:rsidRPr="00B15706" w:rsidRDefault="003B2024" w:rsidP="00B20589">
      <w:pPr>
        <w:tabs>
          <w:tab w:val="right" w:leader="dot" w:pos="9645"/>
        </w:tabs>
        <w:rPr>
          <w:rFonts w:ascii="Arial" w:hAnsi="Arial" w:cs="Arial"/>
        </w:rPr>
      </w:pPr>
      <w:r w:rsidRPr="00B15706">
        <w:rPr>
          <w:rFonts w:ascii="Arial" w:hAnsi="Arial" w:cs="Arial"/>
          <w:b/>
          <w:noProof/>
        </w:rPr>
        <w:fldChar w:fldCharType="end"/>
      </w:r>
    </w:p>
    <w:p w:rsidR="00576ED0" w:rsidRPr="00B15706" w:rsidRDefault="00576ED0" w:rsidP="00B20589">
      <w:pPr>
        <w:rPr>
          <w:rFonts w:ascii="Arial" w:hAnsi="Arial" w:cs="Arial"/>
        </w:rPr>
      </w:pPr>
      <w:r w:rsidRPr="00B15706">
        <w:rPr>
          <w:rFonts w:ascii="Arial" w:hAnsi="Arial" w:cs="Arial"/>
        </w:rPr>
        <w:br w:type="page"/>
      </w:r>
    </w:p>
    <w:p w:rsidR="005B64D9" w:rsidRPr="00B15706" w:rsidRDefault="003E2C36" w:rsidP="005B64D9">
      <w:pPr>
        <w:pStyle w:val="Heading1"/>
        <w:rPr>
          <w:szCs w:val="22"/>
        </w:rPr>
      </w:pPr>
      <w:bookmarkStart w:id="1" w:name="_Toc414960556"/>
      <w:r>
        <w:rPr>
          <w:szCs w:val="22"/>
        </w:rPr>
        <w:lastRenderedPageBreak/>
        <w:t xml:space="preserve">The </w:t>
      </w:r>
      <w:r w:rsidR="005B64D9" w:rsidRPr="00B15706">
        <w:rPr>
          <w:szCs w:val="22"/>
        </w:rPr>
        <w:t>Australian Trucking Association</w:t>
      </w:r>
      <w:bookmarkEnd w:id="1"/>
    </w:p>
    <w:p w:rsidR="005B64D9" w:rsidRPr="00B15706" w:rsidRDefault="005B64D9" w:rsidP="005B64D9">
      <w:pPr>
        <w:pStyle w:val="BodyText2"/>
        <w:rPr>
          <w:b w:val="0"/>
          <w:szCs w:val="22"/>
        </w:rPr>
      </w:pPr>
    </w:p>
    <w:p w:rsidR="005B64D9" w:rsidRPr="00B15706" w:rsidRDefault="005B64D9" w:rsidP="005B64D9">
      <w:pPr>
        <w:pStyle w:val="BodyText2"/>
        <w:rPr>
          <w:b w:val="0"/>
          <w:szCs w:val="22"/>
        </w:rPr>
      </w:pPr>
      <w:r w:rsidRPr="00B15706">
        <w:rPr>
          <w:b w:val="0"/>
          <w:szCs w:val="22"/>
        </w:rPr>
        <w:t xml:space="preserve">The ATA is the peak body that represents the trucking industry. Its members include state and sector-based trucking associations, some of the nation’s largest transport companies, and businesses with leading expertise in truck technology. </w:t>
      </w:r>
    </w:p>
    <w:p w:rsidR="00E270A8" w:rsidRPr="00B15706" w:rsidRDefault="00E270A8" w:rsidP="005B64D9">
      <w:pPr>
        <w:pStyle w:val="BodyText2"/>
        <w:rPr>
          <w:b w:val="0"/>
          <w:szCs w:val="22"/>
        </w:rPr>
      </w:pPr>
    </w:p>
    <w:p w:rsidR="00E270A8" w:rsidRPr="00B15706" w:rsidRDefault="00E270A8" w:rsidP="005B64D9">
      <w:pPr>
        <w:pStyle w:val="BodyText2"/>
        <w:rPr>
          <w:b w:val="0"/>
          <w:szCs w:val="22"/>
        </w:rPr>
      </w:pPr>
    </w:p>
    <w:p w:rsidR="0087780E" w:rsidRPr="0087780E" w:rsidRDefault="00E270A8" w:rsidP="00E270A8">
      <w:pPr>
        <w:pStyle w:val="Heading1"/>
        <w:rPr>
          <w:szCs w:val="22"/>
        </w:rPr>
      </w:pPr>
      <w:bookmarkStart w:id="2" w:name="_Toc414960557"/>
      <w:r w:rsidRPr="00B15706">
        <w:rPr>
          <w:szCs w:val="22"/>
        </w:rPr>
        <w:t>Summary of recommendations</w:t>
      </w:r>
      <w:bookmarkEnd w:id="2"/>
    </w:p>
    <w:p w:rsidR="0087780E" w:rsidRPr="0087780E" w:rsidRDefault="0087780E" w:rsidP="0087780E">
      <w:pPr>
        <w:rPr>
          <w:rFonts w:ascii="Arial" w:hAnsi="Arial" w:cs="Arial"/>
          <w:b/>
        </w:rPr>
      </w:pPr>
    </w:p>
    <w:p w:rsidR="0087780E" w:rsidRPr="00161193" w:rsidRDefault="0087780E" w:rsidP="0087780E">
      <w:pPr>
        <w:pStyle w:val="ListParagraph"/>
        <w:numPr>
          <w:ilvl w:val="0"/>
          <w:numId w:val="35"/>
        </w:numPr>
        <w:spacing w:after="0" w:line="240" w:lineRule="auto"/>
        <w:rPr>
          <w:rFonts w:ascii="Arial" w:hAnsi="Arial" w:cs="Arial"/>
        </w:rPr>
      </w:pPr>
      <w:r w:rsidRPr="00161193">
        <w:rPr>
          <w:rFonts w:ascii="Arial" w:hAnsi="Arial" w:cs="Arial"/>
        </w:rPr>
        <w:t>Ministers should note that the NTC’s annual adjustment recommendation is based on the existing outdated and discredited model to calculate heavy vehicle charges.</w:t>
      </w:r>
    </w:p>
    <w:p w:rsidR="0087780E" w:rsidRPr="00161193" w:rsidRDefault="0087780E" w:rsidP="0087780E">
      <w:pPr>
        <w:ind w:left="360"/>
        <w:rPr>
          <w:rFonts w:ascii="Arial" w:hAnsi="Arial" w:cs="Arial"/>
        </w:rPr>
      </w:pPr>
    </w:p>
    <w:p w:rsidR="0087780E" w:rsidRPr="00161193" w:rsidRDefault="0087780E" w:rsidP="0087780E">
      <w:pPr>
        <w:pStyle w:val="ListParagraph"/>
        <w:numPr>
          <w:ilvl w:val="0"/>
          <w:numId w:val="35"/>
        </w:numPr>
        <w:spacing w:after="0" w:line="240" w:lineRule="auto"/>
        <w:rPr>
          <w:rFonts w:ascii="Arial" w:hAnsi="Arial" w:cs="Arial"/>
        </w:rPr>
      </w:pPr>
      <w:r w:rsidRPr="00161193">
        <w:rPr>
          <w:rFonts w:ascii="Arial" w:hAnsi="Arial" w:cs="Arial"/>
        </w:rPr>
        <w:t xml:space="preserve">The road user charge and registration charges should be frozen for 2015-16. </w:t>
      </w:r>
    </w:p>
    <w:p w:rsidR="0087780E" w:rsidRPr="00161193" w:rsidRDefault="0087780E" w:rsidP="0087780E">
      <w:pPr>
        <w:pStyle w:val="ListParagraph"/>
        <w:rPr>
          <w:rFonts w:ascii="Arial" w:hAnsi="Arial" w:cs="Arial"/>
        </w:rPr>
      </w:pPr>
    </w:p>
    <w:p w:rsidR="0087780E" w:rsidRPr="00161193" w:rsidRDefault="0087780E" w:rsidP="0087780E">
      <w:pPr>
        <w:pStyle w:val="ListParagraph"/>
        <w:numPr>
          <w:ilvl w:val="0"/>
          <w:numId w:val="35"/>
        </w:numPr>
        <w:spacing w:after="0" w:line="240" w:lineRule="auto"/>
        <w:rPr>
          <w:rFonts w:ascii="Arial" w:hAnsi="Arial" w:cs="Arial"/>
        </w:rPr>
      </w:pPr>
      <w:r w:rsidRPr="00161193">
        <w:rPr>
          <w:rFonts w:ascii="Arial" w:hAnsi="Arial" w:cs="Arial"/>
        </w:rPr>
        <w:t xml:space="preserve">Option A, as described in the NTC 2014 Heavy Vehicle Charges Determination RIS, should be implemented from 1 July 2016. </w:t>
      </w:r>
    </w:p>
    <w:p w:rsidR="00E270A8" w:rsidRPr="00B15706" w:rsidRDefault="00E270A8" w:rsidP="00E270A8">
      <w:pPr>
        <w:rPr>
          <w:rFonts w:ascii="Arial" w:eastAsiaTheme="minorHAnsi" w:hAnsi="Arial" w:cs="Arial"/>
        </w:rPr>
      </w:pPr>
    </w:p>
    <w:p w:rsidR="00600132" w:rsidRPr="00B15706" w:rsidRDefault="00576ED0" w:rsidP="00B20589">
      <w:pPr>
        <w:pStyle w:val="Heading1"/>
        <w:rPr>
          <w:szCs w:val="22"/>
        </w:rPr>
      </w:pPr>
      <w:bookmarkStart w:id="3" w:name="_Toc414960558"/>
      <w:r w:rsidRPr="00B15706">
        <w:rPr>
          <w:szCs w:val="22"/>
        </w:rPr>
        <w:t>Introduction</w:t>
      </w:r>
      <w:bookmarkEnd w:id="3"/>
    </w:p>
    <w:p w:rsidR="00C322A1" w:rsidRPr="00B15706" w:rsidRDefault="00C322A1" w:rsidP="00B20589">
      <w:pPr>
        <w:rPr>
          <w:rFonts w:ascii="Arial" w:eastAsia="Times New Roman" w:hAnsi="Arial" w:cs="Arial"/>
          <w:bCs/>
        </w:rPr>
      </w:pPr>
    </w:p>
    <w:p w:rsidR="005507B9" w:rsidRPr="005507B9" w:rsidRDefault="005507B9" w:rsidP="005507B9">
      <w:pPr>
        <w:spacing w:after="160" w:line="259" w:lineRule="auto"/>
        <w:rPr>
          <w:rFonts w:ascii="Arial" w:eastAsia="Times New Roman" w:hAnsi="Arial" w:cs="Arial"/>
          <w:bCs/>
        </w:rPr>
      </w:pPr>
      <w:r w:rsidRPr="005507B9">
        <w:rPr>
          <w:rFonts w:ascii="Arial" w:eastAsia="Times New Roman" w:hAnsi="Arial" w:cs="Arial"/>
          <w:bCs/>
        </w:rPr>
        <w:t>In the 2014, the NTC recommended the PayGo model should be updated to stop the model over-estimating heavy vehicle charges the industry pays for registration and the road user charge. This has led to the PayGo model overcha</w:t>
      </w:r>
      <w:r>
        <w:rPr>
          <w:rFonts w:ascii="Arial" w:eastAsia="Times New Roman" w:hAnsi="Arial" w:cs="Arial"/>
          <w:bCs/>
        </w:rPr>
        <w:t xml:space="preserve">rging the industry since 2007. </w:t>
      </w:r>
    </w:p>
    <w:p w:rsidR="005507B9" w:rsidRPr="005507B9" w:rsidRDefault="005507B9" w:rsidP="005507B9">
      <w:pPr>
        <w:spacing w:after="160" w:line="259" w:lineRule="auto"/>
        <w:rPr>
          <w:rFonts w:ascii="Arial" w:eastAsia="Times New Roman" w:hAnsi="Arial" w:cs="Arial"/>
          <w:bCs/>
        </w:rPr>
      </w:pPr>
      <w:r w:rsidRPr="005507B9">
        <w:rPr>
          <w:rFonts w:ascii="Arial" w:eastAsia="Times New Roman" w:hAnsi="Arial" w:cs="Arial"/>
          <w:bCs/>
        </w:rPr>
        <w:t>State and territory ministers were aware of the PayGo model’s failings and were asked to vote for necessary updates as recommended by the NTC at the May 2014 Transport and Infrastructure Council meeting. The Commonwealth acknowledged the inevitable over-recovery and froze the road user charge for 2014-15. However, they rejected the immediate introduction of the NTC recommendation and as a result road transport operators continue to be overcharged. In 2014-15 the heavy vehicle industry was overcharged by $200 mill</w:t>
      </w:r>
      <w:r>
        <w:rPr>
          <w:rFonts w:ascii="Arial" w:eastAsia="Times New Roman" w:hAnsi="Arial" w:cs="Arial"/>
          <w:bCs/>
        </w:rPr>
        <w:t>ion by the NTC’s own estimates.</w:t>
      </w:r>
    </w:p>
    <w:p w:rsidR="005507B9" w:rsidRPr="005507B9" w:rsidRDefault="005507B9" w:rsidP="005507B9">
      <w:pPr>
        <w:spacing w:after="160" w:line="259" w:lineRule="auto"/>
        <w:rPr>
          <w:rFonts w:ascii="Arial" w:eastAsia="Times New Roman" w:hAnsi="Arial" w:cs="Arial"/>
          <w:bCs/>
        </w:rPr>
      </w:pPr>
      <w:r w:rsidRPr="005507B9">
        <w:rPr>
          <w:rFonts w:ascii="Arial" w:eastAsia="Times New Roman" w:hAnsi="Arial" w:cs="Arial"/>
          <w:bCs/>
        </w:rPr>
        <w:t>The PayGo model used to generate the annual adjustment is the same model that the NTC itself discredited in the 2014 heavy vehicle charges determination. As a result the proposed annual adjustment figure of 0.6 per cent should not be applied to hea</w:t>
      </w:r>
      <w:r>
        <w:rPr>
          <w:rFonts w:ascii="Arial" w:eastAsia="Times New Roman" w:hAnsi="Arial" w:cs="Arial"/>
          <w:bCs/>
        </w:rPr>
        <w:t xml:space="preserve">vy vehicle charges in 2015-16. </w:t>
      </w:r>
    </w:p>
    <w:p w:rsidR="00165392" w:rsidRPr="00B15706" w:rsidRDefault="005507B9" w:rsidP="005507B9">
      <w:pPr>
        <w:spacing w:after="160" w:line="259" w:lineRule="auto"/>
        <w:rPr>
          <w:rFonts w:ascii="Arial" w:hAnsi="Arial" w:cs="Arial"/>
          <w:szCs w:val="24"/>
        </w:rPr>
      </w:pPr>
      <w:r w:rsidRPr="005507B9">
        <w:rPr>
          <w:rFonts w:ascii="Arial" w:eastAsia="Times New Roman" w:hAnsi="Arial" w:cs="Arial"/>
          <w:bCs/>
        </w:rPr>
        <w:t xml:space="preserve">Instead, heavy vehicle charges should be frozen and option A, as described in the NTC 2014, Heavy Vehicle Charges Determination Regulatory Impact Statement, should be implemented in 1 July 2016.  </w:t>
      </w:r>
      <w:r w:rsidR="00165392" w:rsidRPr="00B15706">
        <w:rPr>
          <w:rFonts w:ascii="Arial" w:hAnsi="Arial" w:cs="Arial"/>
          <w:szCs w:val="24"/>
        </w:rPr>
        <w:t xml:space="preserve"> </w:t>
      </w:r>
    </w:p>
    <w:p w:rsidR="00165392" w:rsidRPr="00B15706" w:rsidRDefault="00165392" w:rsidP="00165392">
      <w:pPr>
        <w:pStyle w:val="Heading1"/>
        <w:rPr>
          <w:szCs w:val="22"/>
        </w:rPr>
      </w:pPr>
      <w:bookmarkStart w:id="4" w:name="_Toc414960559"/>
      <w:r w:rsidRPr="00B15706">
        <w:rPr>
          <w:szCs w:val="22"/>
        </w:rPr>
        <w:t>The underlying problem with the current PayGo model</w:t>
      </w:r>
      <w:bookmarkEnd w:id="4"/>
    </w:p>
    <w:p w:rsidR="00165392" w:rsidRPr="00B15706" w:rsidRDefault="00537625" w:rsidP="00165392">
      <w:pPr>
        <w:spacing w:before="100" w:beforeAutospacing="1" w:after="100" w:afterAutospacing="1"/>
        <w:rPr>
          <w:rFonts w:ascii="Arial" w:hAnsi="Arial" w:cs="Arial"/>
          <w:b/>
          <w:szCs w:val="24"/>
          <w:lang w:eastAsia="en-AU"/>
        </w:rPr>
      </w:pPr>
      <w:r w:rsidRPr="00B15706">
        <w:rPr>
          <w:rFonts w:ascii="Arial" w:hAnsi="Arial" w:cs="Arial"/>
          <w:b/>
          <w:szCs w:val="24"/>
          <w:lang w:eastAsia="en-AU"/>
        </w:rPr>
        <w:t xml:space="preserve">The </w:t>
      </w:r>
      <w:r w:rsidR="007C1A49" w:rsidRPr="00B15706">
        <w:rPr>
          <w:rFonts w:ascii="Arial" w:hAnsi="Arial" w:cs="Arial"/>
          <w:b/>
          <w:szCs w:val="24"/>
          <w:lang w:eastAsia="en-AU"/>
        </w:rPr>
        <w:t xml:space="preserve">use of a </w:t>
      </w:r>
      <w:r w:rsidRPr="00B15706">
        <w:rPr>
          <w:rFonts w:ascii="Arial" w:hAnsi="Arial" w:cs="Arial"/>
          <w:b/>
          <w:szCs w:val="24"/>
          <w:lang w:eastAsia="en-AU"/>
        </w:rPr>
        <w:t>lagged heavy vehicle population</w:t>
      </w:r>
    </w:p>
    <w:p w:rsidR="007C1A49" w:rsidRPr="00B15706" w:rsidRDefault="00165392" w:rsidP="00165392">
      <w:pPr>
        <w:spacing w:before="100" w:beforeAutospacing="1" w:after="100" w:afterAutospacing="1"/>
        <w:rPr>
          <w:rFonts w:ascii="Arial" w:hAnsi="Arial" w:cs="Arial"/>
          <w:szCs w:val="24"/>
          <w:lang w:eastAsia="en-AU"/>
        </w:rPr>
      </w:pPr>
      <w:r w:rsidRPr="00B15706">
        <w:rPr>
          <w:rFonts w:ascii="Arial" w:hAnsi="Arial" w:cs="Arial"/>
          <w:szCs w:val="24"/>
          <w:lang w:eastAsia="en-AU"/>
        </w:rPr>
        <w:t xml:space="preserve">The NTC </w:t>
      </w:r>
      <w:r w:rsidR="0087780E">
        <w:rPr>
          <w:rFonts w:ascii="Arial" w:hAnsi="Arial" w:cs="Arial"/>
          <w:szCs w:val="24"/>
          <w:lang w:eastAsia="en-AU"/>
        </w:rPr>
        <w:t>has</w:t>
      </w:r>
      <w:r w:rsidRPr="00B15706">
        <w:rPr>
          <w:rFonts w:ascii="Arial" w:hAnsi="Arial" w:cs="Arial"/>
          <w:szCs w:val="24"/>
          <w:lang w:eastAsia="en-AU"/>
        </w:rPr>
        <w:t xml:space="preserve"> recommended a 0.6 per cent increase in heavy vehicle charges, but if the most up to date figures for heavy vehicle population </w:t>
      </w:r>
      <w:r w:rsidR="0087780E">
        <w:rPr>
          <w:rFonts w:ascii="Arial" w:hAnsi="Arial" w:cs="Arial"/>
          <w:szCs w:val="24"/>
          <w:lang w:eastAsia="en-AU"/>
        </w:rPr>
        <w:t>were</w:t>
      </w:r>
      <w:r w:rsidRPr="00B15706">
        <w:rPr>
          <w:rFonts w:ascii="Arial" w:hAnsi="Arial" w:cs="Arial"/>
          <w:szCs w:val="24"/>
          <w:lang w:eastAsia="en-AU"/>
        </w:rPr>
        <w:t xml:space="preserve"> to be used in the PayGo model charges would be redu</w:t>
      </w:r>
      <w:r w:rsidR="007C1A49" w:rsidRPr="00B15706">
        <w:rPr>
          <w:rFonts w:ascii="Arial" w:hAnsi="Arial" w:cs="Arial"/>
          <w:szCs w:val="24"/>
          <w:lang w:eastAsia="en-AU"/>
        </w:rPr>
        <w:t>c</w:t>
      </w:r>
      <w:r w:rsidR="00161193">
        <w:rPr>
          <w:rFonts w:ascii="Arial" w:hAnsi="Arial" w:cs="Arial"/>
          <w:szCs w:val="24"/>
          <w:lang w:eastAsia="en-AU"/>
        </w:rPr>
        <w:t xml:space="preserve">ed, not increased, for 2015-16. </w:t>
      </w:r>
    </w:p>
    <w:p w:rsidR="00165392" w:rsidRPr="00B15706" w:rsidRDefault="00165392" w:rsidP="00165392">
      <w:pPr>
        <w:spacing w:before="100" w:beforeAutospacing="1" w:after="100" w:afterAutospacing="1"/>
        <w:rPr>
          <w:rFonts w:ascii="Arial" w:hAnsi="Arial" w:cs="Arial"/>
          <w:szCs w:val="24"/>
          <w:lang w:eastAsia="en-AU"/>
        </w:rPr>
      </w:pPr>
      <w:r w:rsidRPr="00B15706">
        <w:rPr>
          <w:rFonts w:ascii="Arial" w:hAnsi="Arial" w:cs="Arial"/>
          <w:szCs w:val="24"/>
          <w:lang w:eastAsia="en-AU"/>
        </w:rPr>
        <w:t xml:space="preserve">The heavy vehicle industry was overcharged by $200 million in 2014-15 and now will be overcharged again by </w:t>
      </w:r>
      <w:r w:rsidR="0087780E">
        <w:rPr>
          <w:rFonts w:ascii="Arial" w:hAnsi="Arial" w:cs="Arial"/>
          <w:szCs w:val="24"/>
          <w:lang w:eastAsia="en-AU"/>
        </w:rPr>
        <w:t>some</w:t>
      </w:r>
      <w:r w:rsidRPr="00B15706">
        <w:rPr>
          <w:rFonts w:ascii="Arial" w:hAnsi="Arial" w:cs="Arial"/>
          <w:szCs w:val="24"/>
          <w:lang w:eastAsia="en-AU"/>
        </w:rPr>
        <w:t xml:space="preserve"> $1</w:t>
      </w:r>
      <w:r w:rsidR="0087780E">
        <w:rPr>
          <w:rFonts w:ascii="Arial" w:hAnsi="Arial" w:cs="Arial"/>
          <w:szCs w:val="24"/>
          <w:lang w:eastAsia="en-AU"/>
        </w:rPr>
        <w:t>17</w:t>
      </w:r>
      <w:r w:rsidRPr="00B15706">
        <w:rPr>
          <w:rFonts w:ascii="Arial" w:hAnsi="Arial" w:cs="Arial"/>
          <w:szCs w:val="24"/>
          <w:lang w:eastAsia="en-AU"/>
        </w:rPr>
        <w:t xml:space="preserve"> million in 2015-16. </w:t>
      </w:r>
    </w:p>
    <w:p w:rsidR="00165392" w:rsidRPr="00B15706" w:rsidRDefault="00165392" w:rsidP="00165392">
      <w:pPr>
        <w:spacing w:before="100" w:beforeAutospacing="1" w:after="100" w:afterAutospacing="1"/>
        <w:rPr>
          <w:rFonts w:ascii="Arial" w:hAnsi="Arial" w:cs="Arial"/>
          <w:szCs w:val="24"/>
          <w:lang w:eastAsia="en-AU"/>
        </w:rPr>
      </w:pPr>
      <w:r w:rsidRPr="00B15706">
        <w:rPr>
          <w:rFonts w:ascii="Arial" w:hAnsi="Arial" w:cs="Arial"/>
          <w:szCs w:val="24"/>
          <w:lang w:eastAsia="en-AU"/>
        </w:rPr>
        <w:t xml:space="preserve">This is because the PayGo model uses a lagged heavy vehicle population but the most up-to-date expenditure figures. This lag underestimates the true number of heavy vehicles on the road, leading to charges being much higher than they should be. </w:t>
      </w:r>
    </w:p>
    <w:p w:rsidR="00165392" w:rsidRDefault="00165392" w:rsidP="00165392">
      <w:pPr>
        <w:spacing w:before="100" w:beforeAutospacing="1" w:after="100" w:afterAutospacing="1"/>
        <w:rPr>
          <w:rFonts w:ascii="Arial" w:hAnsi="Arial" w:cs="Arial"/>
          <w:szCs w:val="24"/>
          <w:lang w:eastAsia="en-AU"/>
        </w:rPr>
      </w:pPr>
      <w:r w:rsidRPr="00B15706">
        <w:rPr>
          <w:rFonts w:ascii="Arial" w:hAnsi="Arial" w:cs="Arial"/>
          <w:szCs w:val="24"/>
          <w:lang w:eastAsia="en-AU"/>
        </w:rPr>
        <w:t xml:space="preserve">The 2015-16 charges were calculated on a population of </w:t>
      </w:r>
      <w:r w:rsidRPr="0087780E">
        <w:rPr>
          <w:rFonts w:ascii="Arial" w:hAnsi="Arial" w:cs="Arial"/>
          <w:b/>
          <w:szCs w:val="24"/>
          <w:lang w:eastAsia="en-AU"/>
        </w:rPr>
        <w:t>441,000 heavy vehicles</w:t>
      </w:r>
      <w:r w:rsidRPr="00B15706">
        <w:rPr>
          <w:rFonts w:ascii="Arial" w:hAnsi="Arial" w:cs="Arial"/>
          <w:szCs w:val="24"/>
          <w:lang w:eastAsia="en-AU"/>
        </w:rPr>
        <w:t xml:space="preserve">. In contrast, the most up to date figures publically available estimated heavy vehicle population figures based on NTC trending for 2012-13 showed heavy vehicles totalling </w:t>
      </w:r>
      <w:r w:rsidRPr="0087780E">
        <w:rPr>
          <w:rFonts w:ascii="Arial" w:hAnsi="Arial" w:cs="Arial"/>
          <w:b/>
          <w:szCs w:val="24"/>
          <w:lang w:eastAsia="en-AU"/>
        </w:rPr>
        <w:t>493,182</w:t>
      </w:r>
      <w:r w:rsidRPr="00B15706">
        <w:rPr>
          <w:rFonts w:ascii="Arial" w:hAnsi="Arial" w:cs="Arial"/>
          <w:szCs w:val="24"/>
          <w:lang w:eastAsia="en-AU"/>
        </w:rPr>
        <w:t>.</w:t>
      </w:r>
    </w:p>
    <w:p w:rsidR="00FD1A20" w:rsidRPr="00B15706" w:rsidRDefault="00FD1A20" w:rsidP="00165392">
      <w:pPr>
        <w:spacing w:before="100" w:beforeAutospacing="1" w:after="100" w:afterAutospacing="1"/>
        <w:rPr>
          <w:rFonts w:ascii="Arial" w:hAnsi="Arial" w:cs="Arial"/>
          <w:szCs w:val="24"/>
          <w:lang w:eastAsia="en-AU"/>
        </w:rPr>
      </w:pPr>
      <w:r>
        <w:rPr>
          <w:rFonts w:ascii="Arial" w:hAnsi="Arial" w:cs="Arial"/>
          <w:szCs w:val="24"/>
          <w:lang w:eastAsia="en-AU"/>
        </w:rPr>
        <w:lastRenderedPageBreak/>
        <w:t>Table 1 compares the</w:t>
      </w:r>
      <w:r w:rsidRPr="00FD1A20">
        <w:rPr>
          <w:rFonts w:ascii="Arial" w:hAnsi="Arial" w:cs="Arial"/>
          <w:szCs w:val="24"/>
          <w:lang w:eastAsia="en-AU"/>
        </w:rPr>
        <w:t xml:space="preserve"> heavy vehicle</w:t>
      </w:r>
      <w:r>
        <w:rPr>
          <w:rFonts w:ascii="Arial" w:hAnsi="Arial" w:cs="Arial"/>
          <w:szCs w:val="24"/>
          <w:lang w:eastAsia="en-AU"/>
        </w:rPr>
        <w:t xml:space="preserve"> population figures used by the NTC to calculate charges and the latest available heavy vehicle population figures. </w:t>
      </w:r>
    </w:p>
    <w:p w:rsidR="00165392" w:rsidRPr="00B15706" w:rsidRDefault="00FD1A20" w:rsidP="00165392">
      <w:pPr>
        <w:spacing w:before="100" w:beforeAutospacing="1" w:after="100" w:afterAutospacing="1"/>
        <w:rPr>
          <w:rFonts w:ascii="Arial" w:hAnsi="Arial" w:cs="Arial"/>
          <w:szCs w:val="24"/>
          <w:u w:val="single"/>
          <w:lang w:eastAsia="en-AU"/>
        </w:rPr>
      </w:pPr>
      <w:r>
        <w:rPr>
          <w:rFonts w:ascii="Arial" w:hAnsi="Arial" w:cs="Arial"/>
          <w:szCs w:val="24"/>
          <w:u w:val="single"/>
          <w:lang w:eastAsia="en-AU"/>
        </w:rPr>
        <w:t xml:space="preserve">Table 1: </w:t>
      </w:r>
      <w:r w:rsidR="00165392" w:rsidRPr="00B15706">
        <w:rPr>
          <w:rFonts w:ascii="Arial" w:hAnsi="Arial" w:cs="Arial"/>
          <w:szCs w:val="24"/>
          <w:u w:val="single"/>
          <w:lang w:eastAsia="en-AU"/>
        </w:rPr>
        <w:t>Heavy vehicle population in 2011-12 and 2012-13</w:t>
      </w:r>
    </w:p>
    <w:tbl>
      <w:tblPr>
        <w:tblW w:w="9780" w:type="dxa"/>
        <w:tblLayout w:type="fixed"/>
        <w:tblLook w:val="04A0" w:firstRow="1" w:lastRow="0" w:firstColumn="1" w:lastColumn="0" w:noHBand="0" w:noVBand="1"/>
      </w:tblPr>
      <w:tblGrid>
        <w:gridCol w:w="4673"/>
        <w:gridCol w:w="2138"/>
        <w:gridCol w:w="130"/>
        <w:gridCol w:w="2839"/>
      </w:tblGrid>
      <w:tr w:rsidR="00165392" w:rsidRPr="00B15706" w:rsidTr="00B15706">
        <w:trPr>
          <w:trHeight w:val="299"/>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b/>
                <w:bCs/>
                <w:color w:val="000000"/>
                <w:sz w:val="16"/>
                <w:lang w:eastAsia="en-AU"/>
              </w:rPr>
            </w:pPr>
            <w:r w:rsidRPr="00B15706">
              <w:rPr>
                <w:rFonts w:ascii="Arial" w:eastAsia="Times New Roman" w:hAnsi="Arial" w:cs="Arial"/>
                <w:b/>
                <w:bCs/>
                <w:color w:val="000000"/>
                <w:sz w:val="16"/>
                <w:lang w:eastAsia="en-AU"/>
              </w:rPr>
              <w:t>Vehicle Class</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b/>
                <w:bCs/>
                <w:color w:val="000000"/>
                <w:sz w:val="16"/>
                <w:lang w:eastAsia="en-AU"/>
              </w:rPr>
            </w:pPr>
            <w:r w:rsidRPr="00B15706">
              <w:rPr>
                <w:rFonts w:ascii="Arial" w:eastAsia="Times New Roman" w:hAnsi="Arial" w:cs="Arial"/>
                <w:b/>
                <w:bCs/>
                <w:color w:val="000000"/>
                <w:sz w:val="16"/>
                <w:lang w:eastAsia="en-AU"/>
              </w:rPr>
              <w:t>2011-12 population (used for 2015-16 charges) (1)</w:t>
            </w:r>
          </w:p>
        </w:tc>
        <w:tc>
          <w:tcPr>
            <w:tcW w:w="2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b/>
                <w:bCs/>
                <w:color w:val="000000"/>
                <w:sz w:val="16"/>
                <w:lang w:eastAsia="en-AU"/>
              </w:rPr>
            </w:pPr>
            <w:r w:rsidRPr="00B15706">
              <w:rPr>
                <w:rFonts w:ascii="Arial" w:eastAsia="Times New Roman" w:hAnsi="Arial" w:cs="Arial"/>
                <w:b/>
                <w:bCs/>
                <w:color w:val="000000"/>
                <w:sz w:val="16"/>
                <w:lang w:eastAsia="en-AU"/>
              </w:rPr>
              <w:t>2012-13 Population (2)</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000000" w:fill="FFFFFF"/>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Rigid trucks: 2 axle: no trailer: GVM 4.5 to 7.0 tonne</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51,298</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58,980</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Rigid trucks: 2 axle: no trailer: GVM 7.0 to 12.0 tonne</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104,465</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110,480</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Rigid trucks: 2 axle: no trailer: GVM over 12.0 tonne</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49,188</w:t>
            </w:r>
          </w:p>
        </w:tc>
        <w:tc>
          <w:tcPr>
            <w:tcW w:w="2969" w:type="dxa"/>
            <w:gridSpan w:val="2"/>
            <w:tcBorders>
              <w:top w:val="nil"/>
              <w:left w:val="nil"/>
              <w:bottom w:val="single" w:sz="4" w:space="0" w:color="auto"/>
              <w:right w:val="single" w:sz="4" w:space="0" w:color="auto"/>
            </w:tcBorders>
            <w:shd w:val="clear" w:color="auto" w:fill="auto"/>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58,730</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Rigid trucks: 2 axle: with trailer</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15,170</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11,130</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Rigid trucks: 3 axle: no trailer GVM 4.5-18</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1,536</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1,797</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Rigid trucks: 3 axle: no trailer GVM &gt;18</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54,474</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54,878</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Rigid trucks: 3 axle: with trailer &gt;18</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5,060</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17,132</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Rigid trucks: 4 axle: no trailer GVM 4.5-25</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639</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68</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Rigid trucks: 4 axle: no trailer GVM &gt;25</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9,162</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11,170</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Rigid trucks: 4 axle: with trailer &gt;25</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545</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1,769</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Truck trailers</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10,637</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9,917</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Articulated trucks: single trailer: 3 axle rig</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752</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704</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Articulated trucks: single trailer: 4 axle rig</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3,704</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3,871</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Articulated trucks: single 3 axle trailer: 5 axle rig</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1,480</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1,290</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Articulated trucks: single 2 axle trailer: 5 axle rig</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7,641</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6,243</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Articulated trucks: single trailer: 6 axle rig</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43,630</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40,342</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Articulated trucks: B-double: &lt;9 axle rig</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1,415</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3,209</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Articulated trucks: B-double/triple: 9 axle rig &amp; above</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12,706</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20,420</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B-Triple</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652</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Articulated trucks: Road train: 2 trailers</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6,131</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7,992</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Articulated trucks: Road train: 3 trailers</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2,822</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3,356</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Articulated trucks: &gt; 6 axle rig (not elsewhere classified</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2,428</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1,718</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Other trucks</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14,033</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25,413</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Buses: 2 axle: GVM 4.5 to 10.0 t</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15,429</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16,482</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Buses: 2 axle: GVM over 10.0 t</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23,766</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22,295</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 xml:space="preserve">Buses: 3 </w:t>
            </w:r>
            <w:proofErr w:type="spellStart"/>
            <w:r w:rsidRPr="00B15706">
              <w:rPr>
                <w:rFonts w:ascii="Arial" w:eastAsia="Times New Roman" w:hAnsi="Arial" w:cs="Arial"/>
                <w:sz w:val="16"/>
                <w:lang w:eastAsia="en-AU"/>
              </w:rPr>
              <w:t>axle2,345</w:t>
            </w:r>
            <w:proofErr w:type="spellEnd"/>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2,249</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2,345</w:t>
            </w:r>
          </w:p>
        </w:tc>
      </w:tr>
      <w:tr w:rsidR="00165392" w:rsidRPr="00B15706" w:rsidTr="00B15706">
        <w:trPr>
          <w:trHeight w:val="299"/>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Buses: articulated</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640</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799</w:t>
            </w:r>
          </w:p>
        </w:tc>
      </w:tr>
      <w:tr w:rsidR="00165392" w:rsidRPr="00B15706" w:rsidTr="00B15706">
        <w:trPr>
          <w:trHeight w:val="18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Total</w:t>
            </w:r>
          </w:p>
        </w:tc>
        <w:tc>
          <w:tcPr>
            <w:tcW w:w="213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441,000</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sz w:val="16"/>
                <w:lang w:eastAsia="en-AU"/>
              </w:rPr>
            </w:pPr>
            <w:r w:rsidRPr="00B15706">
              <w:rPr>
                <w:rFonts w:ascii="Arial" w:eastAsia="Times New Roman" w:hAnsi="Arial" w:cs="Arial"/>
                <w:sz w:val="16"/>
                <w:lang w:eastAsia="en-AU"/>
              </w:rPr>
              <w:t>493,182</w:t>
            </w:r>
          </w:p>
        </w:tc>
      </w:tr>
      <w:tr w:rsidR="00165392" w:rsidRPr="00B15706" w:rsidTr="00B15706">
        <w:trPr>
          <w:trHeight w:val="299"/>
        </w:trPr>
        <w:tc>
          <w:tcPr>
            <w:tcW w:w="4673" w:type="dxa"/>
            <w:tcBorders>
              <w:top w:val="nil"/>
              <w:left w:val="nil"/>
              <w:bottom w:val="nil"/>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6"/>
                <w:lang w:eastAsia="en-AU"/>
              </w:rPr>
            </w:pPr>
          </w:p>
        </w:tc>
        <w:tc>
          <w:tcPr>
            <w:tcW w:w="2138" w:type="dxa"/>
            <w:tcBorders>
              <w:top w:val="single" w:sz="4" w:space="0" w:color="auto"/>
              <w:left w:val="single" w:sz="4" w:space="0" w:color="auto"/>
              <w:bottom w:val="single" w:sz="4" w:space="0" w:color="auto"/>
              <w:right w:val="nil"/>
            </w:tcBorders>
            <w:shd w:val="clear" w:color="auto" w:fill="auto"/>
            <w:noWrap/>
            <w:vAlign w:val="center"/>
            <w:hideMark/>
          </w:tcPr>
          <w:p w:rsidR="00165392" w:rsidRPr="00B15706" w:rsidRDefault="00165392" w:rsidP="008C44CE">
            <w:pPr>
              <w:jc w:val="center"/>
              <w:rPr>
                <w:rFonts w:ascii="Arial" w:eastAsia="Times New Roman" w:hAnsi="Arial" w:cs="Arial"/>
                <w:b/>
                <w:sz w:val="16"/>
                <w:szCs w:val="20"/>
                <w:lang w:eastAsia="en-AU"/>
              </w:rPr>
            </w:pPr>
            <w:r w:rsidRPr="00B15706">
              <w:rPr>
                <w:rFonts w:ascii="Arial" w:eastAsia="Times New Roman" w:hAnsi="Arial" w:cs="Arial"/>
                <w:b/>
                <w:color w:val="000000"/>
                <w:sz w:val="16"/>
                <w:lang w:eastAsia="en-AU"/>
              </w:rPr>
              <w:t>Difference</w:t>
            </w:r>
          </w:p>
        </w:tc>
        <w:tc>
          <w:tcPr>
            <w:tcW w:w="2969" w:type="dxa"/>
            <w:gridSpan w:val="2"/>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b/>
                <w:sz w:val="16"/>
                <w:szCs w:val="20"/>
                <w:lang w:eastAsia="en-AU"/>
              </w:rPr>
            </w:pPr>
            <w:r w:rsidRPr="00B15706">
              <w:rPr>
                <w:rFonts w:ascii="Arial" w:eastAsia="Times New Roman" w:hAnsi="Arial" w:cs="Arial"/>
                <w:b/>
                <w:color w:val="000000"/>
                <w:sz w:val="16"/>
                <w:lang w:eastAsia="en-AU"/>
              </w:rPr>
              <w:t>52,182</w:t>
            </w:r>
          </w:p>
        </w:tc>
      </w:tr>
      <w:tr w:rsidR="00165392" w:rsidRPr="00B15706" w:rsidTr="00B15706">
        <w:trPr>
          <w:trHeight w:val="299"/>
        </w:trPr>
        <w:tc>
          <w:tcPr>
            <w:tcW w:w="4673" w:type="dxa"/>
            <w:tcBorders>
              <w:top w:val="nil"/>
              <w:left w:val="nil"/>
              <w:bottom w:val="nil"/>
              <w:right w:val="nil"/>
            </w:tcBorders>
            <w:shd w:val="clear" w:color="auto" w:fill="auto"/>
            <w:noWrap/>
            <w:vAlign w:val="center"/>
          </w:tcPr>
          <w:p w:rsidR="00165392" w:rsidRPr="00B15706" w:rsidRDefault="00165392" w:rsidP="008C44CE">
            <w:pPr>
              <w:jc w:val="center"/>
              <w:rPr>
                <w:rFonts w:ascii="Arial" w:eastAsia="Times New Roman" w:hAnsi="Arial" w:cs="Arial"/>
                <w:color w:val="000000"/>
                <w:sz w:val="16"/>
                <w:lang w:eastAsia="en-AU"/>
              </w:rPr>
            </w:pPr>
          </w:p>
        </w:tc>
        <w:tc>
          <w:tcPr>
            <w:tcW w:w="2138" w:type="dxa"/>
            <w:tcBorders>
              <w:top w:val="single" w:sz="4" w:space="0" w:color="auto"/>
              <w:left w:val="nil"/>
              <w:bottom w:val="nil"/>
              <w:right w:val="nil"/>
            </w:tcBorders>
            <w:shd w:val="clear" w:color="auto" w:fill="auto"/>
            <w:noWrap/>
            <w:vAlign w:val="center"/>
          </w:tcPr>
          <w:p w:rsidR="00165392" w:rsidRPr="00B15706" w:rsidRDefault="00165392" w:rsidP="008C44CE">
            <w:pPr>
              <w:jc w:val="center"/>
              <w:rPr>
                <w:rFonts w:ascii="Arial" w:eastAsia="Times New Roman" w:hAnsi="Arial" w:cs="Arial"/>
                <w:sz w:val="16"/>
                <w:szCs w:val="20"/>
                <w:lang w:eastAsia="en-AU"/>
              </w:rPr>
            </w:pPr>
          </w:p>
        </w:tc>
        <w:tc>
          <w:tcPr>
            <w:tcW w:w="2969" w:type="dxa"/>
            <w:gridSpan w:val="2"/>
            <w:tcBorders>
              <w:top w:val="single" w:sz="4" w:space="0" w:color="auto"/>
              <w:left w:val="nil"/>
              <w:bottom w:val="nil"/>
              <w:right w:val="nil"/>
            </w:tcBorders>
            <w:shd w:val="clear" w:color="auto" w:fill="auto"/>
            <w:noWrap/>
            <w:vAlign w:val="center"/>
          </w:tcPr>
          <w:p w:rsidR="00165392" w:rsidRPr="00B15706" w:rsidRDefault="00165392" w:rsidP="008C44CE">
            <w:pPr>
              <w:jc w:val="center"/>
              <w:rPr>
                <w:rFonts w:ascii="Arial" w:eastAsia="Times New Roman" w:hAnsi="Arial" w:cs="Arial"/>
                <w:sz w:val="16"/>
                <w:szCs w:val="20"/>
                <w:lang w:eastAsia="en-AU"/>
              </w:rPr>
            </w:pPr>
          </w:p>
        </w:tc>
      </w:tr>
      <w:tr w:rsidR="00B15706" w:rsidRPr="00B15706" w:rsidTr="00B15706">
        <w:trPr>
          <w:gridAfter w:val="3"/>
          <w:wAfter w:w="5107" w:type="dxa"/>
          <w:trHeight w:val="299"/>
        </w:trPr>
        <w:tc>
          <w:tcPr>
            <w:tcW w:w="4673" w:type="dxa"/>
            <w:tcBorders>
              <w:top w:val="nil"/>
              <w:left w:val="nil"/>
              <w:bottom w:val="nil"/>
              <w:right w:val="nil"/>
            </w:tcBorders>
            <w:shd w:val="clear" w:color="auto" w:fill="auto"/>
            <w:noWrap/>
            <w:hideMark/>
          </w:tcPr>
          <w:p w:rsidR="00B15706" w:rsidRPr="00B15706" w:rsidRDefault="00B15706" w:rsidP="008C44CE">
            <w:pPr>
              <w:rPr>
                <w:rFonts w:ascii="Arial" w:eastAsia="Times New Roman" w:hAnsi="Arial" w:cs="Arial"/>
                <w:sz w:val="16"/>
                <w:lang w:eastAsia="en-AU"/>
              </w:rPr>
            </w:pPr>
            <w:r w:rsidRPr="00B15706">
              <w:rPr>
                <w:rFonts w:ascii="Arial" w:eastAsia="Times New Roman" w:hAnsi="Arial" w:cs="Arial"/>
                <w:sz w:val="16"/>
                <w:lang w:eastAsia="en-AU"/>
              </w:rPr>
              <w:t>1 Page 59, NTC HV charging determination final RIS March         2014</w:t>
            </w:r>
          </w:p>
        </w:tc>
      </w:tr>
      <w:tr w:rsidR="00B15706" w:rsidRPr="00B15706" w:rsidTr="00B15706">
        <w:trPr>
          <w:gridAfter w:val="1"/>
          <w:wAfter w:w="2839" w:type="dxa"/>
          <w:trHeight w:val="299"/>
        </w:trPr>
        <w:tc>
          <w:tcPr>
            <w:tcW w:w="6941" w:type="dxa"/>
            <w:gridSpan w:val="3"/>
            <w:tcBorders>
              <w:top w:val="nil"/>
              <w:left w:val="nil"/>
              <w:bottom w:val="nil"/>
              <w:right w:val="nil"/>
            </w:tcBorders>
            <w:shd w:val="clear" w:color="auto" w:fill="auto"/>
            <w:noWrap/>
            <w:hideMark/>
          </w:tcPr>
          <w:p w:rsidR="00B15706" w:rsidRPr="00B15706" w:rsidRDefault="00B15706" w:rsidP="008C44CE">
            <w:pPr>
              <w:rPr>
                <w:rFonts w:ascii="Arial" w:eastAsia="Times New Roman" w:hAnsi="Arial" w:cs="Arial"/>
                <w:color w:val="000000"/>
                <w:sz w:val="16"/>
                <w:lang w:eastAsia="en-AU"/>
              </w:rPr>
            </w:pPr>
            <w:r w:rsidRPr="00B15706">
              <w:rPr>
                <w:rFonts w:ascii="Arial" w:eastAsia="Times New Roman" w:hAnsi="Arial" w:cs="Arial"/>
                <w:color w:val="000000"/>
                <w:sz w:val="16"/>
                <w:lang w:eastAsia="en-AU"/>
              </w:rPr>
              <w:t xml:space="preserve">2 PayGo model: </w:t>
            </w:r>
            <w:proofErr w:type="spellStart"/>
            <w:r w:rsidRPr="00B15706">
              <w:rPr>
                <w:rFonts w:ascii="Arial" w:eastAsia="Times New Roman" w:hAnsi="Arial" w:cs="Arial"/>
                <w:color w:val="000000"/>
                <w:sz w:val="16"/>
                <w:lang w:eastAsia="en-AU"/>
              </w:rPr>
              <w:t>I.3.4.1</w:t>
            </w:r>
            <w:proofErr w:type="spellEnd"/>
            <w:r w:rsidRPr="00B15706">
              <w:rPr>
                <w:rFonts w:ascii="Arial" w:eastAsia="Times New Roman" w:hAnsi="Arial" w:cs="Arial"/>
                <w:color w:val="000000"/>
                <w:sz w:val="16"/>
                <w:lang w:eastAsia="en-AU"/>
              </w:rPr>
              <w:t xml:space="preserve"> SMVU data on vehicle population</w:t>
            </w:r>
          </w:p>
        </w:tc>
      </w:tr>
      <w:tr w:rsidR="00B15706" w:rsidRPr="00B15706" w:rsidTr="00B15706">
        <w:trPr>
          <w:gridAfter w:val="3"/>
          <w:wAfter w:w="5107" w:type="dxa"/>
          <w:trHeight w:val="299"/>
        </w:trPr>
        <w:tc>
          <w:tcPr>
            <w:tcW w:w="4673" w:type="dxa"/>
            <w:tcBorders>
              <w:top w:val="nil"/>
              <w:left w:val="nil"/>
              <w:bottom w:val="nil"/>
              <w:right w:val="nil"/>
            </w:tcBorders>
            <w:shd w:val="clear" w:color="auto" w:fill="auto"/>
            <w:noWrap/>
            <w:hideMark/>
          </w:tcPr>
          <w:p w:rsidR="00B15706" w:rsidRPr="00B15706" w:rsidRDefault="00B15706" w:rsidP="008C44CE">
            <w:pPr>
              <w:rPr>
                <w:rFonts w:ascii="Arial" w:eastAsia="Times New Roman" w:hAnsi="Arial" w:cs="Arial"/>
                <w:sz w:val="16"/>
                <w:lang w:eastAsia="en-AU"/>
              </w:rPr>
            </w:pPr>
            <w:r w:rsidRPr="00B15706">
              <w:rPr>
                <w:rFonts w:ascii="Arial" w:eastAsia="Times New Roman" w:hAnsi="Arial" w:cs="Arial"/>
                <w:sz w:val="16"/>
                <w:lang w:eastAsia="en-AU"/>
              </w:rPr>
              <w:t>*</w:t>
            </w:r>
            <w:r w:rsidRPr="00B15706">
              <w:rPr>
                <w:rFonts w:ascii="Arial" w:eastAsia="Times New Roman" w:hAnsi="Arial" w:cs="Arial"/>
                <w:color w:val="000000"/>
                <w:sz w:val="16"/>
                <w:lang w:eastAsia="en-AU"/>
              </w:rPr>
              <w:t xml:space="preserve"> B-triple figures not captured by SMVU</w:t>
            </w:r>
          </w:p>
        </w:tc>
      </w:tr>
    </w:tbl>
    <w:p w:rsidR="00165392" w:rsidRPr="00B15706" w:rsidRDefault="00165392" w:rsidP="00165392">
      <w:pPr>
        <w:spacing w:before="100" w:beforeAutospacing="1" w:after="100" w:afterAutospacing="1"/>
        <w:rPr>
          <w:rFonts w:ascii="Arial" w:hAnsi="Arial" w:cs="Arial"/>
          <w:b/>
          <w:szCs w:val="24"/>
          <w:lang w:eastAsia="en-AU"/>
        </w:rPr>
      </w:pPr>
    </w:p>
    <w:p w:rsidR="00165392" w:rsidRPr="00B15706" w:rsidRDefault="00165392" w:rsidP="00165392">
      <w:pPr>
        <w:spacing w:before="100" w:beforeAutospacing="1" w:after="100" w:afterAutospacing="1"/>
        <w:rPr>
          <w:rFonts w:ascii="Arial" w:hAnsi="Arial" w:cs="Arial"/>
          <w:b/>
          <w:szCs w:val="24"/>
          <w:lang w:eastAsia="en-AU"/>
        </w:rPr>
      </w:pPr>
    </w:p>
    <w:p w:rsidR="00537625" w:rsidRPr="00B15706" w:rsidRDefault="00537625" w:rsidP="00165392">
      <w:pPr>
        <w:spacing w:before="100" w:beforeAutospacing="1" w:after="100" w:afterAutospacing="1"/>
        <w:rPr>
          <w:rFonts w:ascii="Arial" w:hAnsi="Arial" w:cs="Arial"/>
          <w:b/>
          <w:szCs w:val="24"/>
          <w:lang w:eastAsia="en-AU"/>
        </w:rPr>
      </w:pPr>
    </w:p>
    <w:p w:rsidR="00165392" w:rsidRPr="00B15706" w:rsidRDefault="00165392" w:rsidP="00165392">
      <w:pPr>
        <w:spacing w:before="100" w:beforeAutospacing="1" w:after="100" w:afterAutospacing="1"/>
        <w:rPr>
          <w:rFonts w:ascii="Arial" w:hAnsi="Arial" w:cs="Arial"/>
          <w:b/>
          <w:szCs w:val="24"/>
          <w:lang w:eastAsia="en-AU"/>
        </w:rPr>
      </w:pPr>
    </w:p>
    <w:p w:rsidR="00165392" w:rsidRPr="00B15706" w:rsidRDefault="00165392" w:rsidP="00165392">
      <w:pPr>
        <w:spacing w:before="100" w:beforeAutospacing="1" w:after="100" w:afterAutospacing="1"/>
        <w:rPr>
          <w:rFonts w:ascii="Arial" w:hAnsi="Arial" w:cs="Arial"/>
          <w:b/>
          <w:szCs w:val="24"/>
          <w:lang w:eastAsia="en-AU"/>
        </w:rPr>
      </w:pPr>
    </w:p>
    <w:p w:rsidR="00B15706" w:rsidRDefault="00B15706" w:rsidP="00165392">
      <w:pPr>
        <w:spacing w:before="100" w:beforeAutospacing="1" w:after="100" w:afterAutospacing="1"/>
        <w:rPr>
          <w:rFonts w:ascii="Arial" w:hAnsi="Arial" w:cs="Arial"/>
          <w:b/>
          <w:szCs w:val="24"/>
          <w:lang w:eastAsia="en-AU"/>
        </w:rPr>
      </w:pPr>
    </w:p>
    <w:p w:rsidR="00483423" w:rsidRPr="00B15706" w:rsidRDefault="00483423" w:rsidP="00165392">
      <w:pPr>
        <w:spacing w:before="100" w:beforeAutospacing="1" w:after="100" w:afterAutospacing="1"/>
        <w:rPr>
          <w:rFonts w:ascii="Arial" w:hAnsi="Arial" w:cs="Arial"/>
          <w:b/>
          <w:szCs w:val="24"/>
          <w:lang w:eastAsia="en-AU"/>
        </w:rPr>
      </w:pPr>
    </w:p>
    <w:p w:rsidR="00165392" w:rsidRPr="00B15706" w:rsidRDefault="00165392" w:rsidP="00165392">
      <w:pPr>
        <w:spacing w:before="100" w:beforeAutospacing="1" w:after="100" w:afterAutospacing="1"/>
        <w:rPr>
          <w:rFonts w:ascii="Arial" w:hAnsi="Arial" w:cs="Arial"/>
          <w:b/>
          <w:szCs w:val="24"/>
          <w:lang w:eastAsia="en-AU"/>
        </w:rPr>
      </w:pPr>
      <w:r w:rsidRPr="00B15706">
        <w:rPr>
          <w:rFonts w:ascii="Arial" w:hAnsi="Arial" w:cs="Arial"/>
          <w:b/>
          <w:szCs w:val="24"/>
          <w:lang w:eastAsia="en-AU"/>
        </w:rPr>
        <w:t xml:space="preserve">Overcharging for 2015-16 </w:t>
      </w:r>
    </w:p>
    <w:p w:rsidR="00165392" w:rsidRPr="00B15706" w:rsidRDefault="00161193" w:rsidP="00165392">
      <w:pPr>
        <w:spacing w:before="100" w:beforeAutospacing="1" w:after="100" w:afterAutospacing="1"/>
        <w:rPr>
          <w:rFonts w:ascii="Arial" w:hAnsi="Arial" w:cs="Arial"/>
          <w:szCs w:val="24"/>
          <w:lang w:eastAsia="en-AU"/>
        </w:rPr>
      </w:pPr>
      <w:r>
        <w:rPr>
          <w:rFonts w:ascii="Arial" w:hAnsi="Arial" w:cs="Arial"/>
          <w:szCs w:val="24"/>
          <w:lang w:eastAsia="en-AU"/>
        </w:rPr>
        <w:t>Using the proposed charges for 2015-16, table 2-4 show some $117 million over-recovery t</w:t>
      </w:r>
      <w:r w:rsidR="00165392" w:rsidRPr="00B15706">
        <w:rPr>
          <w:rFonts w:ascii="Arial" w:hAnsi="Arial" w:cs="Arial"/>
          <w:szCs w:val="24"/>
          <w:lang w:eastAsia="en-AU"/>
        </w:rPr>
        <w:t>he industry will be overcharged by in 2015-16. In 2015-16 states and territories will recover an estimated $1.3 billion and t</w:t>
      </w:r>
      <w:r>
        <w:rPr>
          <w:rFonts w:ascii="Arial" w:hAnsi="Arial" w:cs="Arial"/>
          <w:szCs w:val="24"/>
          <w:lang w:eastAsia="en-AU"/>
        </w:rPr>
        <w:t>he Commonwealth with recover an</w:t>
      </w:r>
      <w:r w:rsidR="00165392" w:rsidRPr="00B15706">
        <w:rPr>
          <w:rFonts w:ascii="Arial" w:hAnsi="Arial" w:cs="Arial"/>
          <w:szCs w:val="24"/>
          <w:lang w:eastAsia="en-AU"/>
        </w:rPr>
        <w:t xml:space="preserve"> estimated $1.8 billion. Total estimated revenue for 2015-16 is $3.143 billion. This is a conservative figure given that the most up to date population figure available is for 2012-13. </w:t>
      </w:r>
    </w:p>
    <w:p w:rsidR="00165392" w:rsidRPr="00B15706" w:rsidRDefault="00165392" w:rsidP="00165392">
      <w:pPr>
        <w:spacing w:before="100" w:beforeAutospacing="1" w:after="100" w:afterAutospacing="1"/>
        <w:rPr>
          <w:rFonts w:ascii="Arial" w:hAnsi="Arial" w:cs="Arial"/>
          <w:bCs/>
          <w:szCs w:val="24"/>
          <w:lang w:eastAsia="en-AU"/>
        </w:rPr>
      </w:pPr>
      <w:r w:rsidRPr="00B15706">
        <w:rPr>
          <w:rFonts w:ascii="Arial" w:hAnsi="Arial" w:cs="Arial"/>
          <w:szCs w:val="24"/>
          <w:lang w:eastAsia="en-AU"/>
        </w:rPr>
        <w:t>In the NTC 2014 Annual report it is stated that the required cost base</w:t>
      </w:r>
      <w:r w:rsidR="00B15706" w:rsidRPr="00B15706">
        <w:rPr>
          <w:rFonts w:ascii="Arial" w:hAnsi="Arial" w:cs="Arial"/>
          <w:szCs w:val="24"/>
          <w:lang w:eastAsia="en-AU"/>
        </w:rPr>
        <w:t>,</w:t>
      </w:r>
      <w:r w:rsidRPr="00B15706">
        <w:rPr>
          <w:rFonts w:ascii="Arial" w:hAnsi="Arial" w:cs="Arial"/>
          <w:szCs w:val="24"/>
          <w:lang w:eastAsia="en-AU"/>
        </w:rPr>
        <w:t xml:space="preserve"> in order to cover heavy vehicle attributable costs for 2015-16</w:t>
      </w:r>
      <w:r w:rsidR="00B15706" w:rsidRPr="00B15706">
        <w:rPr>
          <w:rFonts w:ascii="Arial" w:hAnsi="Arial" w:cs="Arial"/>
          <w:szCs w:val="24"/>
          <w:lang w:eastAsia="en-AU"/>
        </w:rPr>
        <w:t>,</w:t>
      </w:r>
      <w:r w:rsidRPr="00B15706">
        <w:rPr>
          <w:rFonts w:ascii="Arial" w:hAnsi="Arial" w:cs="Arial"/>
          <w:szCs w:val="24"/>
          <w:lang w:eastAsia="en-AU"/>
        </w:rPr>
        <w:t xml:space="preserve"> is $</w:t>
      </w:r>
      <w:r w:rsidRPr="00B15706">
        <w:rPr>
          <w:rFonts w:ascii="Arial" w:hAnsi="Arial" w:cs="Arial"/>
          <w:bCs/>
          <w:szCs w:val="24"/>
          <w:lang w:eastAsia="en-AU"/>
        </w:rPr>
        <w:t>3.025 billion. This will mean the industry will be overcharged by $117 million in 2015-16. This overcharging will continue year upon year until the NTC recommended changes to the PayGo model are made.</w:t>
      </w:r>
    </w:p>
    <w:p w:rsidR="00165392" w:rsidRPr="00B15706" w:rsidRDefault="00165392" w:rsidP="00165392">
      <w:pPr>
        <w:rPr>
          <w:rFonts w:ascii="Arial" w:hAnsi="Arial" w:cs="Arial"/>
          <w:bCs/>
          <w:szCs w:val="24"/>
          <w:lang w:eastAsia="en-AU"/>
        </w:rPr>
      </w:pPr>
      <w:r w:rsidRPr="00B15706">
        <w:rPr>
          <w:rFonts w:ascii="Arial" w:hAnsi="Arial" w:cs="Arial"/>
          <w:bCs/>
          <w:szCs w:val="24"/>
          <w:lang w:eastAsia="en-AU"/>
        </w:rPr>
        <w:br w:type="page"/>
      </w:r>
    </w:p>
    <w:p w:rsidR="00165392" w:rsidRPr="00B15706" w:rsidRDefault="00161193" w:rsidP="00165392">
      <w:pPr>
        <w:spacing w:before="100" w:beforeAutospacing="1" w:after="100" w:afterAutospacing="1"/>
        <w:rPr>
          <w:rFonts w:ascii="Arial" w:hAnsi="Arial" w:cs="Arial"/>
          <w:bCs/>
          <w:szCs w:val="24"/>
          <w:u w:val="single"/>
          <w:lang w:eastAsia="en-AU"/>
        </w:rPr>
      </w:pPr>
      <w:r>
        <w:rPr>
          <w:rFonts w:ascii="Arial" w:hAnsi="Arial" w:cs="Arial"/>
          <w:bCs/>
          <w:szCs w:val="24"/>
          <w:u w:val="single"/>
          <w:lang w:eastAsia="en-AU"/>
        </w:rPr>
        <w:lastRenderedPageBreak/>
        <w:t xml:space="preserve">Table 2: </w:t>
      </w:r>
      <w:r w:rsidR="00165392" w:rsidRPr="00B15706">
        <w:rPr>
          <w:rFonts w:ascii="Arial" w:hAnsi="Arial" w:cs="Arial"/>
          <w:bCs/>
          <w:szCs w:val="24"/>
          <w:u w:val="single"/>
          <w:lang w:eastAsia="en-AU"/>
        </w:rPr>
        <w:t>Estimated registration revenue 2015-16</w:t>
      </w:r>
    </w:p>
    <w:tbl>
      <w:tblPr>
        <w:tblW w:w="9759" w:type="dxa"/>
        <w:jc w:val="center"/>
        <w:tblLook w:val="04A0" w:firstRow="1" w:lastRow="0" w:firstColumn="1" w:lastColumn="0" w:noHBand="0" w:noVBand="1"/>
      </w:tblPr>
      <w:tblGrid>
        <w:gridCol w:w="4603"/>
        <w:gridCol w:w="2127"/>
        <w:gridCol w:w="1887"/>
        <w:gridCol w:w="1468"/>
      </w:tblGrid>
      <w:tr w:rsidR="00165392" w:rsidRPr="00B15706" w:rsidTr="008C44CE">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65392" w:rsidRPr="00B15706" w:rsidRDefault="00165392" w:rsidP="008C44CE">
            <w:pPr>
              <w:jc w:val="center"/>
              <w:rPr>
                <w:rFonts w:ascii="Arial" w:eastAsia="Times New Roman" w:hAnsi="Arial" w:cs="Arial"/>
                <w:b/>
                <w:bCs/>
                <w:color w:val="000000"/>
                <w:sz w:val="18"/>
                <w:szCs w:val="16"/>
                <w:lang w:eastAsia="en-AU"/>
              </w:rPr>
            </w:pPr>
            <w:r w:rsidRPr="00B15706">
              <w:rPr>
                <w:rFonts w:ascii="Arial" w:eastAsia="Times New Roman" w:hAnsi="Arial" w:cs="Arial"/>
                <w:b/>
                <w:bCs/>
                <w:color w:val="000000"/>
                <w:sz w:val="18"/>
                <w:szCs w:val="16"/>
                <w:lang w:eastAsia="en-AU"/>
              </w:rPr>
              <w:t>Vehicle class</w:t>
            </w:r>
          </w:p>
        </w:tc>
        <w:tc>
          <w:tcPr>
            <w:tcW w:w="0" w:type="auto"/>
            <w:tcBorders>
              <w:top w:val="single" w:sz="4" w:space="0" w:color="auto"/>
              <w:left w:val="nil"/>
              <w:bottom w:val="single" w:sz="4" w:space="0" w:color="auto"/>
              <w:right w:val="single" w:sz="4" w:space="0" w:color="auto"/>
            </w:tcBorders>
            <w:shd w:val="clear" w:color="auto" w:fill="auto"/>
            <w:noWrap/>
            <w:hideMark/>
          </w:tcPr>
          <w:p w:rsidR="00165392" w:rsidRPr="00B15706" w:rsidRDefault="00165392" w:rsidP="008C44CE">
            <w:pPr>
              <w:jc w:val="center"/>
              <w:rPr>
                <w:rFonts w:ascii="Arial" w:eastAsia="Times New Roman" w:hAnsi="Arial" w:cs="Arial"/>
                <w:b/>
                <w:bCs/>
                <w:color w:val="000000"/>
                <w:sz w:val="18"/>
                <w:szCs w:val="16"/>
                <w:lang w:eastAsia="en-AU"/>
              </w:rPr>
            </w:pPr>
            <w:r w:rsidRPr="00B15706">
              <w:rPr>
                <w:rFonts w:ascii="Arial" w:eastAsia="Times New Roman" w:hAnsi="Arial" w:cs="Arial"/>
                <w:b/>
                <w:bCs/>
                <w:color w:val="000000"/>
                <w:sz w:val="18"/>
                <w:szCs w:val="16"/>
                <w:lang w:eastAsia="en-AU"/>
              </w:rPr>
              <w:t>Population 2012-13 (1)</w:t>
            </w:r>
          </w:p>
        </w:tc>
        <w:tc>
          <w:tcPr>
            <w:tcW w:w="0" w:type="auto"/>
            <w:tcBorders>
              <w:top w:val="single" w:sz="4" w:space="0" w:color="auto"/>
              <w:left w:val="nil"/>
              <w:bottom w:val="single" w:sz="4" w:space="0" w:color="auto"/>
              <w:right w:val="single" w:sz="4" w:space="0" w:color="auto"/>
            </w:tcBorders>
            <w:shd w:val="clear" w:color="auto" w:fill="auto"/>
            <w:noWrap/>
            <w:hideMark/>
          </w:tcPr>
          <w:p w:rsidR="00165392" w:rsidRPr="00B15706" w:rsidRDefault="00165392" w:rsidP="008C44CE">
            <w:pPr>
              <w:jc w:val="center"/>
              <w:rPr>
                <w:rFonts w:ascii="Arial" w:eastAsia="Times New Roman" w:hAnsi="Arial" w:cs="Arial"/>
                <w:b/>
                <w:bCs/>
                <w:color w:val="000000"/>
                <w:sz w:val="18"/>
                <w:szCs w:val="16"/>
                <w:lang w:eastAsia="en-AU"/>
              </w:rPr>
            </w:pPr>
            <w:r w:rsidRPr="00B15706">
              <w:rPr>
                <w:rFonts w:ascii="Arial" w:eastAsia="Times New Roman" w:hAnsi="Arial" w:cs="Arial"/>
                <w:b/>
                <w:bCs/>
                <w:color w:val="000000"/>
                <w:sz w:val="18"/>
                <w:szCs w:val="16"/>
                <w:lang w:eastAsia="en-AU"/>
              </w:rPr>
              <w:t>2015-16 charges ($)</w:t>
            </w:r>
          </w:p>
        </w:tc>
        <w:tc>
          <w:tcPr>
            <w:tcW w:w="1468" w:type="dxa"/>
            <w:tcBorders>
              <w:top w:val="single" w:sz="4" w:space="0" w:color="auto"/>
              <w:left w:val="nil"/>
              <w:bottom w:val="single" w:sz="4" w:space="0" w:color="auto"/>
              <w:right w:val="single" w:sz="4" w:space="0" w:color="auto"/>
            </w:tcBorders>
            <w:shd w:val="clear" w:color="auto" w:fill="auto"/>
            <w:noWrap/>
            <w:hideMark/>
          </w:tcPr>
          <w:p w:rsidR="00165392" w:rsidRPr="00B15706" w:rsidRDefault="00165392" w:rsidP="008C44CE">
            <w:pPr>
              <w:jc w:val="center"/>
              <w:rPr>
                <w:rFonts w:ascii="Arial" w:eastAsia="Times New Roman" w:hAnsi="Arial" w:cs="Arial"/>
                <w:b/>
                <w:bCs/>
                <w:color w:val="000000"/>
                <w:sz w:val="18"/>
                <w:szCs w:val="16"/>
                <w:lang w:eastAsia="en-AU"/>
              </w:rPr>
            </w:pPr>
            <w:r w:rsidRPr="00B15706">
              <w:rPr>
                <w:rFonts w:ascii="Arial" w:eastAsia="Times New Roman" w:hAnsi="Arial" w:cs="Arial"/>
                <w:b/>
                <w:bCs/>
                <w:color w:val="000000"/>
                <w:sz w:val="18"/>
                <w:szCs w:val="16"/>
                <w:lang w:eastAsia="en-AU"/>
              </w:rPr>
              <w:t>Revenue ($)</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Rigid trucks: 2 axle: no trailer: GVM 4.5 to 7.0 tonne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58,980</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566</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33,404,974</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Rigid trucks: 2 axle: no trailer: GVM 7.0 to 12.0 tonne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110,480</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566</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62,573,441</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Rigid trucks: 2 axle: no trailer: GVM over 12.0 tonne</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58,730</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896</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52,642,401</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Rigid trucks: 2 axle: with trailer</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11,130</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1,758</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19,571,971</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Rigid trucks: 3 axle: no trailer GVM 4.5-18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1,797</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896</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1,610,734</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Rigid trucks: 3 axle: no trailer GVM &gt;18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54,878</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1,067</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58,574,911</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Rigid trucks: 3 axle: with trailer &gt;18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17,132</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2,791</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47,809,313</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Rigid trucks: 4 axle: no trailer GVM 4.5-25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68</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793</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53,906</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Rigid trucks: 4 axle: no trailer GVM &gt;25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11,170</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1,067</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11,922,478</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Rigid trucks: 4 axle: with trailer &gt;25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1,769</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3,660</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6,474,236</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Truck trailers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9,917</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9,096</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90,207,531</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Articulated trucks: single trailer: 3 axle rig</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704</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1,791</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1,260,639</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Articulated trucks: single trailer: 4 axle rig</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3,871</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2,365</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9,155,325</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Articulated trucks: single 3 axle trailer: 5 axle rig</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1,290</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2,940</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3,791,996</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Articulated trucks: single 2 axle trailer: 5 axle rig</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6,243</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6,104</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38,109,819</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Articulated trucks: single trailer: 6 axle rig</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40,342</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6,679</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269,437,521</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Articulated trucks: B-double: &lt;9 axle rig</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3,209</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13,795</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44,269,047</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Articulated trucks: B-double/triple: 9 axle rig &amp; above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20,420</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15,049</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307,295,557</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B-Triple New</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652</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18,495</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12,058,942.12</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Articulated trucks: Road train: 2 trailers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7,992</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14,474</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115,678,829</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Articulated trucks: Road train: 3 trailers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3,356</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17,346</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58,214,713</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Articulated trucks: &gt; 6 axle rig (not elsewhere classified</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1,718</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6,978</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11,987,544</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Other trucks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25,413</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1,144</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29,067,948</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Buses: 2 axle: GVM 4.5 to 10.0 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16,482</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510</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8,406,512</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Buses: 2 axle: GVM over 10.0 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22,295</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510</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11,371,386</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 xml:space="preserve">Buses: 3 </w:t>
            </w:r>
            <w:proofErr w:type="spellStart"/>
            <w:r w:rsidRPr="00B15706">
              <w:rPr>
                <w:rFonts w:ascii="Arial" w:eastAsia="Times New Roman" w:hAnsi="Arial" w:cs="Arial"/>
                <w:color w:val="000000"/>
                <w:sz w:val="18"/>
                <w:szCs w:val="16"/>
                <w:lang w:eastAsia="en-AU"/>
              </w:rPr>
              <w:t>axle2,345</w:t>
            </w:r>
            <w:proofErr w:type="spellEnd"/>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2,345</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2,567</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6,020,347</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Buses: articulated</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799</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510</w:t>
            </w:r>
          </w:p>
        </w:tc>
        <w:tc>
          <w:tcPr>
            <w:tcW w:w="1468" w:type="dxa"/>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407,524</w:t>
            </w:r>
          </w:p>
        </w:tc>
      </w:tr>
      <w:tr w:rsidR="00165392" w:rsidRPr="00B15706" w:rsidTr="008C44CE">
        <w:trPr>
          <w:trHeight w:val="30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165392" w:rsidRPr="00B15706" w:rsidRDefault="00165392" w:rsidP="008C44CE">
            <w:pPr>
              <w:jc w:val="center"/>
              <w:rPr>
                <w:rFonts w:ascii="Arial" w:eastAsia="Times New Roman" w:hAnsi="Arial" w:cs="Arial"/>
                <w:b/>
                <w:bCs/>
                <w:color w:val="000000"/>
                <w:sz w:val="18"/>
                <w:szCs w:val="16"/>
                <w:lang w:eastAsia="en-AU"/>
              </w:rPr>
            </w:pPr>
            <w:r w:rsidRPr="00B15706">
              <w:rPr>
                <w:rFonts w:ascii="Arial" w:eastAsia="Times New Roman" w:hAnsi="Arial" w:cs="Arial"/>
                <w:b/>
                <w:bCs/>
                <w:color w:val="000000"/>
                <w:sz w:val="18"/>
                <w:szCs w:val="16"/>
                <w:lang w:eastAsia="en-AU"/>
              </w:rPr>
              <w:t xml:space="preserve">Total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b/>
                <w:bCs/>
                <w:color w:val="000000"/>
                <w:sz w:val="18"/>
                <w:szCs w:val="16"/>
                <w:lang w:eastAsia="en-AU"/>
              </w:rPr>
            </w:pPr>
            <w:r w:rsidRPr="00B15706">
              <w:rPr>
                <w:rFonts w:ascii="Arial" w:eastAsia="Times New Roman" w:hAnsi="Arial" w:cs="Arial"/>
                <w:b/>
                <w:bCs/>
                <w:color w:val="000000"/>
                <w:sz w:val="18"/>
                <w:szCs w:val="16"/>
                <w:lang w:eastAsia="en-AU"/>
              </w:rPr>
              <w:t>493,182</w:t>
            </w:r>
          </w:p>
        </w:tc>
        <w:tc>
          <w:tcPr>
            <w:tcW w:w="0" w:type="auto"/>
            <w:tcBorders>
              <w:top w:val="nil"/>
              <w:left w:val="nil"/>
              <w:bottom w:val="single" w:sz="4" w:space="0" w:color="auto"/>
              <w:right w:val="single" w:sz="4" w:space="0" w:color="auto"/>
            </w:tcBorders>
            <w:shd w:val="clear" w:color="auto" w:fill="auto"/>
            <w:noWrap/>
            <w:vAlign w:val="center"/>
            <w:hideMark/>
          </w:tcPr>
          <w:p w:rsidR="00165392" w:rsidRPr="00B15706" w:rsidRDefault="00165392" w:rsidP="008C44CE">
            <w:pPr>
              <w:jc w:val="center"/>
              <w:rPr>
                <w:rFonts w:ascii="Arial" w:eastAsia="Times New Roman" w:hAnsi="Arial" w:cs="Arial"/>
                <w:b/>
                <w:bCs/>
                <w:color w:val="000000"/>
                <w:sz w:val="18"/>
                <w:szCs w:val="16"/>
                <w:lang w:eastAsia="en-AU"/>
              </w:rPr>
            </w:pPr>
          </w:p>
        </w:tc>
        <w:tc>
          <w:tcPr>
            <w:tcW w:w="1468" w:type="dxa"/>
            <w:tcBorders>
              <w:top w:val="nil"/>
              <w:left w:val="nil"/>
              <w:bottom w:val="single" w:sz="4" w:space="0" w:color="auto"/>
              <w:right w:val="nil"/>
            </w:tcBorders>
            <w:shd w:val="clear" w:color="auto" w:fill="auto"/>
            <w:noWrap/>
            <w:vAlign w:val="center"/>
            <w:hideMark/>
          </w:tcPr>
          <w:p w:rsidR="00165392" w:rsidRPr="00B15706" w:rsidRDefault="00165392" w:rsidP="008C44CE">
            <w:pPr>
              <w:jc w:val="center"/>
              <w:rPr>
                <w:rFonts w:ascii="Arial" w:eastAsia="Times New Roman" w:hAnsi="Arial" w:cs="Arial"/>
                <w:b/>
                <w:bCs/>
                <w:color w:val="000000"/>
                <w:sz w:val="18"/>
                <w:szCs w:val="16"/>
                <w:lang w:eastAsia="en-AU"/>
              </w:rPr>
            </w:pPr>
            <w:r w:rsidRPr="00B15706">
              <w:rPr>
                <w:rFonts w:ascii="Arial" w:eastAsia="Times New Roman" w:hAnsi="Arial" w:cs="Arial"/>
                <w:b/>
                <w:bCs/>
                <w:color w:val="000000"/>
                <w:sz w:val="18"/>
                <w:szCs w:val="16"/>
                <w:lang w:eastAsia="en-AU"/>
              </w:rPr>
              <w:t>1,311,379,547</w:t>
            </w:r>
          </w:p>
        </w:tc>
      </w:tr>
    </w:tbl>
    <w:p w:rsidR="00165392" w:rsidRPr="00B15706" w:rsidRDefault="00165392" w:rsidP="00165392">
      <w:pPr>
        <w:spacing w:before="100" w:beforeAutospacing="1" w:after="100" w:afterAutospacing="1"/>
        <w:rPr>
          <w:rFonts w:ascii="Arial" w:hAnsi="Arial" w:cs="Arial"/>
          <w:sz w:val="16"/>
          <w:szCs w:val="24"/>
          <w:lang w:eastAsia="en-AU"/>
        </w:rPr>
      </w:pPr>
      <w:r w:rsidRPr="00B15706">
        <w:rPr>
          <w:rFonts w:ascii="Arial" w:hAnsi="Arial" w:cs="Arial"/>
          <w:sz w:val="16"/>
          <w:szCs w:val="24"/>
          <w:lang w:eastAsia="en-AU"/>
        </w:rPr>
        <w:t xml:space="preserve">1 PayGo model: </w:t>
      </w:r>
      <w:proofErr w:type="spellStart"/>
      <w:r w:rsidRPr="00B15706">
        <w:rPr>
          <w:rFonts w:ascii="Arial" w:hAnsi="Arial" w:cs="Arial"/>
          <w:sz w:val="16"/>
          <w:szCs w:val="24"/>
          <w:lang w:eastAsia="en-AU"/>
        </w:rPr>
        <w:t>I.3.4.1</w:t>
      </w:r>
      <w:proofErr w:type="spellEnd"/>
      <w:r w:rsidRPr="00B15706">
        <w:rPr>
          <w:rFonts w:ascii="Arial" w:hAnsi="Arial" w:cs="Arial"/>
          <w:sz w:val="16"/>
          <w:szCs w:val="24"/>
          <w:lang w:eastAsia="en-AU"/>
        </w:rPr>
        <w:t xml:space="preserve"> SMVU data on vehicle population</w:t>
      </w:r>
    </w:p>
    <w:p w:rsidR="00165392" w:rsidRPr="00B15706" w:rsidRDefault="00161193" w:rsidP="00165392">
      <w:pPr>
        <w:spacing w:before="100" w:beforeAutospacing="1" w:after="100" w:afterAutospacing="1"/>
        <w:rPr>
          <w:rFonts w:ascii="Arial" w:hAnsi="Arial" w:cs="Arial"/>
          <w:bCs/>
          <w:szCs w:val="24"/>
          <w:u w:val="single"/>
          <w:lang w:eastAsia="en-AU"/>
        </w:rPr>
      </w:pPr>
      <w:r>
        <w:rPr>
          <w:rFonts w:ascii="Arial" w:hAnsi="Arial" w:cs="Arial"/>
          <w:bCs/>
          <w:szCs w:val="24"/>
          <w:u w:val="single"/>
          <w:lang w:eastAsia="en-AU"/>
        </w:rPr>
        <w:t xml:space="preserve">Table 3: </w:t>
      </w:r>
      <w:r w:rsidR="00165392" w:rsidRPr="00B15706">
        <w:rPr>
          <w:rFonts w:ascii="Arial" w:hAnsi="Arial" w:cs="Arial"/>
          <w:bCs/>
          <w:szCs w:val="24"/>
          <w:u w:val="single"/>
          <w:lang w:eastAsia="en-AU"/>
        </w:rPr>
        <w:t>Estimated fuel revenue 2015-16</w:t>
      </w:r>
    </w:p>
    <w:tbl>
      <w:tblPr>
        <w:tblStyle w:val="TableGrid2"/>
        <w:tblW w:w="0" w:type="auto"/>
        <w:tblLook w:val="04A0" w:firstRow="1" w:lastRow="0" w:firstColumn="1" w:lastColumn="0" w:noHBand="0" w:noVBand="1"/>
      </w:tblPr>
      <w:tblGrid>
        <w:gridCol w:w="1897"/>
        <w:gridCol w:w="2448"/>
        <w:gridCol w:w="2308"/>
      </w:tblGrid>
      <w:tr w:rsidR="00165392" w:rsidRPr="00B15706" w:rsidTr="008C44CE">
        <w:trPr>
          <w:trHeight w:val="300"/>
        </w:trPr>
        <w:tc>
          <w:tcPr>
            <w:tcW w:w="0" w:type="auto"/>
            <w:noWrap/>
            <w:vAlign w:val="center"/>
            <w:hideMark/>
          </w:tcPr>
          <w:p w:rsidR="00165392" w:rsidRPr="00B15706" w:rsidRDefault="00165392" w:rsidP="008C44CE">
            <w:pPr>
              <w:jc w:val="center"/>
              <w:rPr>
                <w:rFonts w:ascii="Arial" w:eastAsia="Times New Roman" w:hAnsi="Arial" w:cs="Arial"/>
                <w:b/>
                <w:bCs/>
                <w:color w:val="000000"/>
                <w:sz w:val="18"/>
                <w:szCs w:val="16"/>
                <w:lang w:eastAsia="en-AU"/>
              </w:rPr>
            </w:pPr>
            <w:r w:rsidRPr="00B15706">
              <w:rPr>
                <w:rFonts w:ascii="Arial" w:eastAsia="Times New Roman" w:hAnsi="Arial" w:cs="Arial"/>
                <w:b/>
                <w:bCs/>
                <w:color w:val="000000"/>
                <w:sz w:val="18"/>
                <w:szCs w:val="16"/>
                <w:lang w:eastAsia="en-AU"/>
              </w:rPr>
              <w:t>Litres used 2014 (2)</w:t>
            </w:r>
          </w:p>
        </w:tc>
        <w:tc>
          <w:tcPr>
            <w:tcW w:w="0" w:type="auto"/>
            <w:noWrap/>
            <w:vAlign w:val="center"/>
            <w:hideMark/>
          </w:tcPr>
          <w:p w:rsidR="00165392" w:rsidRPr="00B15706" w:rsidRDefault="00165392" w:rsidP="008C44CE">
            <w:pPr>
              <w:jc w:val="center"/>
              <w:rPr>
                <w:rFonts w:ascii="Arial" w:eastAsia="Times New Roman" w:hAnsi="Arial" w:cs="Arial"/>
                <w:b/>
                <w:bCs/>
                <w:color w:val="000000"/>
                <w:sz w:val="18"/>
                <w:szCs w:val="16"/>
                <w:lang w:eastAsia="en-AU"/>
              </w:rPr>
            </w:pPr>
            <w:r w:rsidRPr="00B15706">
              <w:rPr>
                <w:rFonts w:ascii="Arial" w:eastAsia="Times New Roman" w:hAnsi="Arial" w:cs="Arial"/>
                <w:b/>
                <w:bCs/>
                <w:color w:val="000000"/>
                <w:sz w:val="18"/>
                <w:szCs w:val="16"/>
                <w:lang w:eastAsia="en-AU"/>
              </w:rPr>
              <w:t>Road user charge 2015-16</w:t>
            </w:r>
          </w:p>
        </w:tc>
        <w:tc>
          <w:tcPr>
            <w:tcW w:w="0" w:type="auto"/>
            <w:noWrap/>
            <w:vAlign w:val="center"/>
            <w:hideMark/>
          </w:tcPr>
          <w:p w:rsidR="00165392" w:rsidRPr="00B15706" w:rsidRDefault="00165392" w:rsidP="008C44CE">
            <w:pPr>
              <w:jc w:val="center"/>
              <w:rPr>
                <w:rFonts w:ascii="Arial" w:eastAsia="Times New Roman" w:hAnsi="Arial" w:cs="Arial"/>
                <w:b/>
                <w:bCs/>
                <w:color w:val="000000"/>
                <w:sz w:val="18"/>
                <w:szCs w:val="16"/>
                <w:lang w:eastAsia="en-AU"/>
              </w:rPr>
            </w:pPr>
            <w:r w:rsidRPr="00B15706">
              <w:rPr>
                <w:rFonts w:ascii="Arial" w:eastAsia="Times New Roman" w:hAnsi="Arial" w:cs="Arial"/>
                <w:b/>
                <w:bCs/>
                <w:color w:val="000000"/>
                <w:sz w:val="18"/>
                <w:szCs w:val="16"/>
                <w:lang w:eastAsia="en-AU"/>
              </w:rPr>
              <w:t>Fuel revenue 2015-16 ($)</w:t>
            </w:r>
          </w:p>
        </w:tc>
      </w:tr>
      <w:tr w:rsidR="00165392" w:rsidRPr="00B15706" w:rsidTr="008C44CE">
        <w:trPr>
          <w:trHeight w:val="300"/>
        </w:trPr>
        <w:tc>
          <w:tcPr>
            <w:tcW w:w="0" w:type="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6,963,267,471</w:t>
            </w:r>
          </w:p>
        </w:tc>
        <w:tc>
          <w:tcPr>
            <w:tcW w:w="0" w:type="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0.263</w:t>
            </w:r>
          </w:p>
        </w:tc>
        <w:tc>
          <w:tcPr>
            <w:tcW w:w="0" w:type="auto"/>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1,831,339,345</w:t>
            </w:r>
          </w:p>
        </w:tc>
      </w:tr>
    </w:tbl>
    <w:p w:rsidR="00165392" w:rsidRPr="00B15706" w:rsidRDefault="00165392" w:rsidP="00165392">
      <w:pPr>
        <w:spacing w:before="100" w:beforeAutospacing="1" w:after="100" w:afterAutospacing="1"/>
        <w:rPr>
          <w:rFonts w:ascii="Arial" w:hAnsi="Arial" w:cs="Arial"/>
          <w:sz w:val="18"/>
          <w:szCs w:val="24"/>
          <w:lang w:eastAsia="en-AU"/>
        </w:rPr>
      </w:pPr>
      <w:r w:rsidRPr="00B15706">
        <w:rPr>
          <w:rFonts w:ascii="Arial" w:hAnsi="Arial" w:cs="Arial"/>
          <w:sz w:val="18"/>
          <w:szCs w:val="24"/>
          <w:lang w:eastAsia="en-AU"/>
        </w:rPr>
        <w:t>2 estimated total fuel use by heavy vehicles (litres) page 103 NTC Annual report 2014</w:t>
      </w:r>
    </w:p>
    <w:p w:rsidR="00165392" w:rsidRPr="00B15706" w:rsidRDefault="00161193" w:rsidP="00165392">
      <w:pPr>
        <w:spacing w:before="100" w:beforeAutospacing="1" w:after="100" w:afterAutospacing="1"/>
        <w:rPr>
          <w:rFonts w:ascii="Arial" w:hAnsi="Arial" w:cs="Arial"/>
          <w:bCs/>
          <w:szCs w:val="24"/>
          <w:u w:val="single"/>
          <w:lang w:eastAsia="en-AU"/>
        </w:rPr>
      </w:pPr>
      <w:r>
        <w:rPr>
          <w:rFonts w:ascii="Arial" w:hAnsi="Arial" w:cs="Arial"/>
          <w:bCs/>
          <w:szCs w:val="24"/>
          <w:u w:val="single"/>
          <w:lang w:eastAsia="en-AU"/>
        </w:rPr>
        <w:t xml:space="preserve">Table 4: </w:t>
      </w:r>
      <w:r w:rsidR="00165392" w:rsidRPr="00B15706">
        <w:rPr>
          <w:rFonts w:ascii="Arial" w:hAnsi="Arial" w:cs="Arial"/>
          <w:bCs/>
          <w:szCs w:val="24"/>
          <w:u w:val="single"/>
          <w:lang w:eastAsia="en-AU"/>
        </w:rPr>
        <w:t>Estimated industry over-recovery 2015-16</w:t>
      </w:r>
    </w:p>
    <w:tbl>
      <w:tblPr>
        <w:tblStyle w:val="TableGrid2"/>
        <w:tblW w:w="9634" w:type="dxa"/>
        <w:tblLayout w:type="fixed"/>
        <w:tblLook w:val="04A0" w:firstRow="1" w:lastRow="0" w:firstColumn="1" w:lastColumn="0" w:noHBand="0" w:noVBand="1"/>
      </w:tblPr>
      <w:tblGrid>
        <w:gridCol w:w="6545"/>
        <w:gridCol w:w="1547"/>
        <w:gridCol w:w="1542"/>
      </w:tblGrid>
      <w:tr w:rsidR="00165392" w:rsidRPr="00B15706" w:rsidTr="008C44CE">
        <w:trPr>
          <w:trHeight w:val="300"/>
        </w:trPr>
        <w:tc>
          <w:tcPr>
            <w:tcW w:w="6545" w:type="dxa"/>
            <w:noWrap/>
            <w:vAlign w:val="center"/>
          </w:tcPr>
          <w:p w:rsidR="00165392" w:rsidRPr="00B15706" w:rsidRDefault="00165392" w:rsidP="008C44CE">
            <w:pPr>
              <w:jc w:val="center"/>
              <w:rPr>
                <w:rFonts w:ascii="Arial" w:eastAsia="Times New Roman" w:hAnsi="Arial" w:cs="Arial"/>
                <w:b/>
                <w:color w:val="000000"/>
                <w:sz w:val="18"/>
                <w:szCs w:val="16"/>
                <w:lang w:eastAsia="en-AU"/>
              </w:rPr>
            </w:pPr>
            <w:r w:rsidRPr="00B15706">
              <w:rPr>
                <w:rFonts w:ascii="Arial" w:eastAsia="Times New Roman" w:hAnsi="Arial" w:cs="Arial"/>
                <w:b/>
                <w:color w:val="000000"/>
                <w:sz w:val="18"/>
                <w:szCs w:val="16"/>
                <w:lang w:eastAsia="en-AU"/>
              </w:rPr>
              <w:t>Cost Base</w:t>
            </w:r>
          </w:p>
        </w:tc>
        <w:tc>
          <w:tcPr>
            <w:tcW w:w="1547" w:type="dxa"/>
            <w:noWrap/>
            <w:vAlign w:val="center"/>
          </w:tcPr>
          <w:p w:rsidR="00165392" w:rsidRPr="00B15706" w:rsidRDefault="00165392" w:rsidP="008C44CE">
            <w:pPr>
              <w:jc w:val="center"/>
              <w:rPr>
                <w:rFonts w:ascii="Arial" w:eastAsia="Times New Roman" w:hAnsi="Arial" w:cs="Arial"/>
                <w:b/>
                <w:bCs/>
                <w:color w:val="000000"/>
                <w:sz w:val="18"/>
                <w:szCs w:val="16"/>
                <w:lang w:eastAsia="en-AU"/>
              </w:rPr>
            </w:pPr>
            <w:r w:rsidRPr="00B15706">
              <w:rPr>
                <w:rFonts w:ascii="Arial" w:eastAsia="Times New Roman" w:hAnsi="Arial" w:cs="Arial"/>
                <w:b/>
                <w:bCs/>
                <w:color w:val="000000"/>
                <w:sz w:val="18"/>
                <w:szCs w:val="16"/>
                <w:lang w:eastAsia="en-AU"/>
              </w:rPr>
              <w:t>Total Revenue ($)</w:t>
            </w:r>
          </w:p>
        </w:tc>
        <w:tc>
          <w:tcPr>
            <w:tcW w:w="1542" w:type="dxa"/>
            <w:noWrap/>
            <w:vAlign w:val="center"/>
          </w:tcPr>
          <w:p w:rsidR="00165392" w:rsidRPr="00B15706" w:rsidRDefault="00165392" w:rsidP="008C44CE">
            <w:pPr>
              <w:jc w:val="center"/>
              <w:rPr>
                <w:rFonts w:ascii="Arial" w:eastAsia="Times New Roman" w:hAnsi="Arial" w:cs="Arial"/>
                <w:b/>
                <w:bCs/>
                <w:color w:val="000000"/>
                <w:sz w:val="18"/>
                <w:szCs w:val="16"/>
                <w:lang w:eastAsia="en-AU"/>
              </w:rPr>
            </w:pPr>
            <w:r w:rsidRPr="00B15706">
              <w:rPr>
                <w:rFonts w:ascii="Arial" w:eastAsia="Times New Roman" w:hAnsi="Arial" w:cs="Arial"/>
                <w:b/>
                <w:bCs/>
                <w:color w:val="000000"/>
                <w:sz w:val="18"/>
                <w:szCs w:val="16"/>
                <w:lang w:eastAsia="en-AU"/>
              </w:rPr>
              <w:t>Over-recovery for 2015-16 ($)</w:t>
            </w:r>
          </w:p>
        </w:tc>
      </w:tr>
      <w:tr w:rsidR="00165392" w:rsidRPr="00B15706" w:rsidTr="008C44CE">
        <w:trPr>
          <w:trHeight w:val="300"/>
        </w:trPr>
        <w:tc>
          <w:tcPr>
            <w:tcW w:w="6545" w:type="dxa"/>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Cost Base required for 2015 (as per 2014 NTC Annual report.)</w:t>
            </w:r>
          </w:p>
        </w:tc>
        <w:tc>
          <w:tcPr>
            <w:tcW w:w="1547" w:type="dxa"/>
            <w:noWrap/>
            <w:vAlign w:val="center"/>
            <w:hideMark/>
          </w:tcPr>
          <w:p w:rsidR="00165392" w:rsidRPr="00B15706" w:rsidRDefault="00165392" w:rsidP="008C44CE">
            <w:pPr>
              <w:jc w:val="center"/>
              <w:rPr>
                <w:rFonts w:ascii="Arial" w:eastAsia="Times New Roman" w:hAnsi="Arial" w:cs="Arial"/>
                <w:bCs/>
                <w:color w:val="000000"/>
                <w:sz w:val="18"/>
                <w:szCs w:val="16"/>
                <w:lang w:eastAsia="en-AU"/>
              </w:rPr>
            </w:pPr>
            <w:r w:rsidRPr="00B15706">
              <w:rPr>
                <w:rFonts w:ascii="Arial" w:eastAsia="Times New Roman" w:hAnsi="Arial" w:cs="Arial"/>
                <w:bCs/>
                <w:color w:val="000000"/>
                <w:sz w:val="18"/>
                <w:szCs w:val="16"/>
                <w:lang w:eastAsia="en-AU"/>
              </w:rPr>
              <w:t>3,025,700,000</w:t>
            </w:r>
          </w:p>
        </w:tc>
        <w:tc>
          <w:tcPr>
            <w:tcW w:w="1542" w:type="dxa"/>
            <w:noWrap/>
            <w:vAlign w:val="center"/>
            <w:hideMark/>
          </w:tcPr>
          <w:p w:rsidR="00165392" w:rsidRPr="00B15706" w:rsidRDefault="00165392" w:rsidP="008C44CE">
            <w:pPr>
              <w:jc w:val="center"/>
              <w:rPr>
                <w:rFonts w:ascii="Arial" w:eastAsia="Times New Roman" w:hAnsi="Arial" w:cs="Arial"/>
                <w:b/>
                <w:bCs/>
                <w:color w:val="000000"/>
                <w:sz w:val="18"/>
                <w:szCs w:val="16"/>
                <w:lang w:eastAsia="en-AU"/>
              </w:rPr>
            </w:pPr>
          </w:p>
        </w:tc>
      </w:tr>
      <w:tr w:rsidR="00165392" w:rsidRPr="00B15706" w:rsidTr="008C44CE">
        <w:trPr>
          <w:trHeight w:val="64"/>
        </w:trPr>
        <w:tc>
          <w:tcPr>
            <w:tcW w:w="6545" w:type="dxa"/>
            <w:noWrap/>
            <w:vAlign w:val="center"/>
            <w:hideMark/>
          </w:tcPr>
          <w:p w:rsidR="00165392" w:rsidRPr="00B15706" w:rsidRDefault="00165392" w:rsidP="008C44CE">
            <w:pPr>
              <w:jc w:val="center"/>
              <w:rPr>
                <w:rFonts w:ascii="Arial" w:eastAsia="Times New Roman" w:hAnsi="Arial" w:cs="Arial"/>
                <w:color w:val="000000"/>
                <w:sz w:val="18"/>
                <w:szCs w:val="16"/>
                <w:lang w:eastAsia="en-AU"/>
              </w:rPr>
            </w:pPr>
            <w:r w:rsidRPr="00B15706">
              <w:rPr>
                <w:rFonts w:ascii="Arial" w:eastAsia="Times New Roman" w:hAnsi="Arial" w:cs="Arial"/>
                <w:color w:val="000000"/>
                <w:sz w:val="18"/>
                <w:szCs w:val="16"/>
                <w:lang w:eastAsia="en-AU"/>
              </w:rPr>
              <w:t>Cost base that will be collected in 2015-16 (registration revenue + fuel revenue)</w:t>
            </w:r>
          </w:p>
        </w:tc>
        <w:tc>
          <w:tcPr>
            <w:tcW w:w="1547" w:type="dxa"/>
            <w:noWrap/>
            <w:vAlign w:val="center"/>
            <w:hideMark/>
          </w:tcPr>
          <w:p w:rsidR="00165392" w:rsidRPr="00B15706" w:rsidRDefault="00165392" w:rsidP="008C44CE">
            <w:pPr>
              <w:jc w:val="center"/>
              <w:rPr>
                <w:rFonts w:ascii="Arial" w:eastAsia="Times New Roman" w:hAnsi="Arial" w:cs="Arial"/>
                <w:bCs/>
                <w:color w:val="000000"/>
                <w:sz w:val="18"/>
                <w:szCs w:val="16"/>
                <w:lang w:eastAsia="en-AU"/>
              </w:rPr>
            </w:pPr>
            <w:r w:rsidRPr="00B15706">
              <w:rPr>
                <w:rFonts w:ascii="Arial" w:eastAsia="Times New Roman" w:hAnsi="Arial" w:cs="Arial"/>
                <w:bCs/>
                <w:color w:val="000000"/>
                <w:sz w:val="18"/>
                <w:szCs w:val="16"/>
                <w:lang w:eastAsia="en-AU"/>
              </w:rPr>
              <w:t>3,142,718,892</w:t>
            </w:r>
          </w:p>
        </w:tc>
        <w:tc>
          <w:tcPr>
            <w:tcW w:w="1542" w:type="dxa"/>
            <w:noWrap/>
            <w:vAlign w:val="center"/>
            <w:hideMark/>
          </w:tcPr>
          <w:p w:rsidR="00165392" w:rsidRPr="00B15706" w:rsidRDefault="00165392" w:rsidP="008C44CE">
            <w:pPr>
              <w:jc w:val="center"/>
              <w:rPr>
                <w:rFonts w:ascii="Arial" w:eastAsia="Times New Roman" w:hAnsi="Arial" w:cs="Arial"/>
                <w:b/>
                <w:color w:val="000000"/>
                <w:sz w:val="18"/>
                <w:szCs w:val="16"/>
                <w:lang w:eastAsia="en-AU"/>
              </w:rPr>
            </w:pPr>
            <w:r w:rsidRPr="00B15706">
              <w:rPr>
                <w:rFonts w:ascii="Arial" w:eastAsia="Times New Roman" w:hAnsi="Arial" w:cs="Arial"/>
                <w:b/>
                <w:color w:val="000000"/>
                <w:sz w:val="18"/>
                <w:szCs w:val="16"/>
                <w:lang w:eastAsia="en-AU"/>
              </w:rPr>
              <w:t>117,018,892</w:t>
            </w:r>
          </w:p>
        </w:tc>
      </w:tr>
    </w:tbl>
    <w:p w:rsidR="00B15706" w:rsidRPr="00B15706" w:rsidRDefault="00B15706" w:rsidP="00165392">
      <w:pPr>
        <w:spacing w:before="100" w:beforeAutospacing="1" w:after="100" w:afterAutospacing="1"/>
        <w:rPr>
          <w:rFonts w:ascii="Arial" w:hAnsi="Arial" w:cs="Arial"/>
          <w:szCs w:val="24"/>
          <w:lang w:eastAsia="en-AU"/>
        </w:rPr>
      </w:pPr>
    </w:p>
    <w:p w:rsidR="00165392" w:rsidRPr="00B15706" w:rsidRDefault="00165392" w:rsidP="00B20589">
      <w:pPr>
        <w:rPr>
          <w:rFonts w:ascii="Arial" w:hAnsi="Arial" w:cs="Arial"/>
        </w:rPr>
      </w:pPr>
    </w:p>
    <w:p w:rsidR="00165392" w:rsidRPr="00B15706" w:rsidRDefault="00B15706" w:rsidP="00B15706">
      <w:pPr>
        <w:pStyle w:val="Heading1"/>
        <w:rPr>
          <w:szCs w:val="22"/>
        </w:rPr>
      </w:pPr>
      <w:bookmarkStart w:id="5" w:name="_Toc414960560"/>
      <w:r w:rsidRPr="00B15706">
        <w:rPr>
          <w:szCs w:val="22"/>
        </w:rPr>
        <w:lastRenderedPageBreak/>
        <w:t>The Solution</w:t>
      </w:r>
      <w:bookmarkEnd w:id="5"/>
    </w:p>
    <w:p w:rsidR="00B15706" w:rsidRPr="00B15706" w:rsidRDefault="00B15706" w:rsidP="00B15706">
      <w:pPr>
        <w:rPr>
          <w:rFonts w:ascii="Arial" w:hAnsi="Arial" w:cs="Arial"/>
        </w:rPr>
      </w:pPr>
    </w:p>
    <w:p w:rsidR="00483423" w:rsidRDefault="00B15706" w:rsidP="00B15706">
      <w:pPr>
        <w:rPr>
          <w:rFonts w:ascii="Arial" w:hAnsi="Arial" w:cs="Arial"/>
        </w:rPr>
      </w:pPr>
      <w:r w:rsidRPr="00B15706">
        <w:rPr>
          <w:rFonts w:ascii="Arial" w:hAnsi="Arial" w:cs="Arial"/>
        </w:rPr>
        <w:t xml:space="preserve">Instead of the 0.6 per cent </w:t>
      </w:r>
      <w:r w:rsidR="00483423">
        <w:rPr>
          <w:rFonts w:ascii="Arial" w:hAnsi="Arial" w:cs="Arial"/>
        </w:rPr>
        <w:t xml:space="preserve">annual adjustment </w:t>
      </w:r>
      <w:r w:rsidRPr="00B15706">
        <w:rPr>
          <w:rFonts w:ascii="Arial" w:hAnsi="Arial" w:cs="Arial"/>
        </w:rPr>
        <w:t xml:space="preserve">increase in heavy vehicle charges for </w:t>
      </w:r>
      <w:r w:rsidR="00161193">
        <w:rPr>
          <w:rFonts w:ascii="Arial" w:hAnsi="Arial" w:cs="Arial"/>
        </w:rPr>
        <w:t xml:space="preserve">heavy vehicles charge should </w:t>
      </w:r>
      <w:r w:rsidRPr="00B15706">
        <w:rPr>
          <w:rFonts w:ascii="Arial" w:hAnsi="Arial" w:cs="Arial"/>
        </w:rPr>
        <w:t xml:space="preserve">be frozen </w:t>
      </w:r>
      <w:r w:rsidR="00161193">
        <w:rPr>
          <w:rFonts w:ascii="Arial" w:hAnsi="Arial" w:cs="Arial"/>
        </w:rPr>
        <w:t>in</w:t>
      </w:r>
      <w:r w:rsidRPr="00B15706">
        <w:rPr>
          <w:rFonts w:ascii="Arial" w:hAnsi="Arial" w:cs="Arial"/>
        </w:rPr>
        <w:t xml:space="preserve"> 2015-16 </w:t>
      </w:r>
      <w:r w:rsidR="00161193">
        <w:rPr>
          <w:rFonts w:ascii="Arial" w:hAnsi="Arial" w:cs="Arial"/>
        </w:rPr>
        <w:t xml:space="preserve">as it was in 2014-15. </w:t>
      </w:r>
    </w:p>
    <w:p w:rsidR="00483423" w:rsidRDefault="00483423" w:rsidP="00B15706">
      <w:pPr>
        <w:rPr>
          <w:rFonts w:ascii="Arial" w:hAnsi="Arial" w:cs="Arial"/>
        </w:rPr>
      </w:pPr>
    </w:p>
    <w:p w:rsidR="00B15706" w:rsidRDefault="00483423" w:rsidP="00B15706">
      <w:pPr>
        <w:rPr>
          <w:rFonts w:ascii="Arial" w:hAnsi="Arial" w:cs="Arial"/>
          <w:szCs w:val="24"/>
        </w:rPr>
      </w:pPr>
      <w:r>
        <w:rPr>
          <w:rFonts w:ascii="Arial" w:hAnsi="Arial" w:cs="Arial"/>
        </w:rPr>
        <w:t>The NTC should also</w:t>
      </w:r>
      <w:r w:rsidR="00B15706" w:rsidRPr="00B15706">
        <w:rPr>
          <w:rFonts w:ascii="Arial" w:hAnsi="Arial" w:cs="Arial"/>
        </w:rPr>
        <w:t xml:space="preserve"> recommend the implementation of Option A, as described in the </w:t>
      </w:r>
      <w:r w:rsidR="00B15706" w:rsidRPr="00B15706">
        <w:rPr>
          <w:rFonts w:ascii="Arial" w:hAnsi="Arial" w:cs="Arial"/>
          <w:szCs w:val="24"/>
        </w:rPr>
        <w:t>NTC 2014 Heavy Vehicle Charges Determination RIS, should be implemented from 1 July 2016.</w:t>
      </w:r>
    </w:p>
    <w:p w:rsidR="00483423" w:rsidRDefault="00483423" w:rsidP="00B15706">
      <w:pPr>
        <w:rPr>
          <w:rFonts w:ascii="Arial" w:hAnsi="Arial" w:cs="Arial"/>
          <w:szCs w:val="24"/>
        </w:rPr>
      </w:pPr>
    </w:p>
    <w:p w:rsidR="00483423" w:rsidRPr="00483423" w:rsidRDefault="00483423" w:rsidP="00B15706">
      <w:pPr>
        <w:rPr>
          <w:rFonts w:ascii="Arial" w:hAnsi="Arial" w:cs="Arial"/>
          <w:b/>
        </w:rPr>
      </w:pPr>
      <w:r w:rsidRPr="00483423">
        <w:rPr>
          <w:rFonts w:ascii="Arial" w:hAnsi="Arial" w:cs="Arial"/>
          <w:b/>
        </w:rPr>
        <w:t>Recommendation</w:t>
      </w:r>
      <w:r>
        <w:rPr>
          <w:rFonts w:ascii="Arial" w:hAnsi="Arial" w:cs="Arial"/>
          <w:b/>
        </w:rPr>
        <w:t>s</w:t>
      </w:r>
      <w:r w:rsidRPr="00483423">
        <w:rPr>
          <w:rFonts w:ascii="Arial" w:hAnsi="Arial" w:cs="Arial"/>
          <w:b/>
        </w:rPr>
        <w:t xml:space="preserve"> </w:t>
      </w:r>
    </w:p>
    <w:p w:rsidR="00483423" w:rsidRDefault="00483423" w:rsidP="00B15706">
      <w:pPr>
        <w:rPr>
          <w:rFonts w:ascii="Arial" w:hAnsi="Arial" w:cs="Arial"/>
        </w:rPr>
      </w:pPr>
    </w:p>
    <w:p w:rsidR="00161193" w:rsidRPr="00161193" w:rsidRDefault="00161193" w:rsidP="00161193">
      <w:pPr>
        <w:pStyle w:val="ListParagraph"/>
        <w:numPr>
          <w:ilvl w:val="0"/>
          <w:numId w:val="36"/>
        </w:numPr>
        <w:spacing w:after="0" w:line="240" w:lineRule="auto"/>
        <w:rPr>
          <w:rFonts w:ascii="Arial" w:hAnsi="Arial" w:cs="Arial"/>
        </w:rPr>
      </w:pPr>
      <w:r w:rsidRPr="00161193">
        <w:rPr>
          <w:rFonts w:ascii="Arial" w:hAnsi="Arial" w:cs="Arial"/>
        </w:rPr>
        <w:t>Ministers should note that the NTC’s annual adjustment recommendation is based on the existing outdated and discredited model to calculate heavy vehicle charges.</w:t>
      </w:r>
    </w:p>
    <w:p w:rsidR="00161193" w:rsidRPr="00161193" w:rsidRDefault="00161193" w:rsidP="00161193">
      <w:pPr>
        <w:ind w:left="360"/>
        <w:rPr>
          <w:rFonts w:ascii="Arial" w:hAnsi="Arial" w:cs="Arial"/>
        </w:rPr>
      </w:pPr>
    </w:p>
    <w:p w:rsidR="00161193" w:rsidRPr="00161193" w:rsidRDefault="00161193" w:rsidP="00161193">
      <w:pPr>
        <w:pStyle w:val="ListParagraph"/>
        <w:numPr>
          <w:ilvl w:val="0"/>
          <w:numId w:val="36"/>
        </w:numPr>
        <w:spacing w:after="0" w:line="240" w:lineRule="auto"/>
        <w:rPr>
          <w:rFonts w:ascii="Arial" w:hAnsi="Arial" w:cs="Arial"/>
        </w:rPr>
      </w:pPr>
      <w:r w:rsidRPr="00161193">
        <w:rPr>
          <w:rFonts w:ascii="Arial" w:hAnsi="Arial" w:cs="Arial"/>
        </w:rPr>
        <w:t xml:space="preserve">The road user charge and registration charges should be frozen for 2015-16. </w:t>
      </w:r>
    </w:p>
    <w:p w:rsidR="00161193" w:rsidRPr="00161193" w:rsidRDefault="00161193" w:rsidP="00161193">
      <w:pPr>
        <w:pStyle w:val="ListParagraph"/>
        <w:rPr>
          <w:rFonts w:ascii="Arial" w:hAnsi="Arial" w:cs="Arial"/>
        </w:rPr>
      </w:pPr>
    </w:p>
    <w:p w:rsidR="00161193" w:rsidRPr="00161193" w:rsidRDefault="00161193" w:rsidP="00161193">
      <w:pPr>
        <w:pStyle w:val="ListParagraph"/>
        <w:numPr>
          <w:ilvl w:val="0"/>
          <w:numId w:val="36"/>
        </w:numPr>
        <w:spacing w:after="0" w:line="240" w:lineRule="auto"/>
        <w:rPr>
          <w:rFonts w:ascii="Arial" w:hAnsi="Arial" w:cs="Arial"/>
        </w:rPr>
      </w:pPr>
      <w:r w:rsidRPr="00161193">
        <w:rPr>
          <w:rFonts w:ascii="Arial" w:hAnsi="Arial" w:cs="Arial"/>
        </w:rPr>
        <w:t xml:space="preserve">Option A, as described in the NTC 2014 Heavy Vehicle Charges Determination RIS, should be implemented from 1 July 2016. </w:t>
      </w:r>
    </w:p>
    <w:p w:rsidR="00483423" w:rsidRPr="00483423" w:rsidRDefault="00483423" w:rsidP="00483423">
      <w:pPr>
        <w:pStyle w:val="ListParagraph"/>
        <w:rPr>
          <w:rFonts w:ascii="Arial" w:hAnsi="Arial" w:cs="Arial"/>
        </w:rPr>
      </w:pPr>
    </w:p>
    <w:p w:rsidR="00483423" w:rsidRPr="00483423" w:rsidRDefault="00483423" w:rsidP="00483423">
      <w:pPr>
        <w:rPr>
          <w:rFonts w:ascii="Arial" w:hAnsi="Arial" w:cs="Arial"/>
        </w:rPr>
      </w:pPr>
    </w:p>
    <w:p w:rsidR="00483423" w:rsidRPr="00B15706" w:rsidRDefault="00483423" w:rsidP="00B15706">
      <w:pPr>
        <w:rPr>
          <w:rFonts w:ascii="Arial" w:hAnsi="Arial" w:cs="Arial"/>
        </w:rPr>
      </w:pPr>
    </w:p>
    <w:p w:rsidR="00B15706" w:rsidRPr="00B15706" w:rsidRDefault="00B15706" w:rsidP="00B15706">
      <w:pPr>
        <w:rPr>
          <w:rFonts w:ascii="Arial" w:hAnsi="Arial" w:cs="Arial"/>
        </w:rPr>
      </w:pPr>
    </w:p>
    <w:p w:rsidR="00B15706" w:rsidRPr="00B15706" w:rsidRDefault="00B15706" w:rsidP="00B15706">
      <w:pPr>
        <w:rPr>
          <w:rFonts w:ascii="Arial" w:hAnsi="Arial" w:cs="Arial"/>
        </w:rPr>
      </w:pPr>
    </w:p>
    <w:sectPr w:rsidR="00B15706" w:rsidRPr="00B15706" w:rsidSect="00A91411">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567" w:left="1134" w:header="703"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7BF" w:rsidRDefault="005227BF" w:rsidP="000F3D9F">
      <w:r>
        <w:separator/>
      </w:r>
    </w:p>
  </w:endnote>
  <w:endnote w:type="continuationSeparator" w:id="0">
    <w:p w:rsidR="005227BF" w:rsidRDefault="005227BF" w:rsidP="000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04" w:rsidRDefault="00C74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BF" w:rsidRDefault="005227BF"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5227BF" w:rsidRPr="00E8056B" w:rsidRDefault="005227BF" w:rsidP="00E8056B">
    <w:pPr>
      <w:jc w:val="right"/>
      <w:rPr>
        <w:rFonts w:ascii="Arial" w:hAnsi="Arial" w:cs="Arial"/>
        <w:sz w:val="16"/>
        <w:szCs w:val="16"/>
      </w:rPr>
    </w:pPr>
  </w:p>
  <w:p w:rsidR="005227BF" w:rsidRPr="00E8056B" w:rsidRDefault="005227BF"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5227BF" w:rsidRPr="00E8056B" w:rsidRDefault="005227BF"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BF" w:rsidRDefault="005227BF">
    <w:pPr>
      <w:pStyle w:val="Footer"/>
      <w:jc w:val="right"/>
    </w:pPr>
    <w:r>
      <w:fldChar w:fldCharType="begin"/>
    </w:r>
    <w:r>
      <w:instrText xml:space="preserve"> PAGE   \* MERGEFORMAT </w:instrText>
    </w:r>
    <w:r>
      <w:fldChar w:fldCharType="separate"/>
    </w:r>
    <w:r>
      <w:rPr>
        <w:noProof/>
      </w:rPr>
      <w:t>7</w:t>
    </w:r>
    <w:r>
      <w:rPr>
        <w:noProof/>
      </w:rPr>
      <w:fldChar w:fldCharType="end"/>
    </w:r>
  </w:p>
  <w:p w:rsidR="005227BF" w:rsidRDefault="005227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BF" w:rsidRDefault="005227B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insideH w:val="single" w:sz="4" w:space="0" w:color="000000"/>
      </w:tblBorders>
      <w:tblLook w:val="04A0" w:firstRow="1" w:lastRow="0" w:firstColumn="1" w:lastColumn="0" w:noHBand="0" w:noVBand="1"/>
    </w:tblPr>
    <w:tblGrid>
      <w:gridCol w:w="4825"/>
      <w:gridCol w:w="4813"/>
    </w:tblGrid>
    <w:tr w:rsidR="005227BF" w:rsidRPr="00A91411" w:rsidTr="008E09F4">
      <w:trPr>
        <w:trHeight w:val="57"/>
      </w:trPr>
      <w:tc>
        <w:tcPr>
          <w:tcW w:w="4927" w:type="dxa"/>
          <w:vAlign w:val="center"/>
        </w:tcPr>
        <w:p w:rsidR="005227BF" w:rsidRPr="00A91411" w:rsidRDefault="005227BF" w:rsidP="00C8106A">
          <w:pPr>
            <w:pStyle w:val="Footer"/>
            <w:rPr>
              <w:rFonts w:ascii="Arial" w:hAnsi="Arial" w:cs="Arial"/>
              <w:sz w:val="14"/>
              <w:szCs w:val="14"/>
            </w:rPr>
          </w:pPr>
          <w:r>
            <w:rPr>
              <w:rFonts w:ascii="Arial" w:hAnsi="Arial" w:cs="Arial"/>
              <w:sz w:val="14"/>
              <w:szCs w:val="14"/>
            </w:rPr>
            <w:t xml:space="preserve">ATA Submission: </w:t>
          </w:r>
          <w:r w:rsidR="00C8106A">
            <w:rPr>
              <w:rFonts w:ascii="Arial" w:hAnsi="Arial" w:cs="Arial"/>
              <w:sz w:val="14"/>
              <w:szCs w:val="14"/>
            </w:rPr>
            <w:t>National Transport</w:t>
          </w:r>
          <w:r w:rsidRPr="00CD71EC">
            <w:rPr>
              <w:rFonts w:ascii="Arial" w:hAnsi="Arial" w:cs="Arial"/>
              <w:sz w:val="14"/>
              <w:szCs w:val="14"/>
            </w:rPr>
            <w:t xml:space="preserve"> Commission</w:t>
          </w:r>
          <w:r>
            <w:rPr>
              <w:rFonts w:ascii="Arial" w:hAnsi="Arial" w:cs="Arial"/>
              <w:sz w:val="14"/>
              <w:szCs w:val="14"/>
            </w:rPr>
            <w:t xml:space="preserve">: </w:t>
          </w:r>
          <w:r w:rsidR="00C8106A" w:rsidRPr="00C8106A">
            <w:rPr>
              <w:rFonts w:ascii="Arial" w:hAnsi="Arial" w:cs="Arial"/>
              <w:sz w:val="14"/>
              <w:szCs w:val="14"/>
            </w:rPr>
            <w:t>Heavy vehicle road user charge annual adjustment</w:t>
          </w:r>
        </w:p>
      </w:tc>
      <w:tc>
        <w:tcPr>
          <w:tcW w:w="4927" w:type="dxa"/>
          <w:vAlign w:val="center"/>
        </w:tcPr>
        <w:p w:rsidR="005227BF" w:rsidRPr="00A91411" w:rsidRDefault="005227BF" w:rsidP="00D735FF">
          <w:pPr>
            <w:pStyle w:val="Footer"/>
            <w:jc w:val="right"/>
            <w:rPr>
              <w:rFonts w:ascii="Arial" w:hAnsi="Arial" w:cs="Arial"/>
              <w:sz w:val="14"/>
              <w:szCs w:val="14"/>
            </w:rPr>
          </w:pPr>
          <w:r w:rsidRPr="00A91411">
            <w:rPr>
              <w:rFonts w:ascii="Arial" w:hAnsi="Arial" w:cs="Arial"/>
              <w:sz w:val="14"/>
              <w:szCs w:val="14"/>
            </w:rPr>
            <w:t xml:space="preserve">Page </w:t>
          </w:r>
          <w:r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Pr="00A91411">
            <w:rPr>
              <w:rFonts w:ascii="Arial" w:hAnsi="Arial" w:cs="Arial"/>
              <w:sz w:val="14"/>
              <w:szCs w:val="14"/>
            </w:rPr>
            <w:fldChar w:fldCharType="separate"/>
          </w:r>
          <w:r w:rsidR="007D2055">
            <w:rPr>
              <w:rFonts w:ascii="Arial" w:hAnsi="Arial" w:cs="Arial"/>
              <w:noProof/>
              <w:sz w:val="14"/>
              <w:szCs w:val="14"/>
            </w:rPr>
            <w:t>7</w:t>
          </w:r>
          <w:r w:rsidRPr="00A91411">
            <w:rPr>
              <w:rFonts w:ascii="Arial" w:hAnsi="Arial" w:cs="Arial"/>
              <w:sz w:val="14"/>
              <w:szCs w:val="14"/>
            </w:rPr>
            <w:fldChar w:fldCharType="end"/>
          </w:r>
        </w:p>
      </w:tc>
    </w:tr>
  </w:tbl>
  <w:p w:rsidR="005227BF" w:rsidRPr="00A91411" w:rsidRDefault="005227BF">
    <w:pP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BF" w:rsidRDefault="00522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7BF" w:rsidRDefault="005227BF" w:rsidP="000F3D9F">
      <w:r>
        <w:separator/>
      </w:r>
    </w:p>
  </w:footnote>
  <w:footnote w:type="continuationSeparator" w:id="0">
    <w:p w:rsidR="005227BF" w:rsidRDefault="005227BF" w:rsidP="000F3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04" w:rsidRDefault="00C74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04" w:rsidRDefault="00C748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BF" w:rsidRPr="00E8056B" w:rsidRDefault="005227BF"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5227BF" w:rsidRDefault="005227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BF" w:rsidRDefault="005227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BF" w:rsidRPr="0019542E" w:rsidRDefault="005227BF"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BF" w:rsidRDefault="00522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1036"/>
    <w:multiLevelType w:val="hybridMultilevel"/>
    <w:tmpl w:val="2D30E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D5716E"/>
    <w:multiLevelType w:val="multilevel"/>
    <w:tmpl w:val="997A8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00A63"/>
    <w:multiLevelType w:val="hybridMultilevel"/>
    <w:tmpl w:val="537AEFEE"/>
    <w:lvl w:ilvl="0" w:tplc="CA9EB7FC">
      <w:numFmt w:val="bullet"/>
      <w:lvlText w:val="•"/>
      <w:lvlJc w:val="left"/>
      <w:pPr>
        <w:ind w:left="1080" w:hanging="720"/>
      </w:pPr>
      <w:rPr>
        <w:rFonts w:ascii="Arial" w:eastAsiaTheme="minorHAnsi" w:hAnsi="Arial" w:cs="Arial" w:hint="default"/>
      </w:rPr>
    </w:lvl>
    <w:lvl w:ilvl="1" w:tplc="40B842D2">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DF0147"/>
    <w:multiLevelType w:val="hybridMultilevel"/>
    <w:tmpl w:val="72745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B03D47"/>
    <w:multiLevelType w:val="hybridMultilevel"/>
    <w:tmpl w:val="0FC2D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C7F3599"/>
    <w:multiLevelType w:val="multilevel"/>
    <w:tmpl w:val="FB9A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F3265C"/>
    <w:multiLevelType w:val="hybridMultilevel"/>
    <w:tmpl w:val="B9A2E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416940"/>
    <w:multiLevelType w:val="multilevel"/>
    <w:tmpl w:val="F408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C83FE8"/>
    <w:multiLevelType w:val="hybridMultilevel"/>
    <w:tmpl w:val="EF88E13E"/>
    <w:lvl w:ilvl="0" w:tplc="0C090001">
      <w:start w:val="1"/>
      <w:numFmt w:val="bullet"/>
      <w:lvlText w:val=""/>
      <w:lvlJc w:val="left"/>
      <w:pPr>
        <w:ind w:left="751" w:hanging="360"/>
      </w:pPr>
      <w:rPr>
        <w:rFonts w:ascii="Symbol" w:hAnsi="Symbol"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9">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42ED34DC"/>
    <w:multiLevelType w:val="hybridMultilevel"/>
    <w:tmpl w:val="2340A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46100DC5"/>
    <w:multiLevelType w:val="hybridMultilevel"/>
    <w:tmpl w:val="FC448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47636987"/>
    <w:multiLevelType w:val="hybridMultilevel"/>
    <w:tmpl w:val="5BCC2D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50BA2F0F"/>
    <w:multiLevelType w:val="hybridMultilevel"/>
    <w:tmpl w:val="43E29E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5FE44C0"/>
    <w:multiLevelType w:val="hybridMultilevel"/>
    <w:tmpl w:val="76CCCC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588A6793"/>
    <w:multiLevelType w:val="hybridMultilevel"/>
    <w:tmpl w:val="849EF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B1B60ED"/>
    <w:multiLevelType w:val="hybridMultilevel"/>
    <w:tmpl w:val="5B9E25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5B923970"/>
    <w:multiLevelType w:val="hybridMultilevel"/>
    <w:tmpl w:val="83CA3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16"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5E070303"/>
    <w:multiLevelType w:val="hybridMultilevel"/>
    <w:tmpl w:val="0FC2D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3C5454B"/>
    <w:multiLevelType w:val="multilevel"/>
    <w:tmpl w:val="16F2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C84D13"/>
    <w:multiLevelType w:val="hybridMultilevel"/>
    <w:tmpl w:val="12D49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98E2DD3"/>
    <w:multiLevelType w:val="hybridMultilevel"/>
    <w:tmpl w:val="737A7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7A72557"/>
    <w:multiLevelType w:val="hybridMultilevel"/>
    <w:tmpl w:val="711EF6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D0E4905"/>
    <w:multiLevelType w:val="hybridMultilevel"/>
    <w:tmpl w:val="0394B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1"/>
  </w:num>
  <w:num w:numId="4">
    <w:abstractNumId w:val="0"/>
  </w:num>
  <w:num w:numId="5">
    <w:abstractNumId w:val="8"/>
  </w:num>
  <w:num w:numId="6">
    <w:abstractNumId w:val="16"/>
  </w:num>
  <w:num w:numId="7">
    <w:abstractNumId w:val="11"/>
  </w:num>
  <w:num w:numId="8">
    <w:abstractNumId w:val="12"/>
  </w:num>
  <w:num w:numId="9">
    <w:abstractNumId w:val="6"/>
  </w:num>
  <w:num w:numId="10">
    <w:abstractNumId w:val="3"/>
  </w:num>
  <w:num w:numId="11">
    <w:abstractNumId w:val="1"/>
  </w:num>
  <w:num w:numId="12">
    <w:abstractNumId w:val="17"/>
  </w:num>
  <w:num w:numId="13">
    <w:abstractNumId w:val="15"/>
  </w:num>
  <w:num w:numId="14">
    <w:abstractNumId w:val="2"/>
  </w:num>
  <w:num w:numId="1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4"/>
  </w:num>
  <w:num w:numId="19">
    <w:abstractNumId w:val="18"/>
  </w:num>
  <w:num w:numId="20">
    <w:abstractNumId w:val="10"/>
  </w:num>
  <w:num w:numId="21">
    <w:abstractNumId w:val="14"/>
  </w:num>
  <w:num w:numId="22">
    <w:abstractNumId w:val="22"/>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3"/>
  </w:num>
  <w:num w:numId="34">
    <w:abstractNumId w:val="23"/>
  </w:num>
  <w:num w:numId="35">
    <w:abstractNumId w:val="4"/>
  </w:num>
  <w:num w:numId="3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E9"/>
    <w:rsid w:val="0000052A"/>
    <w:rsid w:val="00000CE3"/>
    <w:rsid w:val="00001E4D"/>
    <w:rsid w:val="00005A35"/>
    <w:rsid w:val="00005E0D"/>
    <w:rsid w:val="00006297"/>
    <w:rsid w:val="00006C53"/>
    <w:rsid w:val="00007723"/>
    <w:rsid w:val="00007CA7"/>
    <w:rsid w:val="00011661"/>
    <w:rsid w:val="00012205"/>
    <w:rsid w:val="000156D1"/>
    <w:rsid w:val="000169A5"/>
    <w:rsid w:val="00020B9C"/>
    <w:rsid w:val="00021886"/>
    <w:rsid w:val="00021D7D"/>
    <w:rsid w:val="00023CC7"/>
    <w:rsid w:val="00027E86"/>
    <w:rsid w:val="0003251D"/>
    <w:rsid w:val="00035304"/>
    <w:rsid w:val="0003555D"/>
    <w:rsid w:val="00035CFC"/>
    <w:rsid w:val="00037042"/>
    <w:rsid w:val="0004081E"/>
    <w:rsid w:val="00040876"/>
    <w:rsid w:val="00040B35"/>
    <w:rsid w:val="00040C3C"/>
    <w:rsid w:val="000447B1"/>
    <w:rsid w:val="00044E68"/>
    <w:rsid w:val="00046251"/>
    <w:rsid w:val="00046823"/>
    <w:rsid w:val="00050AC8"/>
    <w:rsid w:val="00050CE6"/>
    <w:rsid w:val="00052E9C"/>
    <w:rsid w:val="00053DCB"/>
    <w:rsid w:val="00056113"/>
    <w:rsid w:val="00056A74"/>
    <w:rsid w:val="00056DE2"/>
    <w:rsid w:val="00060365"/>
    <w:rsid w:val="00060651"/>
    <w:rsid w:val="0006283B"/>
    <w:rsid w:val="00063D15"/>
    <w:rsid w:val="00067698"/>
    <w:rsid w:val="00070737"/>
    <w:rsid w:val="00071A71"/>
    <w:rsid w:val="00072340"/>
    <w:rsid w:val="00073761"/>
    <w:rsid w:val="0007542B"/>
    <w:rsid w:val="00075E7B"/>
    <w:rsid w:val="00077364"/>
    <w:rsid w:val="00080C08"/>
    <w:rsid w:val="00083C15"/>
    <w:rsid w:val="000848A1"/>
    <w:rsid w:val="00086A56"/>
    <w:rsid w:val="00087208"/>
    <w:rsid w:val="00091EB9"/>
    <w:rsid w:val="00093679"/>
    <w:rsid w:val="00094FE3"/>
    <w:rsid w:val="00095C3B"/>
    <w:rsid w:val="00096B02"/>
    <w:rsid w:val="00096FAC"/>
    <w:rsid w:val="00097329"/>
    <w:rsid w:val="000976B9"/>
    <w:rsid w:val="000A2163"/>
    <w:rsid w:val="000A2996"/>
    <w:rsid w:val="000A2BCF"/>
    <w:rsid w:val="000A2C1A"/>
    <w:rsid w:val="000A4409"/>
    <w:rsid w:val="000A4EB0"/>
    <w:rsid w:val="000A6499"/>
    <w:rsid w:val="000B0410"/>
    <w:rsid w:val="000B069A"/>
    <w:rsid w:val="000B1819"/>
    <w:rsid w:val="000B496C"/>
    <w:rsid w:val="000C049C"/>
    <w:rsid w:val="000C0C35"/>
    <w:rsid w:val="000C0F58"/>
    <w:rsid w:val="000C4A62"/>
    <w:rsid w:val="000C7BBC"/>
    <w:rsid w:val="000D0226"/>
    <w:rsid w:val="000D033C"/>
    <w:rsid w:val="000D5E4E"/>
    <w:rsid w:val="000D6EF5"/>
    <w:rsid w:val="000D7CD4"/>
    <w:rsid w:val="000E7B14"/>
    <w:rsid w:val="000F028E"/>
    <w:rsid w:val="000F0F7B"/>
    <w:rsid w:val="000F314E"/>
    <w:rsid w:val="000F34E0"/>
    <w:rsid w:val="000F3ACC"/>
    <w:rsid w:val="000F3D9F"/>
    <w:rsid w:val="000F53C2"/>
    <w:rsid w:val="000F566E"/>
    <w:rsid w:val="000F5BB5"/>
    <w:rsid w:val="000F7F6F"/>
    <w:rsid w:val="00100A35"/>
    <w:rsid w:val="001039F4"/>
    <w:rsid w:val="00103E24"/>
    <w:rsid w:val="001051CB"/>
    <w:rsid w:val="00110610"/>
    <w:rsid w:val="00110A53"/>
    <w:rsid w:val="001121A8"/>
    <w:rsid w:val="00112A33"/>
    <w:rsid w:val="0011347C"/>
    <w:rsid w:val="00114FC5"/>
    <w:rsid w:val="001176CB"/>
    <w:rsid w:val="00121A4F"/>
    <w:rsid w:val="00121A53"/>
    <w:rsid w:val="00122285"/>
    <w:rsid w:val="00123C93"/>
    <w:rsid w:val="00124F32"/>
    <w:rsid w:val="00125023"/>
    <w:rsid w:val="001253A5"/>
    <w:rsid w:val="00126E09"/>
    <w:rsid w:val="0013041A"/>
    <w:rsid w:val="001320D2"/>
    <w:rsid w:val="00132E36"/>
    <w:rsid w:val="00134E0D"/>
    <w:rsid w:val="001368EB"/>
    <w:rsid w:val="00141274"/>
    <w:rsid w:val="00141395"/>
    <w:rsid w:val="0014179F"/>
    <w:rsid w:val="0014300C"/>
    <w:rsid w:val="001431E4"/>
    <w:rsid w:val="001440F0"/>
    <w:rsid w:val="0014683D"/>
    <w:rsid w:val="00150065"/>
    <w:rsid w:val="0015008C"/>
    <w:rsid w:val="0015062F"/>
    <w:rsid w:val="0015211C"/>
    <w:rsid w:val="00152A71"/>
    <w:rsid w:val="001533F1"/>
    <w:rsid w:val="0015359E"/>
    <w:rsid w:val="0015386B"/>
    <w:rsid w:val="001552BC"/>
    <w:rsid w:val="00160FE3"/>
    <w:rsid w:val="00161193"/>
    <w:rsid w:val="001611AB"/>
    <w:rsid w:val="00162A32"/>
    <w:rsid w:val="00163879"/>
    <w:rsid w:val="00165392"/>
    <w:rsid w:val="00166CBD"/>
    <w:rsid w:val="00167142"/>
    <w:rsid w:val="00167289"/>
    <w:rsid w:val="00172FC4"/>
    <w:rsid w:val="00174273"/>
    <w:rsid w:val="00176C09"/>
    <w:rsid w:val="001807A8"/>
    <w:rsid w:val="001811B8"/>
    <w:rsid w:val="001855CD"/>
    <w:rsid w:val="0019542E"/>
    <w:rsid w:val="00195C1B"/>
    <w:rsid w:val="00197B9E"/>
    <w:rsid w:val="001A0DC3"/>
    <w:rsid w:val="001A0DEF"/>
    <w:rsid w:val="001A3A47"/>
    <w:rsid w:val="001A6510"/>
    <w:rsid w:val="001B0529"/>
    <w:rsid w:val="001B0E57"/>
    <w:rsid w:val="001B2CD7"/>
    <w:rsid w:val="001B3675"/>
    <w:rsid w:val="001B36AC"/>
    <w:rsid w:val="001B3E52"/>
    <w:rsid w:val="001B5390"/>
    <w:rsid w:val="001C05C2"/>
    <w:rsid w:val="001C0C68"/>
    <w:rsid w:val="001C125D"/>
    <w:rsid w:val="001C3659"/>
    <w:rsid w:val="001C5B41"/>
    <w:rsid w:val="001D2D61"/>
    <w:rsid w:val="001D50C7"/>
    <w:rsid w:val="001D5C1C"/>
    <w:rsid w:val="001D64FE"/>
    <w:rsid w:val="001D77A8"/>
    <w:rsid w:val="001D7817"/>
    <w:rsid w:val="001D7CDE"/>
    <w:rsid w:val="001E0A75"/>
    <w:rsid w:val="001E1BA9"/>
    <w:rsid w:val="001E3AC7"/>
    <w:rsid w:val="001E474C"/>
    <w:rsid w:val="001E5BE0"/>
    <w:rsid w:val="001E5C29"/>
    <w:rsid w:val="001E70A3"/>
    <w:rsid w:val="001F0C6E"/>
    <w:rsid w:val="001F1455"/>
    <w:rsid w:val="001F187C"/>
    <w:rsid w:val="001F7268"/>
    <w:rsid w:val="00200A50"/>
    <w:rsid w:val="0020303C"/>
    <w:rsid w:val="002041FF"/>
    <w:rsid w:val="002067C0"/>
    <w:rsid w:val="00207DE8"/>
    <w:rsid w:val="00210088"/>
    <w:rsid w:val="0021270C"/>
    <w:rsid w:val="0021283E"/>
    <w:rsid w:val="002137D3"/>
    <w:rsid w:val="00214282"/>
    <w:rsid w:val="00215F0D"/>
    <w:rsid w:val="00216CE6"/>
    <w:rsid w:val="00225B24"/>
    <w:rsid w:val="002278E9"/>
    <w:rsid w:val="0023094F"/>
    <w:rsid w:val="00230C4F"/>
    <w:rsid w:val="00230DFC"/>
    <w:rsid w:val="002333DB"/>
    <w:rsid w:val="00237081"/>
    <w:rsid w:val="00241C15"/>
    <w:rsid w:val="0024248F"/>
    <w:rsid w:val="0024360C"/>
    <w:rsid w:val="00243731"/>
    <w:rsid w:val="00244F62"/>
    <w:rsid w:val="00245D44"/>
    <w:rsid w:val="00250025"/>
    <w:rsid w:val="0025225E"/>
    <w:rsid w:val="002527BE"/>
    <w:rsid w:val="00252AA9"/>
    <w:rsid w:val="002542D1"/>
    <w:rsid w:val="00254301"/>
    <w:rsid w:val="002543DF"/>
    <w:rsid w:val="00255617"/>
    <w:rsid w:val="002568F6"/>
    <w:rsid w:val="00257D05"/>
    <w:rsid w:val="00260827"/>
    <w:rsid w:val="00262C0A"/>
    <w:rsid w:val="00263A7C"/>
    <w:rsid w:val="002647C3"/>
    <w:rsid w:val="00265EB9"/>
    <w:rsid w:val="00266881"/>
    <w:rsid w:val="00266915"/>
    <w:rsid w:val="00270995"/>
    <w:rsid w:val="00277981"/>
    <w:rsid w:val="00277D24"/>
    <w:rsid w:val="00281D40"/>
    <w:rsid w:val="00282EF9"/>
    <w:rsid w:val="0028399D"/>
    <w:rsid w:val="0028616B"/>
    <w:rsid w:val="00291C6F"/>
    <w:rsid w:val="0029355B"/>
    <w:rsid w:val="002938B5"/>
    <w:rsid w:val="00295501"/>
    <w:rsid w:val="00296633"/>
    <w:rsid w:val="00296A47"/>
    <w:rsid w:val="002A061F"/>
    <w:rsid w:val="002A14C8"/>
    <w:rsid w:val="002A243F"/>
    <w:rsid w:val="002A3F63"/>
    <w:rsid w:val="002A4859"/>
    <w:rsid w:val="002A4F45"/>
    <w:rsid w:val="002A5C2E"/>
    <w:rsid w:val="002A7CB7"/>
    <w:rsid w:val="002B0559"/>
    <w:rsid w:val="002B0F48"/>
    <w:rsid w:val="002B172B"/>
    <w:rsid w:val="002B3668"/>
    <w:rsid w:val="002B381D"/>
    <w:rsid w:val="002B54EF"/>
    <w:rsid w:val="002B77BC"/>
    <w:rsid w:val="002B7A60"/>
    <w:rsid w:val="002B7C87"/>
    <w:rsid w:val="002C015C"/>
    <w:rsid w:val="002C0499"/>
    <w:rsid w:val="002C1799"/>
    <w:rsid w:val="002C1FD6"/>
    <w:rsid w:val="002C2485"/>
    <w:rsid w:val="002C5598"/>
    <w:rsid w:val="002D1187"/>
    <w:rsid w:val="002D411B"/>
    <w:rsid w:val="002D592D"/>
    <w:rsid w:val="002D67A7"/>
    <w:rsid w:val="002E06F2"/>
    <w:rsid w:val="002E226D"/>
    <w:rsid w:val="002E453E"/>
    <w:rsid w:val="002E5D82"/>
    <w:rsid w:val="002E5F39"/>
    <w:rsid w:val="002E6075"/>
    <w:rsid w:val="002E7897"/>
    <w:rsid w:val="002E7F28"/>
    <w:rsid w:val="002F2F65"/>
    <w:rsid w:val="002F3241"/>
    <w:rsid w:val="002F438C"/>
    <w:rsid w:val="002F50FD"/>
    <w:rsid w:val="002F5A71"/>
    <w:rsid w:val="002F632C"/>
    <w:rsid w:val="00302E87"/>
    <w:rsid w:val="00304B46"/>
    <w:rsid w:val="003054ED"/>
    <w:rsid w:val="00306FBF"/>
    <w:rsid w:val="00307FF7"/>
    <w:rsid w:val="00315333"/>
    <w:rsid w:val="0032008B"/>
    <w:rsid w:val="00320AFE"/>
    <w:rsid w:val="00321A43"/>
    <w:rsid w:val="0032308F"/>
    <w:rsid w:val="00325A6C"/>
    <w:rsid w:val="003265BF"/>
    <w:rsid w:val="00330F29"/>
    <w:rsid w:val="00336512"/>
    <w:rsid w:val="00336760"/>
    <w:rsid w:val="00336EBD"/>
    <w:rsid w:val="00342826"/>
    <w:rsid w:val="00350300"/>
    <w:rsid w:val="00351556"/>
    <w:rsid w:val="00351657"/>
    <w:rsid w:val="00351D4B"/>
    <w:rsid w:val="003533CA"/>
    <w:rsid w:val="00354394"/>
    <w:rsid w:val="0035493A"/>
    <w:rsid w:val="00354DA6"/>
    <w:rsid w:val="00356D3A"/>
    <w:rsid w:val="00360759"/>
    <w:rsid w:val="00360AD1"/>
    <w:rsid w:val="00362E88"/>
    <w:rsid w:val="00364BA5"/>
    <w:rsid w:val="0036535E"/>
    <w:rsid w:val="00372137"/>
    <w:rsid w:val="00374990"/>
    <w:rsid w:val="00380998"/>
    <w:rsid w:val="003828AD"/>
    <w:rsid w:val="00384772"/>
    <w:rsid w:val="00385F00"/>
    <w:rsid w:val="00385F9E"/>
    <w:rsid w:val="00386846"/>
    <w:rsid w:val="0039063B"/>
    <w:rsid w:val="00390696"/>
    <w:rsid w:val="0039095A"/>
    <w:rsid w:val="003911E4"/>
    <w:rsid w:val="00393037"/>
    <w:rsid w:val="0039442F"/>
    <w:rsid w:val="003A223A"/>
    <w:rsid w:val="003A4520"/>
    <w:rsid w:val="003A4982"/>
    <w:rsid w:val="003B1937"/>
    <w:rsid w:val="003B2024"/>
    <w:rsid w:val="003B23CF"/>
    <w:rsid w:val="003B56E7"/>
    <w:rsid w:val="003B6265"/>
    <w:rsid w:val="003B74E4"/>
    <w:rsid w:val="003B76E9"/>
    <w:rsid w:val="003B7C68"/>
    <w:rsid w:val="003C2311"/>
    <w:rsid w:val="003C2DEE"/>
    <w:rsid w:val="003C42D2"/>
    <w:rsid w:val="003C4664"/>
    <w:rsid w:val="003C6E58"/>
    <w:rsid w:val="003D0AC3"/>
    <w:rsid w:val="003D1163"/>
    <w:rsid w:val="003D27E1"/>
    <w:rsid w:val="003D3DC0"/>
    <w:rsid w:val="003D4281"/>
    <w:rsid w:val="003D5C05"/>
    <w:rsid w:val="003D6F49"/>
    <w:rsid w:val="003D75FC"/>
    <w:rsid w:val="003D7B74"/>
    <w:rsid w:val="003E2B20"/>
    <w:rsid w:val="003E2C36"/>
    <w:rsid w:val="003E3D6A"/>
    <w:rsid w:val="003E4EFE"/>
    <w:rsid w:val="003E7053"/>
    <w:rsid w:val="003F0B5C"/>
    <w:rsid w:val="003F0F16"/>
    <w:rsid w:val="003F6CA9"/>
    <w:rsid w:val="00400142"/>
    <w:rsid w:val="004008C7"/>
    <w:rsid w:val="004008D8"/>
    <w:rsid w:val="00402138"/>
    <w:rsid w:val="00403823"/>
    <w:rsid w:val="00404392"/>
    <w:rsid w:val="00404731"/>
    <w:rsid w:val="00404820"/>
    <w:rsid w:val="004053D4"/>
    <w:rsid w:val="00406222"/>
    <w:rsid w:val="00407EF2"/>
    <w:rsid w:val="00410341"/>
    <w:rsid w:val="004115B6"/>
    <w:rsid w:val="00411625"/>
    <w:rsid w:val="004116EA"/>
    <w:rsid w:val="00411877"/>
    <w:rsid w:val="0041272C"/>
    <w:rsid w:val="004130C2"/>
    <w:rsid w:val="00413868"/>
    <w:rsid w:val="00414BFC"/>
    <w:rsid w:val="00415126"/>
    <w:rsid w:val="00420431"/>
    <w:rsid w:val="0042052C"/>
    <w:rsid w:val="00420F75"/>
    <w:rsid w:val="00421306"/>
    <w:rsid w:val="00422BB7"/>
    <w:rsid w:val="00423CC7"/>
    <w:rsid w:val="00423CCC"/>
    <w:rsid w:val="00424D3E"/>
    <w:rsid w:val="0042557B"/>
    <w:rsid w:val="004263BE"/>
    <w:rsid w:val="00432273"/>
    <w:rsid w:val="004353C2"/>
    <w:rsid w:val="00440231"/>
    <w:rsid w:val="00440310"/>
    <w:rsid w:val="00441E31"/>
    <w:rsid w:val="00443123"/>
    <w:rsid w:val="004436EB"/>
    <w:rsid w:val="00445CDC"/>
    <w:rsid w:val="00450FF8"/>
    <w:rsid w:val="00454D08"/>
    <w:rsid w:val="00455514"/>
    <w:rsid w:val="00462423"/>
    <w:rsid w:val="00463025"/>
    <w:rsid w:val="004640D1"/>
    <w:rsid w:val="00466E7F"/>
    <w:rsid w:val="00473A75"/>
    <w:rsid w:val="00475C39"/>
    <w:rsid w:val="00483423"/>
    <w:rsid w:val="00483BAA"/>
    <w:rsid w:val="00483F2E"/>
    <w:rsid w:val="00484068"/>
    <w:rsid w:val="004847D2"/>
    <w:rsid w:val="00484C78"/>
    <w:rsid w:val="004854A3"/>
    <w:rsid w:val="00485B5E"/>
    <w:rsid w:val="00487F0F"/>
    <w:rsid w:val="004952A7"/>
    <w:rsid w:val="0049636E"/>
    <w:rsid w:val="004977DE"/>
    <w:rsid w:val="00497CD2"/>
    <w:rsid w:val="004A2F6F"/>
    <w:rsid w:val="004A325F"/>
    <w:rsid w:val="004B0BF5"/>
    <w:rsid w:val="004B26EB"/>
    <w:rsid w:val="004B3EF6"/>
    <w:rsid w:val="004B4B20"/>
    <w:rsid w:val="004B509F"/>
    <w:rsid w:val="004B5FA9"/>
    <w:rsid w:val="004B6187"/>
    <w:rsid w:val="004B64C9"/>
    <w:rsid w:val="004B6C90"/>
    <w:rsid w:val="004C21BB"/>
    <w:rsid w:val="004C377A"/>
    <w:rsid w:val="004C3CC3"/>
    <w:rsid w:val="004C7AD5"/>
    <w:rsid w:val="004C7EE3"/>
    <w:rsid w:val="004D3774"/>
    <w:rsid w:val="004D42D0"/>
    <w:rsid w:val="004D6BAD"/>
    <w:rsid w:val="004E1322"/>
    <w:rsid w:val="004E1EBB"/>
    <w:rsid w:val="004E5885"/>
    <w:rsid w:val="004E5EA3"/>
    <w:rsid w:val="004E5EDA"/>
    <w:rsid w:val="004F112A"/>
    <w:rsid w:val="004F38D2"/>
    <w:rsid w:val="004F3B07"/>
    <w:rsid w:val="004F500B"/>
    <w:rsid w:val="004F79DA"/>
    <w:rsid w:val="00500BCF"/>
    <w:rsid w:val="00501270"/>
    <w:rsid w:val="00502292"/>
    <w:rsid w:val="005022E4"/>
    <w:rsid w:val="0050368F"/>
    <w:rsid w:val="00503808"/>
    <w:rsid w:val="00504707"/>
    <w:rsid w:val="00504A7C"/>
    <w:rsid w:val="00510952"/>
    <w:rsid w:val="00510A99"/>
    <w:rsid w:val="00512B6D"/>
    <w:rsid w:val="005146B1"/>
    <w:rsid w:val="0052056E"/>
    <w:rsid w:val="005223FD"/>
    <w:rsid w:val="005227BF"/>
    <w:rsid w:val="00525303"/>
    <w:rsid w:val="0053137B"/>
    <w:rsid w:val="0053194E"/>
    <w:rsid w:val="0053236A"/>
    <w:rsid w:val="00532ADF"/>
    <w:rsid w:val="00532BFB"/>
    <w:rsid w:val="00532EDD"/>
    <w:rsid w:val="00532F0A"/>
    <w:rsid w:val="00533381"/>
    <w:rsid w:val="00533467"/>
    <w:rsid w:val="00533DD1"/>
    <w:rsid w:val="0053492E"/>
    <w:rsid w:val="00535863"/>
    <w:rsid w:val="005359BF"/>
    <w:rsid w:val="005365E0"/>
    <w:rsid w:val="00537625"/>
    <w:rsid w:val="00540454"/>
    <w:rsid w:val="00542877"/>
    <w:rsid w:val="00543163"/>
    <w:rsid w:val="005434F6"/>
    <w:rsid w:val="0054422F"/>
    <w:rsid w:val="005448EE"/>
    <w:rsid w:val="00545151"/>
    <w:rsid w:val="00545CB8"/>
    <w:rsid w:val="00550256"/>
    <w:rsid w:val="005507B9"/>
    <w:rsid w:val="005507D4"/>
    <w:rsid w:val="005520B3"/>
    <w:rsid w:val="00552289"/>
    <w:rsid w:val="005551EA"/>
    <w:rsid w:val="005571CA"/>
    <w:rsid w:val="0056179B"/>
    <w:rsid w:val="00564094"/>
    <w:rsid w:val="0056479F"/>
    <w:rsid w:val="005648B3"/>
    <w:rsid w:val="00564DAA"/>
    <w:rsid w:val="00565F92"/>
    <w:rsid w:val="00566D20"/>
    <w:rsid w:val="0057019E"/>
    <w:rsid w:val="0057128B"/>
    <w:rsid w:val="0057591D"/>
    <w:rsid w:val="00576ED0"/>
    <w:rsid w:val="00576F0D"/>
    <w:rsid w:val="005773CF"/>
    <w:rsid w:val="0057783F"/>
    <w:rsid w:val="00580BDF"/>
    <w:rsid w:val="0058247C"/>
    <w:rsid w:val="00583369"/>
    <w:rsid w:val="00587C8F"/>
    <w:rsid w:val="00593217"/>
    <w:rsid w:val="00593696"/>
    <w:rsid w:val="0059482D"/>
    <w:rsid w:val="00596872"/>
    <w:rsid w:val="005A2A86"/>
    <w:rsid w:val="005A38CD"/>
    <w:rsid w:val="005A76C2"/>
    <w:rsid w:val="005B0230"/>
    <w:rsid w:val="005B1179"/>
    <w:rsid w:val="005B34B7"/>
    <w:rsid w:val="005B3729"/>
    <w:rsid w:val="005B4CA8"/>
    <w:rsid w:val="005B4F21"/>
    <w:rsid w:val="005B64D9"/>
    <w:rsid w:val="005B68E9"/>
    <w:rsid w:val="005C1810"/>
    <w:rsid w:val="005C31A0"/>
    <w:rsid w:val="005C4492"/>
    <w:rsid w:val="005C473F"/>
    <w:rsid w:val="005C4952"/>
    <w:rsid w:val="005C63F7"/>
    <w:rsid w:val="005C7729"/>
    <w:rsid w:val="005D00E8"/>
    <w:rsid w:val="005D2355"/>
    <w:rsid w:val="005D2445"/>
    <w:rsid w:val="005D31FD"/>
    <w:rsid w:val="005D4399"/>
    <w:rsid w:val="005D6CD2"/>
    <w:rsid w:val="005E117A"/>
    <w:rsid w:val="005E11FC"/>
    <w:rsid w:val="005E20ED"/>
    <w:rsid w:val="005E23F5"/>
    <w:rsid w:val="005E28FB"/>
    <w:rsid w:val="005E46B3"/>
    <w:rsid w:val="005E6294"/>
    <w:rsid w:val="005E661C"/>
    <w:rsid w:val="005E6D8B"/>
    <w:rsid w:val="005F01B0"/>
    <w:rsid w:val="005F1009"/>
    <w:rsid w:val="005F21D1"/>
    <w:rsid w:val="005F31DF"/>
    <w:rsid w:val="005F4FBC"/>
    <w:rsid w:val="005F528E"/>
    <w:rsid w:val="005F5ACC"/>
    <w:rsid w:val="005F69CC"/>
    <w:rsid w:val="00600132"/>
    <w:rsid w:val="006007D6"/>
    <w:rsid w:val="00600AC6"/>
    <w:rsid w:val="006014C4"/>
    <w:rsid w:val="00601B01"/>
    <w:rsid w:val="00601F5C"/>
    <w:rsid w:val="00603655"/>
    <w:rsid w:val="00605F3F"/>
    <w:rsid w:val="00605FB9"/>
    <w:rsid w:val="00610223"/>
    <w:rsid w:val="006109E9"/>
    <w:rsid w:val="00610CFE"/>
    <w:rsid w:val="006110D1"/>
    <w:rsid w:val="006123DD"/>
    <w:rsid w:val="00613AD2"/>
    <w:rsid w:val="006244DA"/>
    <w:rsid w:val="00625BAD"/>
    <w:rsid w:val="00625E9E"/>
    <w:rsid w:val="006278F6"/>
    <w:rsid w:val="00627F56"/>
    <w:rsid w:val="0063291A"/>
    <w:rsid w:val="00632AA0"/>
    <w:rsid w:val="00632D04"/>
    <w:rsid w:val="006331D5"/>
    <w:rsid w:val="00634824"/>
    <w:rsid w:val="0063609C"/>
    <w:rsid w:val="0063713C"/>
    <w:rsid w:val="00640DAD"/>
    <w:rsid w:val="006458F3"/>
    <w:rsid w:val="00646B21"/>
    <w:rsid w:val="00647FBE"/>
    <w:rsid w:val="00650566"/>
    <w:rsid w:val="006509D3"/>
    <w:rsid w:val="00651339"/>
    <w:rsid w:val="0065569F"/>
    <w:rsid w:val="00657446"/>
    <w:rsid w:val="00662A4B"/>
    <w:rsid w:val="00662CFC"/>
    <w:rsid w:val="00664D33"/>
    <w:rsid w:val="00666A1A"/>
    <w:rsid w:val="00667036"/>
    <w:rsid w:val="006672AB"/>
    <w:rsid w:val="0066769B"/>
    <w:rsid w:val="006677C7"/>
    <w:rsid w:val="006751F9"/>
    <w:rsid w:val="00682B89"/>
    <w:rsid w:val="00683D7C"/>
    <w:rsid w:val="00685443"/>
    <w:rsid w:val="00685459"/>
    <w:rsid w:val="006858FF"/>
    <w:rsid w:val="006859F7"/>
    <w:rsid w:val="00686470"/>
    <w:rsid w:val="0069019B"/>
    <w:rsid w:val="00692625"/>
    <w:rsid w:val="006932F3"/>
    <w:rsid w:val="00693363"/>
    <w:rsid w:val="006939CC"/>
    <w:rsid w:val="0069483A"/>
    <w:rsid w:val="00694C83"/>
    <w:rsid w:val="006A0105"/>
    <w:rsid w:val="006A1612"/>
    <w:rsid w:val="006A208A"/>
    <w:rsid w:val="006A522F"/>
    <w:rsid w:val="006A52C4"/>
    <w:rsid w:val="006A63AE"/>
    <w:rsid w:val="006A63B2"/>
    <w:rsid w:val="006A7735"/>
    <w:rsid w:val="006A797E"/>
    <w:rsid w:val="006B36C8"/>
    <w:rsid w:val="006B4B45"/>
    <w:rsid w:val="006B558F"/>
    <w:rsid w:val="006B7D6C"/>
    <w:rsid w:val="006C38AD"/>
    <w:rsid w:val="006C428F"/>
    <w:rsid w:val="006D4D41"/>
    <w:rsid w:val="006D7818"/>
    <w:rsid w:val="006E026F"/>
    <w:rsid w:val="006E0E88"/>
    <w:rsid w:val="006E26D5"/>
    <w:rsid w:val="006E7F59"/>
    <w:rsid w:val="006F050F"/>
    <w:rsid w:val="006F0BC5"/>
    <w:rsid w:val="006F0C79"/>
    <w:rsid w:val="006F0EA4"/>
    <w:rsid w:val="006F2893"/>
    <w:rsid w:val="00704823"/>
    <w:rsid w:val="00704E66"/>
    <w:rsid w:val="00705AA4"/>
    <w:rsid w:val="007062D8"/>
    <w:rsid w:val="00710395"/>
    <w:rsid w:val="00714204"/>
    <w:rsid w:val="007162A5"/>
    <w:rsid w:val="0071719F"/>
    <w:rsid w:val="0071762D"/>
    <w:rsid w:val="00717BAD"/>
    <w:rsid w:val="00725BC0"/>
    <w:rsid w:val="00726797"/>
    <w:rsid w:val="007270C9"/>
    <w:rsid w:val="00731DC4"/>
    <w:rsid w:val="00733EE5"/>
    <w:rsid w:val="00737149"/>
    <w:rsid w:val="00740005"/>
    <w:rsid w:val="00740DF8"/>
    <w:rsid w:val="00741304"/>
    <w:rsid w:val="007468FB"/>
    <w:rsid w:val="00746BF5"/>
    <w:rsid w:val="007470CF"/>
    <w:rsid w:val="00750515"/>
    <w:rsid w:val="00751BF0"/>
    <w:rsid w:val="00753F95"/>
    <w:rsid w:val="0075427A"/>
    <w:rsid w:val="00754EBD"/>
    <w:rsid w:val="007551E1"/>
    <w:rsid w:val="00757C3B"/>
    <w:rsid w:val="0076023A"/>
    <w:rsid w:val="0076304F"/>
    <w:rsid w:val="00763C32"/>
    <w:rsid w:val="00773733"/>
    <w:rsid w:val="00774FE0"/>
    <w:rsid w:val="0077582D"/>
    <w:rsid w:val="00776E81"/>
    <w:rsid w:val="007802E1"/>
    <w:rsid w:val="00780FAD"/>
    <w:rsid w:val="00782256"/>
    <w:rsid w:val="0078459F"/>
    <w:rsid w:val="00787C4F"/>
    <w:rsid w:val="00791216"/>
    <w:rsid w:val="00791617"/>
    <w:rsid w:val="00792CEB"/>
    <w:rsid w:val="00793AD6"/>
    <w:rsid w:val="00793EA7"/>
    <w:rsid w:val="007940E8"/>
    <w:rsid w:val="00795047"/>
    <w:rsid w:val="007A673A"/>
    <w:rsid w:val="007A69C1"/>
    <w:rsid w:val="007B03E4"/>
    <w:rsid w:val="007B3B54"/>
    <w:rsid w:val="007B3BE2"/>
    <w:rsid w:val="007B665E"/>
    <w:rsid w:val="007B711A"/>
    <w:rsid w:val="007C1A49"/>
    <w:rsid w:val="007C2538"/>
    <w:rsid w:val="007C385B"/>
    <w:rsid w:val="007C3F49"/>
    <w:rsid w:val="007C5879"/>
    <w:rsid w:val="007C5AD5"/>
    <w:rsid w:val="007C746E"/>
    <w:rsid w:val="007C7FD7"/>
    <w:rsid w:val="007D2055"/>
    <w:rsid w:val="007D4DD3"/>
    <w:rsid w:val="007D608A"/>
    <w:rsid w:val="007D7F92"/>
    <w:rsid w:val="007E0773"/>
    <w:rsid w:val="007E0ABA"/>
    <w:rsid w:val="007E1D9A"/>
    <w:rsid w:val="007E3FCC"/>
    <w:rsid w:val="007E6163"/>
    <w:rsid w:val="007E7978"/>
    <w:rsid w:val="007E7BC6"/>
    <w:rsid w:val="007E7F34"/>
    <w:rsid w:val="007F0554"/>
    <w:rsid w:val="007F15BB"/>
    <w:rsid w:val="007F2D2A"/>
    <w:rsid w:val="007F3589"/>
    <w:rsid w:val="007F4404"/>
    <w:rsid w:val="007F44BE"/>
    <w:rsid w:val="007F4C48"/>
    <w:rsid w:val="007F4E1E"/>
    <w:rsid w:val="007F772F"/>
    <w:rsid w:val="00800C52"/>
    <w:rsid w:val="008015F8"/>
    <w:rsid w:val="0080211A"/>
    <w:rsid w:val="00804638"/>
    <w:rsid w:val="00804B17"/>
    <w:rsid w:val="008056CD"/>
    <w:rsid w:val="008062BF"/>
    <w:rsid w:val="008109A7"/>
    <w:rsid w:val="0081411F"/>
    <w:rsid w:val="00814C62"/>
    <w:rsid w:val="00821537"/>
    <w:rsid w:val="0082345F"/>
    <w:rsid w:val="00823880"/>
    <w:rsid w:val="008241D3"/>
    <w:rsid w:val="00824D91"/>
    <w:rsid w:val="00825673"/>
    <w:rsid w:val="008257C1"/>
    <w:rsid w:val="00825C08"/>
    <w:rsid w:val="0083058C"/>
    <w:rsid w:val="00830A8A"/>
    <w:rsid w:val="00831AA7"/>
    <w:rsid w:val="00832C0D"/>
    <w:rsid w:val="00833D88"/>
    <w:rsid w:val="008361ED"/>
    <w:rsid w:val="00836304"/>
    <w:rsid w:val="00841BE9"/>
    <w:rsid w:val="00846848"/>
    <w:rsid w:val="00846C4C"/>
    <w:rsid w:val="008479ED"/>
    <w:rsid w:val="00847D7A"/>
    <w:rsid w:val="00850D33"/>
    <w:rsid w:val="00852672"/>
    <w:rsid w:val="00852A83"/>
    <w:rsid w:val="00853473"/>
    <w:rsid w:val="00854D3E"/>
    <w:rsid w:val="008561E9"/>
    <w:rsid w:val="00861D20"/>
    <w:rsid w:val="00863B20"/>
    <w:rsid w:val="008648BB"/>
    <w:rsid w:val="008653DE"/>
    <w:rsid w:val="008679F8"/>
    <w:rsid w:val="00870397"/>
    <w:rsid w:val="00871395"/>
    <w:rsid w:val="0087242A"/>
    <w:rsid w:val="00872E19"/>
    <w:rsid w:val="00874AAE"/>
    <w:rsid w:val="00875BF1"/>
    <w:rsid w:val="0087780E"/>
    <w:rsid w:val="00877FD8"/>
    <w:rsid w:val="008808E3"/>
    <w:rsid w:val="00881A97"/>
    <w:rsid w:val="00882C09"/>
    <w:rsid w:val="00883178"/>
    <w:rsid w:val="00883881"/>
    <w:rsid w:val="008850A1"/>
    <w:rsid w:val="00885151"/>
    <w:rsid w:val="00887CBC"/>
    <w:rsid w:val="00890346"/>
    <w:rsid w:val="008929C1"/>
    <w:rsid w:val="00893728"/>
    <w:rsid w:val="008979D4"/>
    <w:rsid w:val="008A1D8B"/>
    <w:rsid w:val="008A3948"/>
    <w:rsid w:val="008A5088"/>
    <w:rsid w:val="008A5FC4"/>
    <w:rsid w:val="008A74F8"/>
    <w:rsid w:val="008B04A0"/>
    <w:rsid w:val="008B0EEF"/>
    <w:rsid w:val="008B123F"/>
    <w:rsid w:val="008B2A89"/>
    <w:rsid w:val="008B3178"/>
    <w:rsid w:val="008B4082"/>
    <w:rsid w:val="008B7312"/>
    <w:rsid w:val="008C09D2"/>
    <w:rsid w:val="008C10AA"/>
    <w:rsid w:val="008C1818"/>
    <w:rsid w:val="008C21E6"/>
    <w:rsid w:val="008C3592"/>
    <w:rsid w:val="008C38B7"/>
    <w:rsid w:val="008C6E07"/>
    <w:rsid w:val="008D0899"/>
    <w:rsid w:val="008D0B92"/>
    <w:rsid w:val="008D3C61"/>
    <w:rsid w:val="008D3E3D"/>
    <w:rsid w:val="008D42D4"/>
    <w:rsid w:val="008D451E"/>
    <w:rsid w:val="008D49C3"/>
    <w:rsid w:val="008D6B14"/>
    <w:rsid w:val="008D7A86"/>
    <w:rsid w:val="008E09F4"/>
    <w:rsid w:val="008E0C8C"/>
    <w:rsid w:val="008E0E01"/>
    <w:rsid w:val="008E1721"/>
    <w:rsid w:val="008E2AB0"/>
    <w:rsid w:val="008E3865"/>
    <w:rsid w:val="008E417C"/>
    <w:rsid w:val="008E4B38"/>
    <w:rsid w:val="008E5878"/>
    <w:rsid w:val="008F09AB"/>
    <w:rsid w:val="008F11A3"/>
    <w:rsid w:val="008F7601"/>
    <w:rsid w:val="008F79E1"/>
    <w:rsid w:val="0090378D"/>
    <w:rsid w:val="00904039"/>
    <w:rsid w:val="00907971"/>
    <w:rsid w:val="00907A05"/>
    <w:rsid w:val="009100A8"/>
    <w:rsid w:val="00912187"/>
    <w:rsid w:val="009132E3"/>
    <w:rsid w:val="00913890"/>
    <w:rsid w:val="009148AC"/>
    <w:rsid w:val="00914C1D"/>
    <w:rsid w:val="00915F3F"/>
    <w:rsid w:val="00916228"/>
    <w:rsid w:val="0091747C"/>
    <w:rsid w:val="00922A9B"/>
    <w:rsid w:val="009231B2"/>
    <w:rsid w:val="00923ADD"/>
    <w:rsid w:val="00925758"/>
    <w:rsid w:val="009279F2"/>
    <w:rsid w:val="00931B2F"/>
    <w:rsid w:val="00932BAB"/>
    <w:rsid w:val="0093306C"/>
    <w:rsid w:val="009339FC"/>
    <w:rsid w:val="009350CE"/>
    <w:rsid w:val="00940B60"/>
    <w:rsid w:val="00940D05"/>
    <w:rsid w:val="009433C1"/>
    <w:rsid w:val="00943829"/>
    <w:rsid w:val="0094402B"/>
    <w:rsid w:val="00946DC5"/>
    <w:rsid w:val="00946E17"/>
    <w:rsid w:val="00947011"/>
    <w:rsid w:val="00947278"/>
    <w:rsid w:val="00947EF3"/>
    <w:rsid w:val="009539FA"/>
    <w:rsid w:val="00957BC4"/>
    <w:rsid w:val="00960FE0"/>
    <w:rsid w:val="0096247E"/>
    <w:rsid w:val="00963D1D"/>
    <w:rsid w:val="00964284"/>
    <w:rsid w:val="00965069"/>
    <w:rsid w:val="00965175"/>
    <w:rsid w:val="00965FD2"/>
    <w:rsid w:val="00965FDF"/>
    <w:rsid w:val="009802CB"/>
    <w:rsid w:val="0098465E"/>
    <w:rsid w:val="00985AD3"/>
    <w:rsid w:val="00985D31"/>
    <w:rsid w:val="00986804"/>
    <w:rsid w:val="0099070F"/>
    <w:rsid w:val="00993BAE"/>
    <w:rsid w:val="00993E39"/>
    <w:rsid w:val="0099546D"/>
    <w:rsid w:val="00996370"/>
    <w:rsid w:val="00997EED"/>
    <w:rsid w:val="009A375C"/>
    <w:rsid w:val="009A3853"/>
    <w:rsid w:val="009B0520"/>
    <w:rsid w:val="009B2803"/>
    <w:rsid w:val="009B4220"/>
    <w:rsid w:val="009B5742"/>
    <w:rsid w:val="009B73F5"/>
    <w:rsid w:val="009C3182"/>
    <w:rsid w:val="009C34F3"/>
    <w:rsid w:val="009C5367"/>
    <w:rsid w:val="009C5B87"/>
    <w:rsid w:val="009C6717"/>
    <w:rsid w:val="009D2F28"/>
    <w:rsid w:val="009D3731"/>
    <w:rsid w:val="009D38A1"/>
    <w:rsid w:val="009E3C08"/>
    <w:rsid w:val="009E6C6B"/>
    <w:rsid w:val="009E77F2"/>
    <w:rsid w:val="009F23BD"/>
    <w:rsid w:val="009F593D"/>
    <w:rsid w:val="00A00503"/>
    <w:rsid w:val="00A0156A"/>
    <w:rsid w:val="00A01C6F"/>
    <w:rsid w:val="00A023EA"/>
    <w:rsid w:val="00A047CA"/>
    <w:rsid w:val="00A109D4"/>
    <w:rsid w:val="00A12D70"/>
    <w:rsid w:val="00A1430A"/>
    <w:rsid w:val="00A16057"/>
    <w:rsid w:val="00A21381"/>
    <w:rsid w:val="00A21842"/>
    <w:rsid w:val="00A21925"/>
    <w:rsid w:val="00A2215A"/>
    <w:rsid w:val="00A23059"/>
    <w:rsid w:val="00A2623B"/>
    <w:rsid w:val="00A26B28"/>
    <w:rsid w:val="00A300E2"/>
    <w:rsid w:val="00A323BD"/>
    <w:rsid w:val="00A34465"/>
    <w:rsid w:val="00A35D7E"/>
    <w:rsid w:val="00A37A93"/>
    <w:rsid w:val="00A40847"/>
    <w:rsid w:val="00A40FCF"/>
    <w:rsid w:val="00A42701"/>
    <w:rsid w:val="00A430AB"/>
    <w:rsid w:val="00A444A6"/>
    <w:rsid w:val="00A44995"/>
    <w:rsid w:val="00A45C33"/>
    <w:rsid w:val="00A466B6"/>
    <w:rsid w:val="00A5128C"/>
    <w:rsid w:val="00A5234E"/>
    <w:rsid w:val="00A57D2F"/>
    <w:rsid w:val="00A57DBC"/>
    <w:rsid w:val="00A60114"/>
    <w:rsid w:val="00A674D0"/>
    <w:rsid w:val="00A71BAA"/>
    <w:rsid w:val="00A74122"/>
    <w:rsid w:val="00A76443"/>
    <w:rsid w:val="00A8447E"/>
    <w:rsid w:val="00A87317"/>
    <w:rsid w:val="00A903D9"/>
    <w:rsid w:val="00A91411"/>
    <w:rsid w:val="00A931E9"/>
    <w:rsid w:val="00A93511"/>
    <w:rsid w:val="00A94647"/>
    <w:rsid w:val="00A949DC"/>
    <w:rsid w:val="00A96066"/>
    <w:rsid w:val="00A97A9E"/>
    <w:rsid w:val="00A97D79"/>
    <w:rsid w:val="00AA0C5A"/>
    <w:rsid w:val="00AA2D57"/>
    <w:rsid w:val="00AA3E70"/>
    <w:rsid w:val="00AA4EF1"/>
    <w:rsid w:val="00AA6BA4"/>
    <w:rsid w:val="00AA7670"/>
    <w:rsid w:val="00AA7C25"/>
    <w:rsid w:val="00AB0362"/>
    <w:rsid w:val="00AB3269"/>
    <w:rsid w:val="00AB3C78"/>
    <w:rsid w:val="00AB6D11"/>
    <w:rsid w:val="00AC0045"/>
    <w:rsid w:val="00AC0E5E"/>
    <w:rsid w:val="00AC4111"/>
    <w:rsid w:val="00AC4A34"/>
    <w:rsid w:val="00AC5B44"/>
    <w:rsid w:val="00AD0661"/>
    <w:rsid w:val="00AD0FD4"/>
    <w:rsid w:val="00AD281B"/>
    <w:rsid w:val="00AD29E4"/>
    <w:rsid w:val="00AD51CE"/>
    <w:rsid w:val="00AD6FA9"/>
    <w:rsid w:val="00AD7650"/>
    <w:rsid w:val="00AD772D"/>
    <w:rsid w:val="00AE132C"/>
    <w:rsid w:val="00AE1BC2"/>
    <w:rsid w:val="00AE2DD6"/>
    <w:rsid w:val="00AE3B7B"/>
    <w:rsid w:val="00AE4A80"/>
    <w:rsid w:val="00AE71A5"/>
    <w:rsid w:val="00AE7959"/>
    <w:rsid w:val="00AF1D10"/>
    <w:rsid w:val="00AF2921"/>
    <w:rsid w:val="00AF38D4"/>
    <w:rsid w:val="00AF3FFC"/>
    <w:rsid w:val="00AF440E"/>
    <w:rsid w:val="00AF5C7E"/>
    <w:rsid w:val="00B00132"/>
    <w:rsid w:val="00B00D8A"/>
    <w:rsid w:val="00B01A6B"/>
    <w:rsid w:val="00B02FF3"/>
    <w:rsid w:val="00B030B3"/>
    <w:rsid w:val="00B05F83"/>
    <w:rsid w:val="00B064C6"/>
    <w:rsid w:val="00B115A2"/>
    <w:rsid w:val="00B13AC3"/>
    <w:rsid w:val="00B13B6B"/>
    <w:rsid w:val="00B15706"/>
    <w:rsid w:val="00B15CA5"/>
    <w:rsid w:val="00B20589"/>
    <w:rsid w:val="00B210F4"/>
    <w:rsid w:val="00B21270"/>
    <w:rsid w:val="00B233FA"/>
    <w:rsid w:val="00B31461"/>
    <w:rsid w:val="00B31649"/>
    <w:rsid w:val="00B344FD"/>
    <w:rsid w:val="00B3586B"/>
    <w:rsid w:val="00B3706D"/>
    <w:rsid w:val="00B40005"/>
    <w:rsid w:val="00B4177C"/>
    <w:rsid w:val="00B42C45"/>
    <w:rsid w:val="00B43A28"/>
    <w:rsid w:val="00B43E2A"/>
    <w:rsid w:val="00B440EB"/>
    <w:rsid w:val="00B46272"/>
    <w:rsid w:val="00B53589"/>
    <w:rsid w:val="00B56443"/>
    <w:rsid w:val="00B568A2"/>
    <w:rsid w:val="00B57F53"/>
    <w:rsid w:val="00B612B6"/>
    <w:rsid w:val="00B636DC"/>
    <w:rsid w:val="00B639E5"/>
    <w:rsid w:val="00B67019"/>
    <w:rsid w:val="00B742DB"/>
    <w:rsid w:val="00B81003"/>
    <w:rsid w:val="00B818D7"/>
    <w:rsid w:val="00B82008"/>
    <w:rsid w:val="00B85678"/>
    <w:rsid w:val="00B867DD"/>
    <w:rsid w:val="00B90EA0"/>
    <w:rsid w:val="00B91BAA"/>
    <w:rsid w:val="00B91BC8"/>
    <w:rsid w:val="00B92538"/>
    <w:rsid w:val="00B92C39"/>
    <w:rsid w:val="00B9320E"/>
    <w:rsid w:val="00B93F58"/>
    <w:rsid w:val="00B952B5"/>
    <w:rsid w:val="00BA01D2"/>
    <w:rsid w:val="00BA0CE8"/>
    <w:rsid w:val="00BA19BE"/>
    <w:rsid w:val="00BA1DFD"/>
    <w:rsid w:val="00BA1F1D"/>
    <w:rsid w:val="00BA2A76"/>
    <w:rsid w:val="00BA374F"/>
    <w:rsid w:val="00BA4A46"/>
    <w:rsid w:val="00BB48FA"/>
    <w:rsid w:val="00BB5312"/>
    <w:rsid w:val="00BC16FB"/>
    <w:rsid w:val="00BC1B68"/>
    <w:rsid w:val="00BC3700"/>
    <w:rsid w:val="00BC5ACA"/>
    <w:rsid w:val="00BC5ECE"/>
    <w:rsid w:val="00BC6314"/>
    <w:rsid w:val="00BC67A2"/>
    <w:rsid w:val="00BD0BA3"/>
    <w:rsid w:val="00BD19F5"/>
    <w:rsid w:val="00BD26FC"/>
    <w:rsid w:val="00BD2D98"/>
    <w:rsid w:val="00BD44B9"/>
    <w:rsid w:val="00BD49FC"/>
    <w:rsid w:val="00BD4A08"/>
    <w:rsid w:val="00BD75B3"/>
    <w:rsid w:val="00BD7ACB"/>
    <w:rsid w:val="00BE0BD4"/>
    <w:rsid w:val="00BE391B"/>
    <w:rsid w:val="00BE46AC"/>
    <w:rsid w:val="00BE633C"/>
    <w:rsid w:val="00BE639D"/>
    <w:rsid w:val="00BE69AC"/>
    <w:rsid w:val="00BF33B0"/>
    <w:rsid w:val="00BF59B2"/>
    <w:rsid w:val="00C00DC1"/>
    <w:rsid w:val="00C01514"/>
    <w:rsid w:val="00C035E6"/>
    <w:rsid w:val="00C061E3"/>
    <w:rsid w:val="00C06240"/>
    <w:rsid w:val="00C07770"/>
    <w:rsid w:val="00C119C2"/>
    <w:rsid w:val="00C126E5"/>
    <w:rsid w:val="00C141DF"/>
    <w:rsid w:val="00C14967"/>
    <w:rsid w:val="00C14B25"/>
    <w:rsid w:val="00C15FEE"/>
    <w:rsid w:val="00C1627A"/>
    <w:rsid w:val="00C17198"/>
    <w:rsid w:val="00C1777A"/>
    <w:rsid w:val="00C17E8E"/>
    <w:rsid w:val="00C20E15"/>
    <w:rsid w:val="00C222AC"/>
    <w:rsid w:val="00C24C12"/>
    <w:rsid w:val="00C252E8"/>
    <w:rsid w:val="00C26E47"/>
    <w:rsid w:val="00C3083F"/>
    <w:rsid w:val="00C31B7A"/>
    <w:rsid w:val="00C322A1"/>
    <w:rsid w:val="00C32E9F"/>
    <w:rsid w:val="00C33404"/>
    <w:rsid w:val="00C338CE"/>
    <w:rsid w:val="00C33BEE"/>
    <w:rsid w:val="00C34E14"/>
    <w:rsid w:val="00C364D6"/>
    <w:rsid w:val="00C40350"/>
    <w:rsid w:val="00C414E8"/>
    <w:rsid w:val="00C41D77"/>
    <w:rsid w:val="00C42AAC"/>
    <w:rsid w:val="00C42CE4"/>
    <w:rsid w:val="00C43619"/>
    <w:rsid w:val="00C43DAE"/>
    <w:rsid w:val="00C51A84"/>
    <w:rsid w:val="00C531DC"/>
    <w:rsid w:val="00C532F8"/>
    <w:rsid w:val="00C533FE"/>
    <w:rsid w:val="00C5376C"/>
    <w:rsid w:val="00C54162"/>
    <w:rsid w:val="00C54C55"/>
    <w:rsid w:val="00C579C2"/>
    <w:rsid w:val="00C61020"/>
    <w:rsid w:val="00C62631"/>
    <w:rsid w:val="00C63972"/>
    <w:rsid w:val="00C65241"/>
    <w:rsid w:val="00C65378"/>
    <w:rsid w:val="00C66CB0"/>
    <w:rsid w:val="00C676E5"/>
    <w:rsid w:val="00C745E0"/>
    <w:rsid w:val="00C74804"/>
    <w:rsid w:val="00C75A55"/>
    <w:rsid w:val="00C7661F"/>
    <w:rsid w:val="00C76787"/>
    <w:rsid w:val="00C772E3"/>
    <w:rsid w:val="00C8106A"/>
    <w:rsid w:val="00C83A4F"/>
    <w:rsid w:val="00C84379"/>
    <w:rsid w:val="00C84D05"/>
    <w:rsid w:val="00C8621A"/>
    <w:rsid w:val="00C87641"/>
    <w:rsid w:val="00C926AD"/>
    <w:rsid w:val="00C92826"/>
    <w:rsid w:val="00C93453"/>
    <w:rsid w:val="00CA04DC"/>
    <w:rsid w:val="00CA0ADF"/>
    <w:rsid w:val="00CA2F8D"/>
    <w:rsid w:val="00CA5938"/>
    <w:rsid w:val="00CA5C45"/>
    <w:rsid w:val="00CA5DEE"/>
    <w:rsid w:val="00CA623D"/>
    <w:rsid w:val="00CB0E55"/>
    <w:rsid w:val="00CB38F2"/>
    <w:rsid w:val="00CB3DBD"/>
    <w:rsid w:val="00CB4D57"/>
    <w:rsid w:val="00CB57FE"/>
    <w:rsid w:val="00CB7123"/>
    <w:rsid w:val="00CB73A3"/>
    <w:rsid w:val="00CB7F0D"/>
    <w:rsid w:val="00CC1DF7"/>
    <w:rsid w:val="00CC20F1"/>
    <w:rsid w:val="00CC28C6"/>
    <w:rsid w:val="00CC3585"/>
    <w:rsid w:val="00CC4808"/>
    <w:rsid w:val="00CC4BC8"/>
    <w:rsid w:val="00CC7D66"/>
    <w:rsid w:val="00CD0055"/>
    <w:rsid w:val="00CD0400"/>
    <w:rsid w:val="00CD211F"/>
    <w:rsid w:val="00CD305B"/>
    <w:rsid w:val="00CD37A9"/>
    <w:rsid w:val="00CD44A5"/>
    <w:rsid w:val="00CD71EC"/>
    <w:rsid w:val="00CE0D2C"/>
    <w:rsid w:val="00CE1B8A"/>
    <w:rsid w:val="00CE3510"/>
    <w:rsid w:val="00CE426B"/>
    <w:rsid w:val="00CE4936"/>
    <w:rsid w:val="00CE4CC0"/>
    <w:rsid w:val="00CE6205"/>
    <w:rsid w:val="00CE6BF8"/>
    <w:rsid w:val="00CE7A1E"/>
    <w:rsid w:val="00CF0714"/>
    <w:rsid w:val="00CF27C4"/>
    <w:rsid w:val="00CF3849"/>
    <w:rsid w:val="00CF717D"/>
    <w:rsid w:val="00D06F27"/>
    <w:rsid w:val="00D073F4"/>
    <w:rsid w:val="00D1102D"/>
    <w:rsid w:val="00D130FD"/>
    <w:rsid w:val="00D13DF0"/>
    <w:rsid w:val="00D143AC"/>
    <w:rsid w:val="00D14486"/>
    <w:rsid w:val="00D21039"/>
    <w:rsid w:val="00D244C9"/>
    <w:rsid w:val="00D24520"/>
    <w:rsid w:val="00D25BF8"/>
    <w:rsid w:val="00D262EA"/>
    <w:rsid w:val="00D31703"/>
    <w:rsid w:val="00D32D1E"/>
    <w:rsid w:val="00D40AAD"/>
    <w:rsid w:val="00D45329"/>
    <w:rsid w:val="00D47ACC"/>
    <w:rsid w:val="00D5064E"/>
    <w:rsid w:val="00D50BE2"/>
    <w:rsid w:val="00D51FE7"/>
    <w:rsid w:val="00D54B01"/>
    <w:rsid w:val="00D57274"/>
    <w:rsid w:val="00D600F0"/>
    <w:rsid w:val="00D6034D"/>
    <w:rsid w:val="00D61332"/>
    <w:rsid w:val="00D61F8A"/>
    <w:rsid w:val="00D6239E"/>
    <w:rsid w:val="00D640D7"/>
    <w:rsid w:val="00D64A4B"/>
    <w:rsid w:val="00D66A48"/>
    <w:rsid w:val="00D70374"/>
    <w:rsid w:val="00D70DFD"/>
    <w:rsid w:val="00D71175"/>
    <w:rsid w:val="00D7260B"/>
    <w:rsid w:val="00D729B1"/>
    <w:rsid w:val="00D730B5"/>
    <w:rsid w:val="00D73129"/>
    <w:rsid w:val="00D735FF"/>
    <w:rsid w:val="00D73A3C"/>
    <w:rsid w:val="00D7483C"/>
    <w:rsid w:val="00D74FD2"/>
    <w:rsid w:val="00D77CD3"/>
    <w:rsid w:val="00D813C5"/>
    <w:rsid w:val="00D83999"/>
    <w:rsid w:val="00D839BC"/>
    <w:rsid w:val="00D84ABE"/>
    <w:rsid w:val="00D84F60"/>
    <w:rsid w:val="00D87B35"/>
    <w:rsid w:val="00D9098B"/>
    <w:rsid w:val="00D91BC7"/>
    <w:rsid w:val="00D91FC5"/>
    <w:rsid w:val="00D92690"/>
    <w:rsid w:val="00D9288B"/>
    <w:rsid w:val="00D93EA3"/>
    <w:rsid w:val="00D97AD0"/>
    <w:rsid w:val="00DA2373"/>
    <w:rsid w:val="00DA6F20"/>
    <w:rsid w:val="00DB14FE"/>
    <w:rsid w:val="00DB17ED"/>
    <w:rsid w:val="00DB4087"/>
    <w:rsid w:val="00DB4755"/>
    <w:rsid w:val="00DC07A6"/>
    <w:rsid w:val="00DC22B8"/>
    <w:rsid w:val="00DC3E21"/>
    <w:rsid w:val="00DC428F"/>
    <w:rsid w:val="00DC4480"/>
    <w:rsid w:val="00DC48FC"/>
    <w:rsid w:val="00DD04B4"/>
    <w:rsid w:val="00DD13E2"/>
    <w:rsid w:val="00DD2866"/>
    <w:rsid w:val="00DD2EAD"/>
    <w:rsid w:val="00DD332A"/>
    <w:rsid w:val="00DD3E03"/>
    <w:rsid w:val="00DD536D"/>
    <w:rsid w:val="00DD5375"/>
    <w:rsid w:val="00DD638B"/>
    <w:rsid w:val="00DD6622"/>
    <w:rsid w:val="00DE05AF"/>
    <w:rsid w:val="00DE0CFB"/>
    <w:rsid w:val="00DE1245"/>
    <w:rsid w:val="00DE16B2"/>
    <w:rsid w:val="00DE17F9"/>
    <w:rsid w:val="00DE1D68"/>
    <w:rsid w:val="00DE204C"/>
    <w:rsid w:val="00DE33F9"/>
    <w:rsid w:val="00DE3A75"/>
    <w:rsid w:val="00DE4C92"/>
    <w:rsid w:val="00DE6050"/>
    <w:rsid w:val="00DE65EC"/>
    <w:rsid w:val="00DF2EC9"/>
    <w:rsid w:val="00DF5393"/>
    <w:rsid w:val="00DF54C2"/>
    <w:rsid w:val="00DF5787"/>
    <w:rsid w:val="00DF794F"/>
    <w:rsid w:val="00E02336"/>
    <w:rsid w:val="00E023AA"/>
    <w:rsid w:val="00E02DF9"/>
    <w:rsid w:val="00E059CE"/>
    <w:rsid w:val="00E07B27"/>
    <w:rsid w:val="00E12228"/>
    <w:rsid w:val="00E15852"/>
    <w:rsid w:val="00E1630A"/>
    <w:rsid w:val="00E165CA"/>
    <w:rsid w:val="00E20A4D"/>
    <w:rsid w:val="00E21932"/>
    <w:rsid w:val="00E23208"/>
    <w:rsid w:val="00E23A7E"/>
    <w:rsid w:val="00E24A0D"/>
    <w:rsid w:val="00E24A15"/>
    <w:rsid w:val="00E24F4E"/>
    <w:rsid w:val="00E25699"/>
    <w:rsid w:val="00E270A8"/>
    <w:rsid w:val="00E275BB"/>
    <w:rsid w:val="00E275CC"/>
    <w:rsid w:val="00E3023E"/>
    <w:rsid w:val="00E320BF"/>
    <w:rsid w:val="00E325CC"/>
    <w:rsid w:val="00E32F40"/>
    <w:rsid w:val="00E34B78"/>
    <w:rsid w:val="00E35F2E"/>
    <w:rsid w:val="00E37029"/>
    <w:rsid w:val="00E42F1F"/>
    <w:rsid w:val="00E45A6B"/>
    <w:rsid w:val="00E464E0"/>
    <w:rsid w:val="00E51FE7"/>
    <w:rsid w:val="00E520C5"/>
    <w:rsid w:val="00E5274C"/>
    <w:rsid w:val="00E53E66"/>
    <w:rsid w:val="00E540E3"/>
    <w:rsid w:val="00E54235"/>
    <w:rsid w:val="00E5657E"/>
    <w:rsid w:val="00E60D4B"/>
    <w:rsid w:val="00E61488"/>
    <w:rsid w:val="00E6207F"/>
    <w:rsid w:val="00E62F37"/>
    <w:rsid w:val="00E63547"/>
    <w:rsid w:val="00E63814"/>
    <w:rsid w:val="00E6497E"/>
    <w:rsid w:val="00E651B3"/>
    <w:rsid w:val="00E71156"/>
    <w:rsid w:val="00E71B47"/>
    <w:rsid w:val="00E73CC6"/>
    <w:rsid w:val="00E74261"/>
    <w:rsid w:val="00E77018"/>
    <w:rsid w:val="00E8056B"/>
    <w:rsid w:val="00E80729"/>
    <w:rsid w:val="00E80CF1"/>
    <w:rsid w:val="00E8176B"/>
    <w:rsid w:val="00E86E35"/>
    <w:rsid w:val="00E91E84"/>
    <w:rsid w:val="00E96BDF"/>
    <w:rsid w:val="00EA1831"/>
    <w:rsid w:val="00EA2204"/>
    <w:rsid w:val="00EA2A85"/>
    <w:rsid w:val="00EA3251"/>
    <w:rsid w:val="00EA3322"/>
    <w:rsid w:val="00EA3F83"/>
    <w:rsid w:val="00EA6150"/>
    <w:rsid w:val="00EA6D50"/>
    <w:rsid w:val="00EA76EE"/>
    <w:rsid w:val="00EB0C47"/>
    <w:rsid w:val="00EB3E6E"/>
    <w:rsid w:val="00EB4FDE"/>
    <w:rsid w:val="00EB73AB"/>
    <w:rsid w:val="00EC042B"/>
    <w:rsid w:val="00EC427E"/>
    <w:rsid w:val="00EC4A38"/>
    <w:rsid w:val="00EC7A14"/>
    <w:rsid w:val="00ED0C35"/>
    <w:rsid w:val="00ED185A"/>
    <w:rsid w:val="00ED19EB"/>
    <w:rsid w:val="00ED1D0D"/>
    <w:rsid w:val="00ED2995"/>
    <w:rsid w:val="00ED39AB"/>
    <w:rsid w:val="00EE02B2"/>
    <w:rsid w:val="00EE1FFF"/>
    <w:rsid w:val="00EE2127"/>
    <w:rsid w:val="00EE22F2"/>
    <w:rsid w:val="00EE4129"/>
    <w:rsid w:val="00EE49F2"/>
    <w:rsid w:val="00EE65C7"/>
    <w:rsid w:val="00EE675F"/>
    <w:rsid w:val="00EF081A"/>
    <w:rsid w:val="00EF5F37"/>
    <w:rsid w:val="00F020D5"/>
    <w:rsid w:val="00F03AB9"/>
    <w:rsid w:val="00F03D77"/>
    <w:rsid w:val="00F04185"/>
    <w:rsid w:val="00F04548"/>
    <w:rsid w:val="00F16C2D"/>
    <w:rsid w:val="00F17E6F"/>
    <w:rsid w:val="00F2072F"/>
    <w:rsid w:val="00F2165E"/>
    <w:rsid w:val="00F21CE8"/>
    <w:rsid w:val="00F24FD9"/>
    <w:rsid w:val="00F25484"/>
    <w:rsid w:val="00F254C0"/>
    <w:rsid w:val="00F26132"/>
    <w:rsid w:val="00F3294F"/>
    <w:rsid w:val="00F32DC1"/>
    <w:rsid w:val="00F33008"/>
    <w:rsid w:val="00F33089"/>
    <w:rsid w:val="00F33FD1"/>
    <w:rsid w:val="00F35870"/>
    <w:rsid w:val="00F377D3"/>
    <w:rsid w:val="00F4251D"/>
    <w:rsid w:val="00F4543E"/>
    <w:rsid w:val="00F50495"/>
    <w:rsid w:val="00F51B8C"/>
    <w:rsid w:val="00F52310"/>
    <w:rsid w:val="00F5399F"/>
    <w:rsid w:val="00F56FD2"/>
    <w:rsid w:val="00F6195A"/>
    <w:rsid w:val="00F66724"/>
    <w:rsid w:val="00F70531"/>
    <w:rsid w:val="00F73ACC"/>
    <w:rsid w:val="00F811F7"/>
    <w:rsid w:val="00F81E3B"/>
    <w:rsid w:val="00F81EED"/>
    <w:rsid w:val="00F845C8"/>
    <w:rsid w:val="00F84D4F"/>
    <w:rsid w:val="00F85E0E"/>
    <w:rsid w:val="00F946DC"/>
    <w:rsid w:val="00F94CD2"/>
    <w:rsid w:val="00F96568"/>
    <w:rsid w:val="00F971D6"/>
    <w:rsid w:val="00F97FDE"/>
    <w:rsid w:val="00FA1D75"/>
    <w:rsid w:val="00FA2450"/>
    <w:rsid w:val="00FA2486"/>
    <w:rsid w:val="00FA321F"/>
    <w:rsid w:val="00FA593F"/>
    <w:rsid w:val="00FA6CB0"/>
    <w:rsid w:val="00FB5CCE"/>
    <w:rsid w:val="00FB7B56"/>
    <w:rsid w:val="00FC027F"/>
    <w:rsid w:val="00FC1291"/>
    <w:rsid w:val="00FC1708"/>
    <w:rsid w:val="00FC2E35"/>
    <w:rsid w:val="00FC3859"/>
    <w:rsid w:val="00FC54E7"/>
    <w:rsid w:val="00FC7369"/>
    <w:rsid w:val="00FD016B"/>
    <w:rsid w:val="00FD1A20"/>
    <w:rsid w:val="00FD3FFC"/>
    <w:rsid w:val="00FD42F4"/>
    <w:rsid w:val="00FD4E53"/>
    <w:rsid w:val="00FD7129"/>
    <w:rsid w:val="00FD74A6"/>
    <w:rsid w:val="00FE3DE2"/>
    <w:rsid w:val="00FE6FC6"/>
    <w:rsid w:val="00FE75E5"/>
    <w:rsid w:val="00FF0E35"/>
    <w:rsid w:val="00FF4F15"/>
    <w:rsid w:val="00FF66DB"/>
    <w:rsid w:val="00FF7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15:docId w15:val="{636580FB-D3D1-4DC9-A981-25FC627B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423"/>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rFonts w:ascii="Times New Roman" w:hAnsi="Times New Roman"/>
      <w:color w:val="000000"/>
      <w:sz w:val="22"/>
      <w:szCs w:val="22"/>
      <w:lang w:val="en-AU" w:eastAsia="en-AU" w:bidi="ar-SA"/>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D13DF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rFonts w:ascii="Arial" w:hAnsi="Arial" w:cs="Arial"/>
      <w:b/>
      <w:i/>
      <w:sz w:val="22"/>
      <w:szCs w:val="22"/>
      <w:lang w:eastAsia="en-US"/>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rFonts w:ascii="Arial" w:hAnsi="Arial" w:cs="Arial"/>
      <w:b/>
      <w:color w:val="FFFFFF" w:themeColor="background1"/>
      <w:lang w:eastAsia="en-US"/>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93728"/>
    <w:pPr>
      <w:spacing w:before="100" w:beforeAutospacing="1" w:after="100" w:afterAutospacing="1"/>
    </w:pPr>
    <w:rPr>
      <w:rFonts w:ascii="Times New Roman" w:eastAsia="Times New Roman" w:hAnsi="Times New Roman"/>
      <w:sz w:val="24"/>
      <w:szCs w:val="24"/>
      <w:lang w:eastAsia="en-AU"/>
    </w:rPr>
  </w:style>
  <w:style w:type="character" w:customStyle="1" w:styleId="author-name2">
    <w:name w:val="author-name2"/>
    <w:basedOn w:val="DefaultParagraphFont"/>
    <w:rsid w:val="00FC1291"/>
    <w:rPr>
      <w:b/>
      <w:bCs/>
    </w:rPr>
  </w:style>
  <w:style w:type="character" w:customStyle="1" w:styleId="source-name5">
    <w:name w:val="source-name5"/>
    <w:basedOn w:val="DefaultParagraphFont"/>
    <w:rsid w:val="00FC1291"/>
    <w:rPr>
      <w:i/>
      <w:iCs/>
    </w:rPr>
  </w:style>
  <w:style w:type="character" w:customStyle="1" w:styleId="publish-date5">
    <w:name w:val="publish-date5"/>
    <w:basedOn w:val="DefaultParagraphFont"/>
    <w:rsid w:val="00FC1291"/>
    <w:rPr>
      <w:i/>
      <w:iCs/>
      <w:sz w:val="14"/>
      <w:szCs w:val="14"/>
    </w:rPr>
  </w:style>
  <w:style w:type="character" w:styleId="FollowedHyperlink">
    <w:name w:val="FollowedHyperlink"/>
    <w:basedOn w:val="DefaultParagraphFont"/>
    <w:uiPriority w:val="99"/>
    <w:semiHidden/>
    <w:unhideWhenUsed/>
    <w:rsid w:val="007C746E"/>
    <w:rPr>
      <w:color w:val="800080" w:themeColor="followedHyperlink"/>
      <w:u w:val="single"/>
    </w:rPr>
  </w:style>
  <w:style w:type="paragraph" w:customStyle="1" w:styleId="ATAPreMnorm">
    <w:name w:val="ATAPreM norm"/>
    <w:basedOn w:val="Normal"/>
    <w:link w:val="ATAPreMnormChar"/>
    <w:qFormat/>
    <w:rsid w:val="00F2072F"/>
    <w:rPr>
      <w:rFonts w:ascii="Arial" w:eastAsia="Times New Roman" w:hAnsi="Arial" w:cs="Arial"/>
      <w:i/>
      <w:color w:val="000000"/>
      <w:sz w:val="20"/>
      <w:szCs w:val="20"/>
      <w:lang w:eastAsia="en-AU"/>
    </w:rPr>
  </w:style>
  <w:style w:type="paragraph" w:customStyle="1" w:styleId="ATAPervMHeading">
    <w:name w:val="ATAPervMHeading"/>
    <w:basedOn w:val="Normal"/>
    <w:link w:val="ATAPervMHeadingChar"/>
    <w:qFormat/>
    <w:rsid w:val="00F2072F"/>
    <w:pPr>
      <w:tabs>
        <w:tab w:val="left" w:pos="851"/>
      </w:tabs>
      <w:ind w:left="851" w:hanging="851"/>
    </w:pPr>
    <w:rPr>
      <w:rFonts w:ascii="Arial" w:hAnsi="Arial" w:cs="Arial"/>
      <w:b/>
      <w:i/>
      <w:sz w:val="20"/>
      <w:szCs w:val="20"/>
    </w:rPr>
  </w:style>
  <w:style w:type="character" w:customStyle="1" w:styleId="ATAPreMnormChar">
    <w:name w:val="ATAPreM norm Char"/>
    <w:basedOn w:val="DefaultParagraphFont"/>
    <w:link w:val="ATAPreMnorm"/>
    <w:rsid w:val="00F2072F"/>
    <w:rPr>
      <w:rFonts w:ascii="Arial" w:eastAsia="Times New Roman" w:hAnsi="Arial" w:cs="Arial"/>
      <w:i/>
      <w:color w:val="000000"/>
    </w:rPr>
  </w:style>
  <w:style w:type="character" w:customStyle="1" w:styleId="ATAPervMHeadingChar">
    <w:name w:val="ATAPervMHeading Char"/>
    <w:basedOn w:val="DefaultParagraphFont"/>
    <w:link w:val="ATAPervMHeading"/>
    <w:rsid w:val="00F2072F"/>
    <w:rPr>
      <w:rFonts w:ascii="Arial" w:hAnsi="Arial" w:cs="Arial"/>
      <w:b/>
      <w:i/>
      <w:lang w:eastAsia="en-US"/>
    </w:rPr>
  </w:style>
  <w:style w:type="character" w:styleId="CommentReference">
    <w:name w:val="annotation reference"/>
    <w:basedOn w:val="DefaultParagraphFont"/>
    <w:uiPriority w:val="99"/>
    <w:semiHidden/>
    <w:unhideWhenUsed/>
    <w:rsid w:val="00603655"/>
    <w:rPr>
      <w:sz w:val="16"/>
      <w:szCs w:val="16"/>
    </w:rPr>
  </w:style>
  <w:style w:type="paragraph" w:styleId="CommentText">
    <w:name w:val="annotation text"/>
    <w:basedOn w:val="Normal"/>
    <w:link w:val="CommentTextChar"/>
    <w:uiPriority w:val="99"/>
    <w:semiHidden/>
    <w:unhideWhenUsed/>
    <w:rsid w:val="00603655"/>
    <w:rPr>
      <w:sz w:val="20"/>
      <w:szCs w:val="20"/>
    </w:rPr>
  </w:style>
  <w:style w:type="character" w:customStyle="1" w:styleId="CommentTextChar">
    <w:name w:val="Comment Text Char"/>
    <w:basedOn w:val="DefaultParagraphFont"/>
    <w:link w:val="CommentText"/>
    <w:uiPriority w:val="99"/>
    <w:semiHidden/>
    <w:rsid w:val="00603655"/>
    <w:rPr>
      <w:lang w:eastAsia="en-US"/>
    </w:rPr>
  </w:style>
  <w:style w:type="paragraph" w:styleId="CommentSubject">
    <w:name w:val="annotation subject"/>
    <w:basedOn w:val="CommentText"/>
    <w:next w:val="CommentText"/>
    <w:link w:val="CommentSubjectChar"/>
    <w:uiPriority w:val="99"/>
    <w:semiHidden/>
    <w:unhideWhenUsed/>
    <w:rsid w:val="00603655"/>
    <w:rPr>
      <w:b/>
      <w:bCs/>
    </w:rPr>
  </w:style>
  <w:style w:type="character" w:customStyle="1" w:styleId="CommentSubjectChar">
    <w:name w:val="Comment Subject Char"/>
    <w:basedOn w:val="CommentTextChar"/>
    <w:link w:val="CommentSubject"/>
    <w:uiPriority w:val="99"/>
    <w:semiHidden/>
    <w:rsid w:val="00603655"/>
    <w:rPr>
      <w:b/>
      <w:bCs/>
      <w:lang w:eastAsia="en-US"/>
    </w:rPr>
  </w:style>
  <w:style w:type="paragraph" w:styleId="PlainText">
    <w:name w:val="Plain Text"/>
    <w:basedOn w:val="Normal"/>
    <w:link w:val="PlainTextChar"/>
    <w:uiPriority w:val="99"/>
    <w:unhideWhenUsed/>
    <w:rsid w:val="00040B35"/>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rsid w:val="00040B35"/>
    <w:rPr>
      <w:rFonts w:ascii="Consolas" w:eastAsiaTheme="minorHAnsi" w:hAnsi="Consolas" w:cs="Consolas"/>
      <w:sz w:val="21"/>
      <w:szCs w:val="21"/>
    </w:rPr>
  </w:style>
  <w:style w:type="paragraph" w:styleId="NoSpacing">
    <w:name w:val="No Spacing"/>
    <w:basedOn w:val="Normal"/>
    <w:uiPriority w:val="1"/>
    <w:qFormat/>
    <w:rsid w:val="005C4492"/>
    <w:rPr>
      <w:rFonts w:eastAsiaTheme="minorHAnsi"/>
      <w:color w:val="404040"/>
      <w:sz w:val="19"/>
      <w:szCs w:val="19"/>
      <w:lang w:eastAsia="en-AU"/>
    </w:rPr>
  </w:style>
  <w:style w:type="character" w:customStyle="1" w:styleId="apple-converted-space">
    <w:name w:val="apple-converted-space"/>
    <w:basedOn w:val="DefaultParagraphFont"/>
    <w:rsid w:val="00DF2EC9"/>
  </w:style>
  <w:style w:type="character" w:customStyle="1" w:styleId="filesize">
    <w:name w:val="filesize"/>
    <w:basedOn w:val="DefaultParagraphFont"/>
    <w:rsid w:val="00DF2EC9"/>
  </w:style>
  <w:style w:type="table" w:customStyle="1" w:styleId="TableGrid1">
    <w:name w:val="Table Grid1"/>
    <w:basedOn w:val="TableNormal"/>
    <w:next w:val="TableGrid"/>
    <w:uiPriority w:val="39"/>
    <w:rsid w:val="000077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653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707">
      <w:bodyDiv w:val="1"/>
      <w:marLeft w:val="0"/>
      <w:marRight w:val="0"/>
      <w:marTop w:val="0"/>
      <w:marBottom w:val="0"/>
      <w:divBdr>
        <w:top w:val="none" w:sz="0" w:space="0" w:color="auto"/>
        <w:left w:val="none" w:sz="0" w:space="0" w:color="auto"/>
        <w:bottom w:val="none" w:sz="0" w:space="0" w:color="auto"/>
        <w:right w:val="none" w:sz="0" w:space="0" w:color="auto"/>
      </w:divBdr>
    </w:div>
    <w:div w:id="40980097">
      <w:bodyDiv w:val="1"/>
      <w:marLeft w:val="0"/>
      <w:marRight w:val="0"/>
      <w:marTop w:val="0"/>
      <w:marBottom w:val="0"/>
      <w:divBdr>
        <w:top w:val="none" w:sz="0" w:space="0" w:color="auto"/>
        <w:left w:val="none" w:sz="0" w:space="0" w:color="auto"/>
        <w:bottom w:val="none" w:sz="0" w:space="0" w:color="auto"/>
        <w:right w:val="none" w:sz="0" w:space="0" w:color="auto"/>
      </w:divBdr>
    </w:div>
    <w:div w:id="161629573">
      <w:bodyDiv w:val="1"/>
      <w:marLeft w:val="0"/>
      <w:marRight w:val="0"/>
      <w:marTop w:val="0"/>
      <w:marBottom w:val="0"/>
      <w:divBdr>
        <w:top w:val="none" w:sz="0" w:space="0" w:color="auto"/>
        <w:left w:val="none" w:sz="0" w:space="0" w:color="auto"/>
        <w:bottom w:val="none" w:sz="0" w:space="0" w:color="auto"/>
        <w:right w:val="none" w:sz="0" w:space="0" w:color="auto"/>
      </w:divBdr>
    </w:div>
    <w:div w:id="167257544">
      <w:bodyDiv w:val="1"/>
      <w:marLeft w:val="0"/>
      <w:marRight w:val="0"/>
      <w:marTop w:val="0"/>
      <w:marBottom w:val="0"/>
      <w:divBdr>
        <w:top w:val="none" w:sz="0" w:space="0" w:color="auto"/>
        <w:left w:val="none" w:sz="0" w:space="0" w:color="auto"/>
        <w:bottom w:val="none" w:sz="0" w:space="0" w:color="auto"/>
        <w:right w:val="none" w:sz="0" w:space="0" w:color="auto"/>
      </w:divBdr>
    </w:div>
    <w:div w:id="300501640">
      <w:bodyDiv w:val="1"/>
      <w:marLeft w:val="0"/>
      <w:marRight w:val="0"/>
      <w:marTop w:val="0"/>
      <w:marBottom w:val="0"/>
      <w:divBdr>
        <w:top w:val="none" w:sz="0" w:space="0" w:color="auto"/>
        <w:left w:val="none" w:sz="0" w:space="0" w:color="auto"/>
        <w:bottom w:val="none" w:sz="0" w:space="0" w:color="auto"/>
        <w:right w:val="none" w:sz="0" w:space="0" w:color="auto"/>
      </w:divBdr>
      <w:divsChild>
        <w:div w:id="1953660714">
          <w:marLeft w:val="0"/>
          <w:marRight w:val="0"/>
          <w:marTop w:val="0"/>
          <w:marBottom w:val="0"/>
          <w:divBdr>
            <w:top w:val="none" w:sz="0" w:space="0" w:color="auto"/>
            <w:left w:val="none" w:sz="0" w:space="0" w:color="auto"/>
            <w:bottom w:val="none" w:sz="0" w:space="0" w:color="auto"/>
            <w:right w:val="none" w:sz="0" w:space="0" w:color="auto"/>
          </w:divBdr>
          <w:divsChild>
            <w:div w:id="749893250">
              <w:marLeft w:val="0"/>
              <w:marRight w:val="0"/>
              <w:marTop w:val="0"/>
              <w:marBottom w:val="0"/>
              <w:divBdr>
                <w:top w:val="none" w:sz="0" w:space="0" w:color="auto"/>
                <w:left w:val="none" w:sz="0" w:space="0" w:color="auto"/>
                <w:bottom w:val="none" w:sz="0" w:space="0" w:color="auto"/>
                <w:right w:val="none" w:sz="0" w:space="0" w:color="auto"/>
              </w:divBdr>
              <w:divsChild>
                <w:div w:id="1990743551">
                  <w:marLeft w:val="0"/>
                  <w:marRight w:val="0"/>
                  <w:marTop w:val="0"/>
                  <w:marBottom w:val="0"/>
                  <w:divBdr>
                    <w:top w:val="none" w:sz="0" w:space="0" w:color="auto"/>
                    <w:left w:val="none" w:sz="0" w:space="0" w:color="auto"/>
                    <w:bottom w:val="none" w:sz="0" w:space="0" w:color="auto"/>
                    <w:right w:val="none" w:sz="0" w:space="0" w:color="auto"/>
                  </w:divBdr>
                  <w:divsChild>
                    <w:div w:id="1398744426">
                      <w:marLeft w:val="0"/>
                      <w:marRight w:val="0"/>
                      <w:marTop w:val="0"/>
                      <w:marBottom w:val="173"/>
                      <w:divBdr>
                        <w:top w:val="none" w:sz="0" w:space="0" w:color="auto"/>
                        <w:left w:val="none" w:sz="0" w:space="0" w:color="auto"/>
                        <w:bottom w:val="single" w:sz="12" w:space="0" w:color="auto"/>
                        <w:right w:val="none" w:sz="0" w:space="0" w:color="auto"/>
                      </w:divBdr>
                      <w:divsChild>
                        <w:div w:id="151719399">
                          <w:marLeft w:val="0"/>
                          <w:marRight w:val="0"/>
                          <w:marTop w:val="0"/>
                          <w:marBottom w:val="0"/>
                          <w:divBdr>
                            <w:top w:val="none" w:sz="0" w:space="0" w:color="auto"/>
                            <w:left w:val="none" w:sz="0" w:space="0" w:color="auto"/>
                            <w:bottom w:val="none" w:sz="0" w:space="0" w:color="auto"/>
                            <w:right w:val="none" w:sz="0" w:space="0" w:color="auto"/>
                          </w:divBdr>
                          <w:divsChild>
                            <w:div w:id="846868594">
                              <w:marLeft w:val="0"/>
                              <w:marRight w:val="0"/>
                              <w:marTop w:val="0"/>
                              <w:marBottom w:val="0"/>
                              <w:divBdr>
                                <w:top w:val="none" w:sz="0" w:space="0" w:color="auto"/>
                                <w:left w:val="none" w:sz="0" w:space="0" w:color="auto"/>
                                <w:bottom w:val="none" w:sz="0" w:space="0" w:color="auto"/>
                                <w:right w:val="none" w:sz="0" w:space="0" w:color="auto"/>
                              </w:divBdr>
                              <w:divsChild>
                                <w:div w:id="64375558">
                                  <w:marLeft w:val="0"/>
                                  <w:marRight w:val="0"/>
                                  <w:marTop w:val="0"/>
                                  <w:marBottom w:val="0"/>
                                  <w:divBdr>
                                    <w:top w:val="none" w:sz="0" w:space="0" w:color="auto"/>
                                    <w:left w:val="none" w:sz="0" w:space="0" w:color="auto"/>
                                    <w:bottom w:val="none" w:sz="0" w:space="0" w:color="auto"/>
                                    <w:right w:val="none" w:sz="0" w:space="0" w:color="auto"/>
                                  </w:divBdr>
                                  <w:divsChild>
                                    <w:div w:id="1638073701">
                                      <w:marLeft w:val="0"/>
                                      <w:marRight w:val="0"/>
                                      <w:marTop w:val="0"/>
                                      <w:marBottom w:val="0"/>
                                      <w:divBdr>
                                        <w:top w:val="none" w:sz="0" w:space="0" w:color="auto"/>
                                        <w:left w:val="none" w:sz="0" w:space="0" w:color="auto"/>
                                        <w:bottom w:val="none" w:sz="0" w:space="0" w:color="auto"/>
                                        <w:right w:val="none" w:sz="0" w:space="0" w:color="auto"/>
                                      </w:divBdr>
                                      <w:divsChild>
                                        <w:div w:id="388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373011">
      <w:bodyDiv w:val="1"/>
      <w:marLeft w:val="0"/>
      <w:marRight w:val="0"/>
      <w:marTop w:val="0"/>
      <w:marBottom w:val="0"/>
      <w:divBdr>
        <w:top w:val="none" w:sz="0" w:space="0" w:color="auto"/>
        <w:left w:val="none" w:sz="0" w:space="0" w:color="auto"/>
        <w:bottom w:val="none" w:sz="0" w:space="0" w:color="auto"/>
        <w:right w:val="none" w:sz="0" w:space="0" w:color="auto"/>
      </w:divBdr>
    </w:div>
    <w:div w:id="342707352">
      <w:bodyDiv w:val="1"/>
      <w:marLeft w:val="0"/>
      <w:marRight w:val="0"/>
      <w:marTop w:val="0"/>
      <w:marBottom w:val="0"/>
      <w:divBdr>
        <w:top w:val="none" w:sz="0" w:space="0" w:color="auto"/>
        <w:left w:val="none" w:sz="0" w:space="0" w:color="auto"/>
        <w:bottom w:val="none" w:sz="0" w:space="0" w:color="auto"/>
        <w:right w:val="none" w:sz="0" w:space="0" w:color="auto"/>
      </w:divBdr>
    </w:div>
    <w:div w:id="392852183">
      <w:bodyDiv w:val="1"/>
      <w:marLeft w:val="0"/>
      <w:marRight w:val="0"/>
      <w:marTop w:val="0"/>
      <w:marBottom w:val="0"/>
      <w:divBdr>
        <w:top w:val="none" w:sz="0" w:space="0" w:color="auto"/>
        <w:left w:val="none" w:sz="0" w:space="0" w:color="auto"/>
        <w:bottom w:val="none" w:sz="0" w:space="0" w:color="auto"/>
        <w:right w:val="none" w:sz="0" w:space="0" w:color="auto"/>
      </w:divBdr>
      <w:divsChild>
        <w:div w:id="1062757597">
          <w:marLeft w:val="0"/>
          <w:marRight w:val="0"/>
          <w:marTop w:val="0"/>
          <w:marBottom w:val="0"/>
          <w:divBdr>
            <w:top w:val="single" w:sz="2" w:space="0" w:color="999999"/>
            <w:left w:val="single" w:sz="4" w:space="0" w:color="999999"/>
            <w:bottom w:val="single" w:sz="2" w:space="0" w:color="999999"/>
            <w:right w:val="single" w:sz="4" w:space="0" w:color="999999"/>
          </w:divBdr>
          <w:divsChild>
            <w:div w:id="659891644">
              <w:marLeft w:val="0"/>
              <w:marRight w:val="0"/>
              <w:marTop w:val="0"/>
              <w:marBottom w:val="0"/>
              <w:divBdr>
                <w:top w:val="none" w:sz="0" w:space="0" w:color="auto"/>
                <w:left w:val="none" w:sz="0" w:space="0" w:color="auto"/>
                <w:bottom w:val="none" w:sz="0" w:space="0" w:color="auto"/>
                <w:right w:val="none" w:sz="0" w:space="0" w:color="auto"/>
              </w:divBdr>
              <w:divsChild>
                <w:div w:id="8284792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402457443">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570122334">
      <w:bodyDiv w:val="1"/>
      <w:marLeft w:val="0"/>
      <w:marRight w:val="0"/>
      <w:marTop w:val="0"/>
      <w:marBottom w:val="0"/>
      <w:divBdr>
        <w:top w:val="none" w:sz="0" w:space="0" w:color="auto"/>
        <w:left w:val="none" w:sz="0" w:space="0" w:color="auto"/>
        <w:bottom w:val="none" w:sz="0" w:space="0" w:color="auto"/>
        <w:right w:val="none" w:sz="0" w:space="0" w:color="auto"/>
      </w:divBdr>
    </w:div>
    <w:div w:id="691764137">
      <w:bodyDiv w:val="1"/>
      <w:marLeft w:val="0"/>
      <w:marRight w:val="0"/>
      <w:marTop w:val="0"/>
      <w:marBottom w:val="0"/>
      <w:divBdr>
        <w:top w:val="none" w:sz="0" w:space="0" w:color="auto"/>
        <w:left w:val="none" w:sz="0" w:space="0" w:color="auto"/>
        <w:bottom w:val="none" w:sz="0" w:space="0" w:color="auto"/>
        <w:right w:val="none" w:sz="0" w:space="0" w:color="auto"/>
      </w:divBdr>
      <w:divsChild>
        <w:div w:id="138617996">
          <w:marLeft w:val="0"/>
          <w:marRight w:val="0"/>
          <w:marTop w:val="0"/>
          <w:marBottom w:val="0"/>
          <w:divBdr>
            <w:top w:val="none" w:sz="0" w:space="0" w:color="auto"/>
            <w:left w:val="none" w:sz="0" w:space="0" w:color="auto"/>
            <w:bottom w:val="none" w:sz="0" w:space="0" w:color="auto"/>
            <w:right w:val="none" w:sz="0" w:space="0" w:color="auto"/>
          </w:divBdr>
          <w:divsChild>
            <w:div w:id="8757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3285">
      <w:bodyDiv w:val="1"/>
      <w:marLeft w:val="0"/>
      <w:marRight w:val="0"/>
      <w:marTop w:val="0"/>
      <w:marBottom w:val="0"/>
      <w:divBdr>
        <w:top w:val="none" w:sz="0" w:space="0" w:color="auto"/>
        <w:left w:val="none" w:sz="0" w:space="0" w:color="auto"/>
        <w:bottom w:val="none" w:sz="0" w:space="0" w:color="auto"/>
        <w:right w:val="none" w:sz="0" w:space="0" w:color="auto"/>
      </w:divBdr>
    </w:div>
    <w:div w:id="764347823">
      <w:bodyDiv w:val="1"/>
      <w:marLeft w:val="0"/>
      <w:marRight w:val="0"/>
      <w:marTop w:val="0"/>
      <w:marBottom w:val="0"/>
      <w:divBdr>
        <w:top w:val="none" w:sz="0" w:space="0" w:color="auto"/>
        <w:left w:val="none" w:sz="0" w:space="0" w:color="auto"/>
        <w:bottom w:val="none" w:sz="0" w:space="0" w:color="auto"/>
        <w:right w:val="none" w:sz="0" w:space="0" w:color="auto"/>
      </w:divBdr>
      <w:divsChild>
        <w:div w:id="1504861412">
          <w:marLeft w:val="0"/>
          <w:marRight w:val="0"/>
          <w:marTop w:val="0"/>
          <w:marBottom w:val="0"/>
          <w:divBdr>
            <w:top w:val="none" w:sz="0" w:space="0" w:color="auto"/>
            <w:left w:val="none" w:sz="0" w:space="0" w:color="auto"/>
            <w:bottom w:val="none" w:sz="0" w:space="0" w:color="auto"/>
            <w:right w:val="none" w:sz="0" w:space="0" w:color="auto"/>
          </w:divBdr>
          <w:divsChild>
            <w:div w:id="101927376">
              <w:marLeft w:val="0"/>
              <w:marRight w:val="0"/>
              <w:marTop w:val="0"/>
              <w:marBottom w:val="0"/>
              <w:divBdr>
                <w:top w:val="none" w:sz="0" w:space="0" w:color="auto"/>
                <w:left w:val="none" w:sz="0" w:space="0" w:color="auto"/>
                <w:bottom w:val="none" w:sz="0" w:space="0" w:color="auto"/>
                <w:right w:val="none" w:sz="0" w:space="0" w:color="auto"/>
              </w:divBdr>
              <w:divsChild>
                <w:div w:id="1142624037">
                  <w:marLeft w:val="0"/>
                  <w:marRight w:val="0"/>
                  <w:marTop w:val="100"/>
                  <w:marBottom w:val="100"/>
                  <w:divBdr>
                    <w:top w:val="none" w:sz="0" w:space="0" w:color="auto"/>
                    <w:left w:val="none" w:sz="0" w:space="0" w:color="auto"/>
                    <w:bottom w:val="none" w:sz="0" w:space="0" w:color="auto"/>
                    <w:right w:val="none" w:sz="0" w:space="0" w:color="auto"/>
                  </w:divBdr>
                  <w:divsChild>
                    <w:div w:id="1542476904">
                      <w:marLeft w:val="0"/>
                      <w:marRight w:val="0"/>
                      <w:marTop w:val="0"/>
                      <w:marBottom w:val="0"/>
                      <w:divBdr>
                        <w:top w:val="none" w:sz="0" w:space="0" w:color="auto"/>
                        <w:left w:val="none" w:sz="0" w:space="0" w:color="auto"/>
                        <w:bottom w:val="none" w:sz="0" w:space="0" w:color="auto"/>
                        <w:right w:val="none" w:sz="0" w:space="0" w:color="auto"/>
                      </w:divBdr>
                      <w:divsChild>
                        <w:div w:id="172105108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1379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18695">
      <w:bodyDiv w:val="1"/>
      <w:marLeft w:val="0"/>
      <w:marRight w:val="0"/>
      <w:marTop w:val="0"/>
      <w:marBottom w:val="0"/>
      <w:divBdr>
        <w:top w:val="none" w:sz="0" w:space="0" w:color="auto"/>
        <w:left w:val="none" w:sz="0" w:space="0" w:color="auto"/>
        <w:bottom w:val="none" w:sz="0" w:space="0" w:color="auto"/>
        <w:right w:val="none" w:sz="0" w:space="0" w:color="auto"/>
      </w:divBdr>
    </w:div>
    <w:div w:id="828593103">
      <w:bodyDiv w:val="1"/>
      <w:marLeft w:val="0"/>
      <w:marRight w:val="0"/>
      <w:marTop w:val="0"/>
      <w:marBottom w:val="0"/>
      <w:divBdr>
        <w:top w:val="none" w:sz="0" w:space="0" w:color="auto"/>
        <w:left w:val="none" w:sz="0" w:space="0" w:color="auto"/>
        <w:bottom w:val="none" w:sz="0" w:space="0" w:color="auto"/>
        <w:right w:val="none" w:sz="0" w:space="0" w:color="auto"/>
      </w:divBdr>
    </w:div>
    <w:div w:id="853302687">
      <w:bodyDiv w:val="1"/>
      <w:marLeft w:val="0"/>
      <w:marRight w:val="0"/>
      <w:marTop w:val="0"/>
      <w:marBottom w:val="0"/>
      <w:divBdr>
        <w:top w:val="none" w:sz="0" w:space="0" w:color="auto"/>
        <w:left w:val="none" w:sz="0" w:space="0" w:color="auto"/>
        <w:bottom w:val="none" w:sz="0" w:space="0" w:color="auto"/>
        <w:right w:val="none" w:sz="0" w:space="0" w:color="auto"/>
      </w:divBdr>
    </w:div>
    <w:div w:id="927076264">
      <w:bodyDiv w:val="1"/>
      <w:marLeft w:val="0"/>
      <w:marRight w:val="0"/>
      <w:marTop w:val="0"/>
      <w:marBottom w:val="0"/>
      <w:divBdr>
        <w:top w:val="none" w:sz="0" w:space="0" w:color="auto"/>
        <w:left w:val="none" w:sz="0" w:space="0" w:color="auto"/>
        <w:bottom w:val="none" w:sz="0" w:space="0" w:color="auto"/>
        <w:right w:val="none" w:sz="0" w:space="0" w:color="auto"/>
      </w:divBdr>
    </w:div>
    <w:div w:id="1040711899">
      <w:bodyDiv w:val="1"/>
      <w:marLeft w:val="0"/>
      <w:marRight w:val="0"/>
      <w:marTop w:val="0"/>
      <w:marBottom w:val="0"/>
      <w:divBdr>
        <w:top w:val="none" w:sz="0" w:space="0" w:color="auto"/>
        <w:left w:val="none" w:sz="0" w:space="0" w:color="auto"/>
        <w:bottom w:val="none" w:sz="0" w:space="0" w:color="auto"/>
        <w:right w:val="none" w:sz="0" w:space="0" w:color="auto"/>
      </w:divBdr>
    </w:div>
    <w:div w:id="1067723571">
      <w:bodyDiv w:val="1"/>
      <w:marLeft w:val="0"/>
      <w:marRight w:val="0"/>
      <w:marTop w:val="0"/>
      <w:marBottom w:val="0"/>
      <w:divBdr>
        <w:top w:val="none" w:sz="0" w:space="0" w:color="auto"/>
        <w:left w:val="none" w:sz="0" w:space="0" w:color="auto"/>
        <w:bottom w:val="none" w:sz="0" w:space="0" w:color="auto"/>
        <w:right w:val="none" w:sz="0" w:space="0" w:color="auto"/>
      </w:divBdr>
    </w:div>
    <w:div w:id="1073629093">
      <w:bodyDiv w:val="1"/>
      <w:marLeft w:val="0"/>
      <w:marRight w:val="0"/>
      <w:marTop w:val="0"/>
      <w:marBottom w:val="0"/>
      <w:divBdr>
        <w:top w:val="none" w:sz="0" w:space="0" w:color="auto"/>
        <w:left w:val="none" w:sz="0" w:space="0" w:color="auto"/>
        <w:bottom w:val="none" w:sz="0" w:space="0" w:color="auto"/>
        <w:right w:val="none" w:sz="0" w:space="0" w:color="auto"/>
      </w:divBdr>
    </w:div>
    <w:div w:id="1107240177">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126312516">
      <w:bodyDiv w:val="1"/>
      <w:marLeft w:val="0"/>
      <w:marRight w:val="0"/>
      <w:marTop w:val="0"/>
      <w:marBottom w:val="0"/>
      <w:divBdr>
        <w:top w:val="none" w:sz="0" w:space="0" w:color="auto"/>
        <w:left w:val="none" w:sz="0" w:space="0" w:color="auto"/>
        <w:bottom w:val="none" w:sz="0" w:space="0" w:color="auto"/>
        <w:right w:val="none" w:sz="0" w:space="0" w:color="auto"/>
      </w:divBdr>
      <w:divsChild>
        <w:div w:id="1500120403">
          <w:marLeft w:val="0"/>
          <w:marRight w:val="0"/>
          <w:marTop w:val="0"/>
          <w:marBottom w:val="0"/>
          <w:divBdr>
            <w:top w:val="single" w:sz="2" w:space="0" w:color="999999"/>
            <w:left w:val="single" w:sz="4" w:space="0" w:color="999999"/>
            <w:bottom w:val="single" w:sz="2" w:space="0" w:color="999999"/>
            <w:right w:val="single" w:sz="4" w:space="0" w:color="999999"/>
          </w:divBdr>
          <w:divsChild>
            <w:div w:id="2011176851">
              <w:marLeft w:val="0"/>
              <w:marRight w:val="0"/>
              <w:marTop w:val="0"/>
              <w:marBottom w:val="0"/>
              <w:divBdr>
                <w:top w:val="none" w:sz="0" w:space="0" w:color="auto"/>
                <w:left w:val="none" w:sz="0" w:space="0" w:color="auto"/>
                <w:bottom w:val="none" w:sz="0" w:space="0" w:color="auto"/>
                <w:right w:val="none" w:sz="0" w:space="0" w:color="auto"/>
              </w:divBdr>
              <w:divsChild>
                <w:div w:id="159208419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1133401478">
      <w:bodyDiv w:val="1"/>
      <w:marLeft w:val="0"/>
      <w:marRight w:val="0"/>
      <w:marTop w:val="0"/>
      <w:marBottom w:val="0"/>
      <w:divBdr>
        <w:top w:val="none" w:sz="0" w:space="0" w:color="auto"/>
        <w:left w:val="none" w:sz="0" w:space="0" w:color="auto"/>
        <w:bottom w:val="none" w:sz="0" w:space="0" w:color="auto"/>
        <w:right w:val="none" w:sz="0" w:space="0" w:color="auto"/>
      </w:divBdr>
    </w:div>
    <w:div w:id="1168668862">
      <w:bodyDiv w:val="1"/>
      <w:marLeft w:val="0"/>
      <w:marRight w:val="0"/>
      <w:marTop w:val="0"/>
      <w:marBottom w:val="0"/>
      <w:divBdr>
        <w:top w:val="none" w:sz="0" w:space="0" w:color="auto"/>
        <w:left w:val="none" w:sz="0" w:space="0" w:color="auto"/>
        <w:bottom w:val="none" w:sz="0" w:space="0" w:color="auto"/>
        <w:right w:val="none" w:sz="0" w:space="0" w:color="auto"/>
      </w:divBdr>
    </w:div>
    <w:div w:id="1177578316">
      <w:bodyDiv w:val="1"/>
      <w:marLeft w:val="0"/>
      <w:marRight w:val="0"/>
      <w:marTop w:val="0"/>
      <w:marBottom w:val="0"/>
      <w:divBdr>
        <w:top w:val="none" w:sz="0" w:space="0" w:color="auto"/>
        <w:left w:val="none" w:sz="0" w:space="0" w:color="auto"/>
        <w:bottom w:val="none" w:sz="0" w:space="0" w:color="auto"/>
        <w:right w:val="none" w:sz="0" w:space="0" w:color="auto"/>
      </w:divBdr>
    </w:div>
    <w:div w:id="1183669334">
      <w:bodyDiv w:val="1"/>
      <w:marLeft w:val="0"/>
      <w:marRight w:val="0"/>
      <w:marTop w:val="0"/>
      <w:marBottom w:val="0"/>
      <w:divBdr>
        <w:top w:val="none" w:sz="0" w:space="0" w:color="auto"/>
        <w:left w:val="none" w:sz="0" w:space="0" w:color="auto"/>
        <w:bottom w:val="none" w:sz="0" w:space="0" w:color="auto"/>
        <w:right w:val="none" w:sz="0" w:space="0" w:color="auto"/>
      </w:divBdr>
    </w:div>
    <w:div w:id="1266157425">
      <w:bodyDiv w:val="1"/>
      <w:marLeft w:val="0"/>
      <w:marRight w:val="0"/>
      <w:marTop w:val="0"/>
      <w:marBottom w:val="0"/>
      <w:divBdr>
        <w:top w:val="none" w:sz="0" w:space="0" w:color="auto"/>
        <w:left w:val="none" w:sz="0" w:space="0" w:color="auto"/>
        <w:bottom w:val="none" w:sz="0" w:space="0" w:color="auto"/>
        <w:right w:val="none" w:sz="0" w:space="0" w:color="auto"/>
      </w:divBdr>
    </w:div>
    <w:div w:id="1295792498">
      <w:bodyDiv w:val="1"/>
      <w:marLeft w:val="0"/>
      <w:marRight w:val="0"/>
      <w:marTop w:val="0"/>
      <w:marBottom w:val="0"/>
      <w:divBdr>
        <w:top w:val="none" w:sz="0" w:space="0" w:color="auto"/>
        <w:left w:val="none" w:sz="0" w:space="0" w:color="auto"/>
        <w:bottom w:val="none" w:sz="0" w:space="0" w:color="auto"/>
        <w:right w:val="none" w:sz="0" w:space="0" w:color="auto"/>
      </w:divBdr>
    </w:div>
    <w:div w:id="1343555153">
      <w:bodyDiv w:val="1"/>
      <w:marLeft w:val="0"/>
      <w:marRight w:val="0"/>
      <w:marTop w:val="0"/>
      <w:marBottom w:val="0"/>
      <w:divBdr>
        <w:top w:val="none" w:sz="0" w:space="0" w:color="auto"/>
        <w:left w:val="none" w:sz="0" w:space="0" w:color="auto"/>
        <w:bottom w:val="none" w:sz="0" w:space="0" w:color="auto"/>
        <w:right w:val="none" w:sz="0" w:space="0" w:color="auto"/>
      </w:divBdr>
    </w:div>
    <w:div w:id="1360352906">
      <w:bodyDiv w:val="1"/>
      <w:marLeft w:val="0"/>
      <w:marRight w:val="0"/>
      <w:marTop w:val="0"/>
      <w:marBottom w:val="0"/>
      <w:divBdr>
        <w:top w:val="none" w:sz="0" w:space="0" w:color="auto"/>
        <w:left w:val="none" w:sz="0" w:space="0" w:color="auto"/>
        <w:bottom w:val="none" w:sz="0" w:space="0" w:color="auto"/>
        <w:right w:val="none" w:sz="0" w:space="0" w:color="auto"/>
      </w:divBdr>
    </w:div>
    <w:div w:id="1388455465">
      <w:bodyDiv w:val="1"/>
      <w:marLeft w:val="0"/>
      <w:marRight w:val="0"/>
      <w:marTop w:val="0"/>
      <w:marBottom w:val="0"/>
      <w:divBdr>
        <w:top w:val="none" w:sz="0" w:space="0" w:color="auto"/>
        <w:left w:val="none" w:sz="0" w:space="0" w:color="auto"/>
        <w:bottom w:val="none" w:sz="0" w:space="0" w:color="auto"/>
        <w:right w:val="none" w:sz="0" w:space="0" w:color="auto"/>
      </w:divBdr>
    </w:div>
    <w:div w:id="1393116420">
      <w:bodyDiv w:val="1"/>
      <w:marLeft w:val="0"/>
      <w:marRight w:val="0"/>
      <w:marTop w:val="0"/>
      <w:marBottom w:val="0"/>
      <w:divBdr>
        <w:top w:val="none" w:sz="0" w:space="0" w:color="auto"/>
        <w:left w:val="none" w:sz="0" w:space="0" w:color="auto"/>
        <w:bottom w:val="none" w:sz="0" w:space="0" w:color="auto"/>
        <w:right w:val="none" w:sz="0" w:space="0" w:color="auto"/>
      </w:divBdr>
      <w:divsChild>
        <w:div w:id="24143311">
          <w:marLeft w:val="0"/>
          <w:marRight w:val="0"/>
          <w:marTop w:val="0"/>
          <w:marBottom w:val="0"/>
          <w:divBdr>
            <w:top w:val="none" w:sz="0" w:space="0" w:color="auto"/>
            <w:left w:val="none" w:sz="0" w:space="0" w:color="auto"/>
            <w:bottom w:val="none" w:sz="0" w:space="0" w:color="auto"/>
            <w:right w:val="none" w:sz="0" w:space="0" w:color="auto"/>
          </w:divBdr>
          <w:divsChild>
            <w:div w:id="4929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85428">
      <w:bodyDiv w:val="1"/>
      <w:marLeft w:val="0"/>
      <w:marRight w:val="0"/>
      <w:marTop w:val="0"/>
      <w:marBottom w:val="0"/>
      <w:divBdr>
        <w:top w:val="none" w:sz="0" w:space="0" w:color="auto"/>
        <w:left w:val="none" w:sz="0" w:space="0" w:color="auto"/>
        <w:bottom w:val="none" w:sz="0" w:space="0" w:color="auto"/>
        <w:right w:val="none" w:sz="0" w:space="0" w:color="auto"/>
      </w:divBdr>
    </w:div>
    <w:div w:id="1401636624">
      <w:bodyDiv w:val="1"/>
      <w:marLeft w:val="0"/>
      <w:marRight w:val="0"/>
      <w:marTop w:val="0"/>
      <w:marBottom w:val="0"/>
      <w:divBdr>
        <w:top w:val="none" w:sz="0" w:space="0" w:color="auto"/>
        <w:left w:val="none" w:sz="0" w:space="0" w:color="auto"/>
        <w:bottom w:val="none" w:sz="0" w:space="0" w:color="auto"/>
        <w:right w:val="none" w:sz="0" w:space="0" w:color="auto"/>
      </w:divBdr>
    </w:div>
    <w:div w:id="1443845593">
      <w:bodyDiv w:val="1"/>
      <w:marLeft w:val="0"/>
      <w:marRight w:val="0"/>
      <w:marTop w:val="0"/>
      <w:marBottom w:val="0"/>
      <w:divBdr>
        <w:top w:val="none" w:sz="0" w:space="0" w:color="auto"/>
        <w:left w:val="none" w:sz="0" w:space="0" w:color="auto"/>
        <w:bottom w:val="none" w:sz="0" w:space="0" w:color="auto"/>
        <w:right w:val="none" w:sz="0" w:space="0" w:color="auto"/>
      </w:divBdr>
    </w:div>
    <w:div w:id="1468546323">
      <w:bodyDiv w:val="1"/>
      <w:marLeft w:val="0"/>
      <w:marRight w:val="0"/>
      <w:marTop w:val="0"/>
      <w:marBottom w:val="0"/>
      <w:divBdr>
        <w:top w:val="none" w:sz="0" w:space="0" w:color="auto"/>
        <w:left w:val="none" w:sz="0" w:space="0" w:color="auto"/>
        <w:bottom w:val="none" w:sz="0" w:space="0" w:color="auto"/>
        <w:right w:val="none" w:sz="0" w:space="0" w:color="auto"/>
      </w:divBdr>
    </w:div>
    <w:div w:id="1535998004">
      <w:bodyDiv w:val="1"/>
      <w:marLeft w:val="0"/>
      <w:marRight w:val="0"/>
      <w:marTop w:val="0"/>
      <w:marBottom w:val="0"/>
      <w:divBdr>
        <w:top w:val="none" w:sz="0" w:space="0" w:color="auto"/>
        <w:left w:val="none" w:sz="0" w:space="0" w:color="auto"/>
        <w:bottom w:val="none" w:sz="0" w:space="0" w:color="auto"/>
        <w:right w:val="none" w:sz="0" w:space="0" w:color="auto"/>
      </w:divBdr>
      <w:divsChild>
        <w:div w:id="596409612">
          <w:marLeft w:val="0"/>
          <w:marRight w:val="0"/>
          <w:marTop w:val="0"/>
          <w:marBottom w:val="0"/>
          <w:divBdr>
            <w:top w:val="none" w:sz="0" w:space="0" w:color="auto"/>
            <w:left w:val="none" w:sz="0" w:space="0" w:color="auto"/>
            <w:bottom w:val="none" w:sz="0" w:space="0" w:color="auto"/>
            <w:right w:val="none" w:sz="0" w:space="0" w:color="auto"/>
          </w:divBdr>
          <w:divsChild>
            <w:div w:id="16250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5818">
      <w:bodyDiv w:val="1"/>
      <w:marLeft w:val="0"/>
      <w:marRight w:val="0"/>
      <w:marTop w:val="0"/>
      <w:marBottom w:val="0"/>
      <w:divBdr>
        <w:top w:val="none" w:sz="0" w:space="0" w:color="auto"/>
        <w:left w:val="none" w:sz="0" w:space="0" w:color="auto"/>
        <w:bottom w:val="none" w:sz="0" w:space="0" w:color="auto"/>
        <w:right w:val="none" w:sz="0" w:space="0" w:color="auto"/>
      </w:divBdr>
    </w:div>
    <w:div w:id="1604262358">
      <w:bodyDiv w:val="1"/>
      <w:marLeft w:val="0"/>
      <w:marRight w:val="0"/>
      <w:marTop w:val="0"/>
      <w:marBottom w:val="0"/>
      <w:divBdr>
        <w:top w:val="none" w:sz="0" w:space="0" w:color="auto"/>
        <w:left w:val="none" w:sz="0" w:space="0" w:color="auto"/>
        <w:bottom w:val="none" w:sz="0" w:space="0" w:color="auto"/>
        <w:right w:val="none" w:sz="0" w:space="0" w:color="auto"/>
      </w:divBdr>
    </w:div>
    <w:div w:id="1642537722">
      <w:bodyDiv w:val="1"/>
      <w:marLeft w:val="0"/>
      <w:marRight w:val="0"/>
      <w:marTop w:val="0"/>
      <w:marBottom w:val="0"/>
      <w:divBdr>
        <w:top w:val="none" w:sz="0" w:space="0" w:color="auto"/>
        <w:left w:val="none" w:sz="0" w:space="0" w:color="auto"/>
        <w:bottom w:val="none" w:sz="0" w:space="0" w:color="auto"/>
        <w:right w:val="none" w:sz="0" w:space="0" w:color="auto"/>
      </w:divBdr>
    </w:div>
    <w:div w:id="1683775583">
      <w:bodyDiv w:val="1"/>
      <w:marLeft w:val="0"/>
      <w:marRight w:val="0"/>
      <w:marTop w:val="0"/>
      <w:marBottom w:val="0"/>
      <w:divBdr>
        <w:top w:val="none" w:sz="0" w:space="0" w:color="auto"/>
        <w:left w:val="none" w:sz="0" w:space="0" w:color="auto"/>
        <w:bottom w:val="none" w:sz="0" w:space="0" w:color="auto"/>
        <w:right w:val="none" w:sz="0" w:space="0" w:color="auto"/>
      </w:divBdr>
    </w:div>
    <w:div w:id="1691907395">
      <w:bodyDiv w:val="1"/>
      <w:marLeft w:val="0"/>
      <w:marRight w:val="0"/>
      <w:marTop w:val="0"/>
      <w:marBottom w:val="0"/>
      <w:divBdr>
        <w:top w:val="none" w:sz="0" w:space="0" w:color="auto"/>
        <w:left w:val="none" w:sz="0" w:space="0" w:color="auto"/>
        <w:bottom w:val="none" w:sz="0" w:space="0" w:color="auto"/>
        <w:right w:val="none" w:sz="0" w:space="0" w:color="auto"/>
      </w:divBdr>
    </w:div>
    <w:div w:id="1725791941">
      <w:bodyDiv w:val="1"/>
      <w:marLeft w:val="0"/>
      <w:marRight w:val="0"/>
      <w:marTop w:val="0"/>
      <w:marBottom w:val="0"/>
      <w:divBdr>
        <w:top w:val="none" w:sz="0" w:space="0" w:color="auto"/>
        <w:left w:val="none" w:sz="0" w:space="0" w:color="auto"/>
        <w:bottom w:val="none" w:sz="0" w:space="0" w:color="auto"/>
        <w:right w:val="none" w:sz="0" w:space="0" w:color="auto"/>
      </w:divBdr>
    </w:div>
    <w:div w:id="1781221323">
      <w:bodyDiv w:val="1"/>
      <w:marLeft w:val="0"/>
      <w:marRight w:val="0"/>
      <w:marTop w:val="0"/>
      <w:marBottom w:val="0"/>
      <w:divBdr>
        <w:top w:val="none" w:sz="0" w:space="0" w:color="auto"/>
        <w:left w:val="none" w:sz="0" w:space="0" w:color="auto"/>
        <w:bottom w:val="none" w:sz="0" w:space="0" w:color="auto"/>
        <w:right w:val="none" w:sz="0" w:space="0" w:color="auto"/>
      </w:divBdr>
    </w:div>
    <w:div w:id="1819109594">
      <w:bodyDiv w:val="1"/>
      <w:marLeft w:val="0"/>
      <w:marRight w:val="0"/>
      <w:marTop w:val="0"/>
      <w:marBottom w:val="0"/>
      <w:divBdr>
        <w:top w:val="none" w:sz="0" w:space="0" w:color="auto"/>
        <w:left w:val="none" w:sz="0" w:space="0" w:color="auto"/>
        <w:bottom w:val="none" w:sz="0" w:space="0" w:color="auto"/>
        <w:right w:val="none" w:sz="0" w:space="0" w:color="auto"/>
      </w:divBdr>
    </w:div>
    <w:div w:id="1943995235">
      <w:bodyDiv w:val="1"/>
      <w:marLeft w:val="0"/>
      <w:marRight w:val="0"/>
      <w:marTop w:val="0"/>
      <w:marBottom w:val="0"/>
      <w:divBdr>
        <w:top w:val="none" w:sz="0" w:space="0" w:color="auto"/>
        <w:left w:val="none" w:sz="0" w:space="0" w:color="auto"/>
        <w:bottom w:val="none" w:sz="0" w:space="0" w:color="auto"/>
        <w:right w:val="none" w:sz="0" w:space="0" w:color="auto"/>
      </w:divBdr>
    </w:div>
    <w:div w:id="1959023526">
      <w:bodyDiv w:val="1"/>
      <w:marLeft w:val="0"/>
      <w:marRight w:val="0"/>
      <w:marTop w:val="0"/>
      <w:marBottom w:val="0"/>
      <w:divBdr>
        <w:top w:val="none" w:sz="0" w:space="0" w:color="auto"/>
        <w:left w:val="none" w:sz="0" w:space="0" w:color="auto"/>
        <w:bottom w:val="none" w:sz="0" w:space="0" w:color="auto"/>
        <w:right w:val="none" w:sz="0" w:space="0" w:color="auto"/>
      </w:divBdr>
      <w:divsChild>
        <w:div w:id="117727165">
          <w:marLeft w:val="0"/>
          <w:marRight w:val="0"/>
          <w:marTop w:val="0"/>
          <w:marBottom w:val="0"/>
          <w:divBdr>
            <w:top w:val="none" w:sz="0" w:space="0" w:color="auto"/>
            <w:left w:val="none" w:sz="0" w:space="0" w:color="auto"/>
            <w:bottom w:val="none" w:sz="0" w:space="0" w:color="auto"/>
            <w:right w:val="none" w:sz="0" w:space="0" w:color="auto"/>
          </w:divBdr>
          <w:divsChild>
            <w:div w:id="18392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7102">
      <w:bodyDiv w:val="1"/>
      <w:marLeft w:val="0"/>
      <w:marRight w:val="0"/>
      <w:marTop w:val="0"/>
      <w:marBottom w:val="0"/>
      <w:divBdr>
        <w:top w:val="none" w:sz="0" w:space="0" w:color="auto"/>
        <w:left w:val="none" w:sz="0" w:space="0" w:color="auto"/>
        <w:bottom w:val="none" w:sz="0" w:space="0" w:color="auto"/>
        <w:right w:val="none" w:sz="0" w:space="0" w:color="auto"/>
      </w:divBdr>
    </w:div>
    <w:div w:id="1990671598">
      <w:bodyDiv w:val="1"/>
      <w:marLeft w:val="0"/>
      <w:marRight w:val="0"/>
      <w:marTop w:val="0"/>
      <w:marBottom w:val="0"/>
      <w:divBdr>
        <w:top w:val="none" w:sz="0" w:space="0" w:color="auto"/>
        <w:left w:val="none" w:sz="0" w:space="0" w:color="auto"/>
        <w:bottom w:val="none" w:sz="0" w:space="0" w:color="auto"/>
        <w:right w:val="none" w:sz="0" w:space="0" w:color="auto"/>
      </w:divBdr>
    </w:div>
    <w:div w:id="21414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6F4A7-5A18-4252-8FE0-EFFA92C9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1440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harbers</dc:creator>
  <cp:lastModifiedBy>Sarah Harber</cp:lastModifiedBy>
  <cp:revision>3</cp:revision>
  <cp:lastPrinted>2015-04-07T06:57:00Z</cp:lastPrinted>
  <dcterms:created xsi:type="dcterms:W3CDTF">2015-04-07T06:56:00Z</dcterms:created>
  <dcterms:modified xsi:type="dcterms:W3CDTF">2015-04-07T06:59:00Z</dcterms:modified>
</cp:coreProperties>
</file>