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45" w:rsidRDefault="00843A45"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210ABC" w:rsidRDefault="00210ABC" w:rsidP="00B62B11">
      <w:pPr>
        <w:suppressAutoHyphens/>
        <w:spacing w:after="0" w:line="240" w:lineRule="auto"/>
        <w:rPr>
          <w:rFonts w:ascii="Arial" w:eastAsia="Calibri" w:hAnsi="Arial" w:cs="Arial"/>
          <w:b/>
          <w:color w:val="00000A"/>
          <w:sz w:val="24"/>
          <w:szCs w:val="24"/>
          <w:lang w:eastAsia="ar-SA"/>
        </w:rPr>
      </w:pPr>
    </w:p>
    <w:p w:rsidR="00843A45" w:rsidRDefault="00843A45" w:rsidP="00B62B11">
      <w:pPr>
        <w:suppressAutoHyphens/>
        <w:spacing w:after="0" w:line="240" w:lineRule="auto"/>
        <w:rPr>
          <w:rFonts w:ascii="Arial" w:eastAsia="Calibri" w:hAnsi="Arial" w:cs="Arial"/>
          <w:b/>
          <w:color w:val="00000A"/>
          <w:sz w:val="24"/>
          <w:szCs w:val="24"/>
          <w:lang w:eastAsia="ar-SA"/>
        </w:rPr>
      </w:pPr>
    </w:p>
    <w:p w:rsidR="00843A45" w:rsidRDefault="00843A45" w:rsidP="00B62B11">
      <w:pPr>
        <w:suppressAutoHyphens/>
        <w:spacing w:after="0" w:line="240" w:lineRule="auto"/>
        <w:rPr>
          <w:rFonts w:ascii="Arial" w:eastAsia="Calibri" w:hAnsi="Arial" w:cs="Arial"/>
          <w:b/>
          <w:color w:val="00000A"/>
          <w:sz w:val="24"/>
          <w:szCs w:val="24"/>
          <w:lang w:eastAsia="ar-SA"/>
        </w:rPr>
      </w:pPr>
    </w:p>
    <w:p w:rsidR="00843A45" w:rsidRDefault="00843A45" w:rsidP="00B62B11">
      <w:pPr>
        <w:suppressAutoHyphens/>
        <w:spacing w:after="0" w:line="240" w:lineRule="auto"/>
        <w:rPr>
          <w:rFonts w:ascii="Arial" w:eastAsia="Calibri" w:hAnsi="Arial" w:cs="Arial"/>
          <w:b/>
          <w:color w:val="00000A"/>
          <w:sz w:val="24"/>
          <w:szCs w:val="24"/>
          <w:lang w:eastAsia="ar-SA"/>
        </w:rPr>
      </w:pPr>
    </w:p>
    <w:p w:rsidR="003508D5" w:rsidRDefault="003508D5" w:rsidP="00B62B11">
      <w:pPr>
        <w:suppressAutoHyphens/>
        <w:spacing w:after="0" w:line="240" w:lineRule="auto"/>
        <w:rPr>
          <w:rFonts w:ascii="Arial" w:eastAsia="Calibri" w:hAnsi="Arial" w:cs="Arial"/>
          <w:b/>
          <w:color w:val="00000A"/>
          <w:sz w:val="24"/>
          <w:szCs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3508D5" w:rsidTr="003508D5">
        <w:tc>
          <w:tcPr>
            <w:tcW w:w="2972" w:type="dxa"/>
          </w:tcPr>
          <w:p w:rsidR="003508D5" w:rsidRDefault="003508D5" w:rsidP="003508D5">
            <w:pPr>
              <w:suppressAutoHyphens/>
              <w:rPr>
                <w:rFonts w:ascii="Arial" w:hAnsi="Arial" w:cs="Arial"/>
                <w:b/>
                <w:color w:val="00000A"/>
                <w:sz w:val="24"/>
                <w:szCs w:val="24"/>
                <w:lang w:eastAsia="ar-SA"/>
              </w:rPr>
            </w:pPr>
            <w:r>
              <w:rPr>
                <w:rFonts w:ascii="Arial" w:hAnsi="Arial" w:cs="Arial"/>
                <w:b/>
                <w:color w:val="00000A"/>
                <w:sz w:val="24"/>
                <w:szCs w:val="24"/>
                <w:lang w:eastAsia="ar-SA"/>
              </w:rPr>
              <w:t>SUBMISSON TO:</w:t>
            </w:r>
          </w:p>
          <w:p w:rsidR="003508D5" w:rsidRDefault="003508D5" w:rsidP="00B62B11">
            <w:pPr>
              <w:suppressAutoHyphens/>
              <w:rPr>
                <w:rFonts w:ascii="Arial" w:hAnsi="Arial" w:cs="Arial"/>
                <w:b/>
                <w:color w:val="00000A"/>
                <w:sz w:val="24"/>
                <w:szCs w:val="24"/>
                <w:lang w:eastAsia="ar-SA"/>
              </w:rPr>
            </w:pPr>
          </w:p>
        </w:tc>
        <w:tc>
          <w:tcPr>
            <w:tcW w:w="6044" w:type="dxa"/>
          </w:tcPr>
          <w:p w:rsidR="003508D5" w:rsidRPr="00210ABC" w:rsidRDefault="007652FE" w:rsidP="00B62B11">
            <w:pPr>
              <w:suppressAutoHyphens/>
              <w:rPr>
                <w:rFonts w:ascii="Arial" w:hAnsi="Arial" w:cs="Arial"/>
                <w:color w:val="00000A"/>
                <w:sz w:val="24"/>
                <w:szCs w:val="24"/>
                <w:lang w:eastAsia="ar-SA"/>
              </w:rPr>
            </w:pPr>
            <w:r>
              <w:rPr>
                <w:rFonts w:ascii="Arial" w:hAnsi="Arial" w:cs="Arial"/>
                <w:color w:val="00000A"/>
                <w:sz w:val="24"/>
                <w:szCs w:val="24"/>
                <w:lang w:eastAsia="ar-SA"/>
              </w:rPr>
              <w:t>Department of Infrastructure, Regional Development and Cities</w:t>
            </w:r>
          </w:p>
          <w:p w:rsidR="003508D5" w:rsidRDefault="003508D5" w:rsidP="00B62B11">
            <w:pPr>
              <w:suppressAutoHyphens/>
              <w:rPr>
                <w:rFonts w:ascii="Arial" w:hAnsi="Arial" w:cs="Arial"/>
                <w:b/>
                <w:color w:val="00000A"/>
                <w:sz w:val="24"/>
                <w:szCs w:val="24"/>
                <w:lang w:eastAsia="ar-SA"/>
              </w:rPr>
            </w:pPr>
          </w:p>
        </w:tc>
      </w:tr>
      <w:tr w:rsidR="003508D5" w:rsidTr="003508D5">
        <w:tc>
          <w:tcPr>
            <w:tcW w:w="2972" w:type="dxa"/>
          </w:tcPr>
          <w:p w:rsidR="003508D5" w:rsidRDefault="003508D5" w:rsidP="003508D5">
            <w:pPr>
              <w:suppressAutoHyphens/>
              <w:rPr>
                <w:rFonts w:ascii="Arial" w:hAnsi="Arial" w:cs="Arial"/>
                <w:b/>
                <w:color w:val="00000A"/>
                <w:sz w:val="24"/>
                <w:szCs w:val="24"/>
                <w:lang w:eastAsia="ar-SA"/>
              </w:rPr>
            </w:pPr>
            <w:r>
              <w:rPr>
                <w:rFonts w:ascii="Arial" w:hAnsi="Arial" w:cs="Arial"/>
                <w:b/>
                <w:color w:val="00000A"/>
                <w:sz w:val="24"/>
                <w:szCs w:val="24"/>
                <w:lang w:eastAsia="ar-SA"/>
              </w:rPr>
              <w:t>TITLE:</w:t>
            </w:r>
          </w:p>
          <w:p w:rsidR="003508D5" w:rsidRDefault="003508D5" w:rsidP="00B62B11">
            <w:pPr>
              <w:suppressAutoHyphens/>
              <w:rPr>
                <w:rFonts w:ascii="Arial" w:hAnsi="Arial" w:cs="Arial"/>
                <w:b/>
                <w:color w:val="00000A"/>
                <w:sz w:val="24"/>
                <w:szCs w:val="24"/>
                <w:lang w:eastAsia="ar-SA"/>
              </w:rPr>
            </w:pPr>
          </w:p>
        </w:tc>
        <w:tc>
          <w:tcPr>
            <w:tcW w:w="6044" w:type="dxa"/>
          </w:tcPr>
          <w:p w:rsidR="003508D5" w:rsidRPr="00210ABC" w:rsidRDefault="003508D5" w:rsidP="00B62B11">
            <w:pPr>
              <w:suppressAutoHyphens/>
              <w:rPr>
                <w:rFonts w:ascii="Arial" w:hAnsi="Arial" w:cs="Arial"/>
                <w:color w:val="00000A"/>
                <w:sz w:val="24"/>
                <w:szCs w:val="24"/>
                <w:lang w:eastAsia="ar-SA"/>
              </w:rPr>
            </w:pPr>
            <w:r w:rsidRPr="00210ABC">
              <w:rPr>
                <w:rFonts w:ascii="Arial" w:hAnsi="Arial" w:cs="Arial"/>
                <w:color w:val="00000A"/>
                <w:sz w:val="24"/>
                <w:szCs w:val="24"/>
                <w:lang w:eastAsia="ar-SA"/>
              </w:rPr>
              <w:t xml:space="preserve">Inquiry into </w:t>
            </w:r>
            <w:r w:rsidR="007652FE">
              <w:rPr>
                <w:rFonts w:ascii="Arial" w:hAnsi="Arial" w:cs="Arial"/>
                <w:color w:val="00000A"/>
                <w:sz w:val="24"/>
                <w:szCs w:val="24"/>
                <w:lang w:eastAsia="ar-SA"/>
              </w:rPr>
              <w:t>the National Road Safety Strategy 2011-2020</w:t>
            </w:r>
          </w:p>
          <w:p w:rsidR="003508D5" w:rsidRPr="00210ABC" w:rsidRDefault="003508D5" w:rsidP="00B62B11">
            <w:pPr>
              <w:suppressAutoHyphens/>
              <w:rPr>
                <w:rFonts w:ascii="Arial" w:hAnsi="Arial" w:cs="Arial"/>
                <w:color w:val="00000A"/>
                <w:sz w:val="24"/>
                <w:szCs w:val="24"/>
                <w:lang w:eastAsia="ar-SA"/>
              </w:rPr>
            </w:pPr>
          </w:p>
        </w:tc>
      </w:tr>
      <w:tr w:rsidR="003508D5" w:rsidTr="003508D5">
        <w:tc>
          <w:tcPr>
            <w:tcW w:w="2972" w:type="dxa"/>
          </w:tcPr>
          <w:p w:rsidR="003508D5" w:rsidRDefault="003508D5" w:rsidP="003508D5">
            <w:pPr>
              <w:suppressAutoHyphens/>
              <w:rPr>
                <w:rFonts w:ascii="Arial" w:hAnsi="Arial" w:cs="Arial"/>
                <w:b/>
                <w:color w:val="00000A"/>
                <w:sz w:val="24"/>
                <w:szCs w:val="24"/>
                <w:lang w:eastAsia="ar-SA"/>
              </w:rPr>
            </w:pPr>
            <w:r>
              <w:rPr>
                <w:rFonts w:ascii="Arial" w:hAnsi="Arial" w:cs="Arial"/>
                <w:b/>
                <w:color w:val="00000A"/>
                <w:sz w:val="24"/>
                <w:szCs w:val="24"/>
                <w:lang w:eastAsia="ar-SA"/>
              </w:rPr>
              <w:t>DATE:</w:t>
            </w:r>
          </w:p>
          <w:p w:rsidR="003508D5" w:rsidRDefault="003508D5" w:rsidP="00B62B11">
            <w:pPr>
              <w:suppressAutoHyphens/>
              <w:rPr>
                <w:rFonts w:ascii="Arial" w:hAnsi="Arial" w:cs="Arial"/>
                <w:b/>
                <w:color w:val="00000A"/>
                <w:sz w:val="24"/>
                <w:szCs w:val="24"/>
                <w:lang w:eastAsia="ar-SA"/>
              </w:rPr>
            </w:pPr>
          </w:p>
        </w:tc>
        <w:tc>
          <w:tcPr>
            <w:tcW w:w="6044" w:type="dxa"/>
          </w:tcPr>
          <w:p w:rsidR="003508D5" w:rsidRPr="00210ABC" w:rsidRDefault="007652FE" w:rsidP="00B62B11">
            <w:pPr>
              <w:suppressAutoHyphens/>
              <w:rPr>
                <w:rFonts w:ascii="Arial" w:hAnsi="Arial" w:cs="Arial"/>
                <w:color w:val="00000A"/>
                <w:sz w:val="24"/>
                <w:szCs w:val="24"/>
                <w:lang w:eastAsia="ar-SA"/>
              </w:rPr>
            </w:pPr>
            <w:r>
              <w:rPr>
                <w:rFonts w:ascii="Arial" w:hAnsi="Arial" w:cs="Arial"/>
                <w:color w:val="00000A"/>
                <w:sz w:val="24"/>
                <w:szCs w:val="24"/>
                <w:lang w:eastAsia="ar-SA"/>
              </w:rPr>
              <w:t>02 March</w:t>
            </w:r>
            <w:r w:rsidR="003508D5" w:rsidRPr="00210ABC">
              <w:rPr>
                <w:rFonts w:ascii="Arial" w:hAnsi="Arial" w:cs="Arial"/>
                <w:color w:val="00000A"/>
                <w:sz w:val="24"/>
                <w:szCs w:val="24"/>
                <w:lang w:eastAsia="ar-SA"/>
              </w:rPr>
              <w:t xml:space="preserve"> 2018</w:t>
            </w:r>
          </w:p>
        </w:tc>
      </w:tr>
      <w:tr w:rsidR="003508D5" w:rsidTr="003508D5">
        <w:tc>
          <w:tcPr>
            <w:tcW w:w="2972" w:type="dxa"/>
          </w:tcPr>
          <w:p w:rsidR="003508D5" w:rsidRDefault="003508D5" w:rsidP="003508D5">
            <w:pPr>
              <w:suppressAutoHyphens/>
              <w:rPr>
                <w:rFonts w:ascii="Arial" w:hAnsi="Arial" w:cs="Arial"/>
                <w:b/>
                <w:color w:val="00000A"/>
                <w:sz w:val="24"/>
                <w:szCs w:val="24"/>
                <w:lang w:eastAsia="ar-SA"/>
              </w:rPr>
            </w:pPr>
          </w:p>
          <w:p w:rsidR="003508D5" w:rsidRDefault="003508D5" w:rsidP="003508D5">
            <w:pPr>
              <w:suppressAutoHyphens/>
              <w:rPr>
                <w:rFonts w:ascii="Arial" w:hAnsi="Arial" w:cs="Arial"/>
                <w:b/>
                <w:color w:val="00000A"/>
                <w:sz w:val="24"/>
                <w:szCs w:val="24"/>
                <w:lang w:eastAsia="ar-SA"/>
              </w:rPr>
            </w:pPr>
            <w:r>
              <w:rPr>
                <w:rFonts w:ascii="Arial" w:hAnsi="Arial" w:cs="Arial"/>
                <w:b/>
                <w:color w:val="00000A"/>
                <w:sz w:val="24"/>
                <w:szCs w:val="24"/>
                <w:lang w:eastAsia="ar-SA"/>
              </w:rPr>
              <w:t>AUTHORISED BY:</w:t>
            </w:r>
          </w:p>
          <w:p w:rsidR="003508D5" w:rsidRDefault="003508D5" w:rsidP="00B62B11">
            <w:pPr>
              <w:suppressAutoHyphens/>
              <w:rPr>
                <w:rFonts w:ascii="Arial" w:hAnsi="Arial" w:cs="Arial"/>
                <w:b/>
                <w:color w:val="00000A"/>
                <w:sz w:val="24"/>
                <w:szCs w:val="24"/>
                <w:lang w:eastAsia="ar-SA"/>
              </w:rPr>
            </w:pPr>
          </w:p>
        </w:tc>
        <w:tc>
          <w:tcPr>
            <w:tcW w:w="6044" w:type="dxa"/>
          </w:tcPr>
          <w:p w:rsidR="003508D5" w:rsidRPr="00210ABC" w:rsidRDefault="003508D5" w:rsidP="00B62B11">
            <w:pPr>
              <w:suppressAutoHyphens/>
              <w:rPr>
                <w:rFonts w:ascii="Arial" w:hAnsi="Arial" w:cs="Arial"/>
                <w:color w:val="00000A"/>
                <w:sz w:val="24"/>
                <w:szCs w:val="24"/>
                <w:lang w:eastAsia="ar-SA"/>
              </w:rPr>
            </w:pPr>
          </w:p>
          <w:p w:rsidR="003508D5" w:rsidRPr="00210ABC" w:rsidRDefault="003508D5" w:rsidP="00B62B11">
            <w:pPr>
              <w:suppressAutoHyphens/>
              <w:rPr>
                <w:rFonts w:ascii="Arial" w:hAnsi="Arial" w:cs="Arial"/>
                <w:color w:val="00000A"/>
                <w:sz w:val="24"/>
                <w:szCs w:val="24"/>
                <w:lang w:eastAsia="ar-SA"/>
              </w:rPr>
            </w:pPr>
            <w:r w:rsidRPr="00210ABC">
              <w:rPr>
                <w:rFonts w:ascii="Arial" w:hAnsi="Arial" w:cs="Arial"/>
                <w:color w:val="00000A"/>
                <w:sz w:val="24"/>
                <w:szCs w:val="24"/>
                <w:lang w:eastAsia="ar-SA"/>
              </w:rPr>
              <w:t xml:space="preserve">Bill McKinley </w:t>
            </w:r>
          </w:p>
          <w:p w:rsidR="003508D5" w:rsidRPr="00210ABC" w:rsidRDefault="003508D5" w:rsidP="00B62B11">
            <w:pPr>
              <w:suppressAutoHyphens/>
              <w:rPr>
                <w:rFonts w:ascii="Arial" w:hAnsi="Arial" w:cs="Arial"/>
                <w:color w:val="00000A"/>
                <w:sz w:val="24"/>
                <w:szCs w:val="24"/>
                <w:lang w:eastAsia="ar-SA"/>
              </w:rPr>
            </w:pPr>
            <w:r w:rsidRPr="00210ABC">
              <w:rPr>
                <w:rFonts w:ascii="Arial" w:hAnsi="Arial" w:cs="Arial"/>
                <w:color w:val="00000A"/>
                <w:sz w:val="24"/>
                <w:szCs w:val="24"/>
                <w:lang w:eastAsia="ar-SA"/>
              </w:rPr>
              <w:t>Chief of Staff</w:t>
            </w:r>
          </w:p>
          <w:p w:rsidR="003508D5" w:rsidRPr="00210ABC" w:rsidRDefault="003508D5" w:rsidP="00A1218D">
            <w:pPr>
              <w:suppressAutoHyphens/>
              <w:rPr>
                <w:rFonts w:ascii="Arial" w:hAnsi="Arial" w:cs="Arial"/>
                <w:color w:val="00000A"/>
                <w:sz w:val="24"/>
                <w:szCs w:val="24"/>
                <w:lang w:eastAsia="ar-SA"/>
              </w:rPr>
            </w:pPr>
          </w:p>
        </w:tc>
      </w:tr>
    </w:tbl>
    <w:p w:rsidR="00843A45" w:rsidRDefault="00843A45" w:rsidP="00B62B11">
      <w:pPr>
        <w:suppressAutoHyphens/>
        <w:spacing w:after="0" w:line="240" w:lineRule="auto"/>
        <w:rPr>
          <w:rFonts w:ascii="Arial" w:eastAsia="Calibri" w:hAnsi="Arial" w:cs="Arial"/>
          <w:b/>
          <w:color w:val="00000A"/>
          <w:sz w:val="24"/>
          <w:szCs w:val="24"/>
          <w:lang w:eastAsia="ar-SA"/>
        </w:rPr>
      </w:pPr>
    </w:p>
    <w:p w:rsidR="00843A45" w:rsidRDefault="00843A45" w:rsidP="00B62B11">
      <w:pPr>
        <w:suppressAutoHyphens/>
        <w:spacing w:after="0" w:line="240" w:lineRule="auto"/>
        <w:rPr>
          <w:rFonts w:ascii="Arial" w:eastAsia="Calibri" w:hAnsi="Arial" w:cs="Arial"/>
          <w:b/>
          <w:color w:val="00000A"/>
          <w:sz w:val="24"/>
          <w:szCs w:val="24"/>
          <w:lang w:eastAsia="ar-SA"/>
        </w:rPr>
      </w:pPr>
    </w:p>
    <w:p w:rsidR="00843A45" w:rsidRDefault="00843A45" w:rsidP="00B62B11">
      <w:pPr>
        <w:suppressAutoHyphens/>
        <w:spacing w:after="0" w:line="240" w:lineRule="auto"/>
        <w:rPr>
          <w:rFonts w:ascii="Arial" w:eastAsia="Calibri" w:hAnsi="Arial" w:cs="Arial"/>
          <w:b/>
          <w:color w:val="00000A"/>
          <w:sz w:val="24"/>
          <w:szCs w:val="24"/>
          <w:lang w:eastAsia="ar-SA"/>
        </w:rPr>
      </w:pPr>
    </w:p>
    <w:p w:rsidR="00843A45" w:rsidRDefault="00843A45" w:rsidP="00B62B11">
      <w:pPr>
        <w:suppressAutoHyphens/>
        <w:spacing w:after="0" w:line="240" w:lineRule="auto"/>
        <w:rPr>
          <w:rFonts w:ascii="Arial" w:eastAsia="Calibri" w:hAnsi="Arial" w:cs="Arial"/>
          <w:b/>
          <w:color w:val="00000A"/>
          <w:sz w:val="24"/>
          <w:szCs w:val="24"/>
          <w:lang w:eastAsia="ar-SA"/>
        </w:rPr>
      </w:pPr>
    </w:p>
    <w:p w:rsidR="00843A45" w:rsidRDefault="00843A45">
      <w:pPr>
        <w:rPr>
          <w:rFonts w:ascii="Arial" w:eastAsia="Calibri" w:hAnsi="Arial" w:cs="Arial"/>
          <w:b/>
          <w:color w:val="00000A"/>
          <w:sz w:val="24"/>
          <w:szCs w:val="24"/>
          <w:lang w:eastAsia="ar-SA"/>
        </w:rPr>
      </w:pPr>
      <w:r>
        <w:rPr>
          <w:rFonts w:ascii="Arial" w:eastAsia="Calibri" w:hAnsi="Arial" w:cs="Arial"/>
          <w:b/>
          <w:color w:val="00000A"/>
          <w:sz w:val="24"/>
          <w:szCs w:val="24"/>
          <w:lang w:eastAsia="ar-SA"/>
        </w:rPr>
        <w:br w:type="page"/>
      </w:r>
    </w:p>
    <w:p w:rsidR="00B62B11" w:rsidRPr="00AD30B2" w:rsidRDefault="00B62B11" w:rsidP="00B62B11">
      <w:pPr>
        <w:numPr>
          <w:ilvl w:val="0"/>
          <w:numId w:val="1"/>
        </w:numPr>
        <w:suppressAutoHyphens/>
        <w:spacing w:after="0" w:line="240" w:lineRule="auto"/>
        <w:rPr>
          <w:rFonts w:ascii="Arial" w:eastAsia="Calibri" w:hAnsi="Arial" w:cs="Arial"/>
          <w:color w:val="00000A"/>
          <w:lang w:eastAsia="ar-SA"/>
        </w:rPr>
      </w:pPr>
      <w:r w:rsidRPr="00AD30B2">
        <w:rPr>
          <w:rFonts w:ascii="Arial" w:eastAsia="Calibri" w:hAnsi="Arial" w:cs="Arial"/>
          <w:b/>
          <w:color w:val="00000A"/>
          <w:lang w:eastAsia="ar-SA"/>
        </w:rPr>
        <w:lastRenderedPageBreak/>
        <w:t>About the Australian Trucking Association</w:t>
      </w:r>
    </w:p>
    <w:p w:rsidR="00B62B11" w:rsidRPr="00FA1B46" w:rsidRDefault="00B62B11" w:rsidP="00B62B11">
      <w:pPr>
        <w:suppressAutoHyphens/>
        <w:spacing w:after="0" w:line="240" w:lineRule="auto"/>
        <w:rPr>
          <w:rFonts w:ascii="Arial" w:eastAsia="Calibri" w:hAnsi="Arial" w:cs="Arial"/>
          <w:color w:val="00000A"/>
          <w:lang w:eastAsia="ar-SA"/>
        </w:rPr>
      </w:pPr>
    </w:p>
    <w:p w:rsidR="00B62B11" w:rsidRPr="00FA1B46" w:rsidRDefault="00B62B11" w:rsidP="00B62B11">
      <w:pPr>
        <w:suppressAutoHyphens/>
        <w:spacing w:after="0" w:line="240" w:lineRule="auto"/>
        <w:rPr>
          <w:rFonts w:ascii="Arial" w:eastAsia="Times New Roman" w:hAnsi="Arial" w:cs="Arial"/>
          <w:color w:val="000000"/>
          <w:lang w:eastAsia="ar-SA"/>
        </w:rPr>
      </w:pPr>
      <w:r w:rsidRPr="00FA1B46">
        <w:rPr>
          <w:rFonts w:ascii="Arial" w:eastAsia="Times New Roman" w:hAnsi="Arial" w:cs="Arial"/>
          <w:color w:val="000000"/>
          <w:lang w:eastAsia="ar-SA"/>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 businesses, ranging from owner drivers to large fleets.</w:t>
      </w:r>
    </w:p>
    <w:p w:rsidR="00B62B11" w:rsidRDefault="00B62B11" w:rsidP="00B62B11">
      <w:pPr>
        <w:suppressAutoHyphens/>
        <w:spacing w:after="0" w:line="240" w:lineRule="auto"/>
        <w:ind w:left="360" w:hanging="360"/>
        <w:outlineLvl w:val="0"/>
        <w:rPr>
          <w:rFonts w:ascii="Arial" w:eastAsia="Calibri" w:hAnsi="Arial" w:cs="Arial"/>
          <w:b/>
          <w:lang w:eastAsia="ar-SA"/>
        </w:rPr>
      </w:pPr>
    </w:p>
    <w:p w:rsidR="00D26104" w:rsidRDefault="00D26104" w:rsidP="00B62B11">
      <w:pPr>
        <w:suppressAutoHyphens/>
        <w:spacing w:after="0" w:line="240" w:lineRule="auto"/>
        <w:ind w:left="360" w:hanging="360"/>
        <w:outlineLvl w:val="0"/>
        <w:rPr>
          <w:rFonts w:ascii="Arial" w:eastAsia="Calibri" w:hAnsi="Arial" w:cs="Arial"/>
          <w:b/>
          <w:lang w:eastAsia="ar-SA"/>
        </w:rPr>
      </w:pPr>
    </w:p>
    <w:p w:rsidR="005E1666" w:rsidRDefault="004E04C4" w:rsidP="004011EB">
      <w:pPr>
        <w:pStyle w:val="ListParagraph"/>
        <w:numPr>
          <w:ilvl w:val="0"/>
          <w:numId w:val="1"/>
        </w:numPr>
        <w:suppressAutoHyphens/>
        <w:spacing w:after="0" w:line="240" w:lineRule="auto"/>
        <w:outlineLvl w:val="0"/>
        <w:rPr>
          <w:rFonts w:ascii="Arial" w:eastAsia="Calibri" w:hAnsi="Arial" w:cs="Arial"/>
          <w:b/>
          <w:lang w:eastAsia="ar-SA"/>
        </w:rPr>
      </w:pPr>
      <w:r w:rsidRPr="00321187">
        <w:rPr>
          <w:rFonts w:ascii="Arial" w:eastAsia="Calibri" w:hAnsi="Arial" w:cs="Arial"/>
          <w:b/>
          <w:lang w:eastAsia="ar-SA"/>
        </w:rPr>
        <w:t xml:space="preserve">Summary of </w:t>
      </w:r>
      <w:r w:rsidR="008022CD">
        <w:rPr>
          <w:rFonts w:ascii="Arial" w:eastAsia="Calibri" w:hAnsi="Arial" w:cs="Arial"/>
          <w:b/>
          <w:lang w:eastAsia="ar-SA"/>
        </w:rPr>
        <w:t>Recommendations</w:t>
      </w:r>
    </w:p>
    <w:p w:rsidR="00321187" w:rsidRPr="00321187" w:rsidRDefault="00321187" w:rsidP="00321187">
      <w:pPr>
        <w:pStyle w:val="ListParagraph"/>
        <w:suppressAutoHyphens/>
        <w:spacing w:after="0" w:line="240" w:lineRule="auto"/>
        <w:ind w:left="360"/>
        <w:outlineLvl w:val="0"/>
        <w:rPr>
          <w:rFonts w:ascii="Arial" w:eastAsia="Calibri" w:hAnsi="Arial" w:cs="Arial"/>
          <w:b/>
          <w:lang w:eastAsia="ar-SA"/>
        </w:rPr>
      </w:pPr>
    </w:p>
    <w:p w:rsidR="003007C4" w:rsidRDefault="003007C4" w:rsidP="003007C4">
      <w:pPr>
        <w:suppressAutoHyphens/>
        <w:spacing w:after="0" w:line="240" w:lineRule="auto"/>
        <w:outlineLvl w:val="0"/>
        <w:rPr>
          <w:rFonts w:ascii="Arial" w:hAnsi="Arial" w:cs="Arial"/>
        </w:rPr>
      </w:pPr>
      <w:r>
        <w:rPr>
          <w:rFonts w:ascii="Arial" w:hAnsi="Arial" w:cs="Arial"/>
          <w:b/>
        </w:rPr>
        <w:t>Recommendation 1</w:t>
      </w:r>
    </w:p>
    <w:p w:rsidR="003007C4" w:rsidRDefault="003007C4" w:rsidP="003007C4">
      <w:pPr>
        <w:suppressAutoHyphens/>
        <w:spacing w:after="0" w:line="240" w:lineRule="auto"/>
        <w:outlineLvl w:val="0"/>
        <w:rPr>
          <w:rFonts w:ascii="Arial" w:hAnsi="Arial" w:cs="Arial"/>
        </w:rPr>
      </w:pPr>
      <w:r>
        <w:rPr>
          <w:rFonts w:ascii="Arial" w:hAnsi="Arial" w:cs="Arial"/>
        </w:rPr>
        <w:t>The Australian Government should require the</w:t>
      </w:r>
      <w:r w:rsidRPr="00860B7C">
        <w:rPr>
          <w:rFonts w:ascii="Arial" w:hAnsi="Arial" w:cs="Arial"/>
        </w:rPr>
        <w:t xml:space="preserve"> fitting of ESC </w:t>
      </w:r>
      <w:r>
        <w:rPr>
          <w:rFonts w:ascii="Arial" w:hAnsi="Arial" w:cs="Arial"/>
        </w:rPr>
        <w:t>for all new trucks and trailers with only a narrow range of exemptions.</w:t>
      </w:r>
    </w:p>
    <w:p w:rsidR="002366AE" w:rsidRDefault="002366AE" w:rsidP="00247A61">
      <w:pPr>
        <w:spacing w:after="0"/>
        <w:rPr>
          <w:rFonts w:ascii="Arial" w:hAnsi="Arial" w:cs="Arial"/>
        </w:rPr>
      </w:pPr>
    </w:p>
    <w:p w:rsidR="00064DA0" w:rsidRDefault="00986640" w:rsidP="00064DA0">
      <w:pPr>
        <w:spacing w:after="0" w:line="240" w:lineRule="auto"/>
        <w:rPr>
          <w:rFonts w:ascii="Arial" w:hAnsi="Arial" w:cs="Arial"/>
          <w:b/>
          <w:bCs/>
          <w:lang w:eastAsia="ar-SA"/>
        </w:rPr>
      </w:pPr>
      <w:r>
        <w:rPr>
          <w:rFonts w:ascii="Arial" w:hAnsi="Arial" w:cs="Arial"/>
          <w:b/>
          <w:bCs/>
          <w:lang w:eastAsia="ar-SA"/>
        </w:rPr>
        <w:t>Recommendation 2</w:t>
      </w:r>
    </w:p>
    <w:p w:rsidR="00064DA0" w:rsidRDefault="00064DA0" w:rsidP="00064DA0">
      <w:pPr>
        <w:spacing w:after="0" w:line="240" w:lineRule="auto"/>
        <w:rPr>
          <w:rFonts w:ascii="Arial" w:hAnsi="Arial" w:cs="Arial"/>
          <w:lang w:eastAsia="ar-SA"/>
        </w:rPr>
      </w:pPr>
      <w:r>
        <w:rPr>
          <w:rFonts w:ascii="Arial" w:hAnsi="Arial" w:cs="Arial"/>
          <w:lang w:eastAsia="ar-SA"/>
        </w:rPr>
        <w:t xml:space="preserve">The Transport and Infrastructure Council should, as a priority, update the Australian Transport Assessment and Planning guidelines to only use willingness to pay for estimating the cost of deaths and injuries in road crashes. </w:t>
      </w:r>
    </w:p>
    <w:p w:rsidR="00064DA0" w:rsidRPr="00064DA0" w:rsidRDefault="00064DA0" w:rsidP="00064DA0">
      <w:pPr>
        <w:spacing w:after="0" w:line="240" w:lineRule="auto"/>
        <w:rPr>
          <w:rFonts w:ascii="Arial" w:hAnsi="Arial" w:cs="Arial"/>
          <w:b/>
          <w:bCs/>
          <w:lang w:eastAsia="ar-SA"/>
        </w:rPr>
      </w:pPr>
    </w:p>
    <w:p w:rsidR="00064DA0" w:rsidRDefault="00986640" w:rsidP="00064DA0">
      <w:pPr>
        <w:spacing w:after="0" w:line="240" w:lineRule="auto"/>
        <w:rPr>
          <w:rFonts w:ascii="Arial" w:hAnsi="Arial" w:cs="Arial"/>
          <w:iCs/>
        </w:rPr>
      </w:pPr>
      <w:r>
        <w:rPr>
          <w:rFonts w:ascii="Arial" w:hAnsi="Arial" w:cs="Arial"/>
          <w:b/>
          <w:iCs/>
        </w:rPr>
        <w:t>Recommendation 3</w:t>
      </w:r>
    </w:p>
    <w:p w:rsidR="00064DA0" w:rsidRPr="006378AB" w:rsidRDefault="00064DA0" w:rsidP="00064DA0">
      <w:pPr>
        <w:spacing w:after="0" w:line="240" w:lineRule="auto"/>
        <w:rPr>
          <w:rFonts w:ascii="Arial" w:hAnsi="Arial" w:cs="Arial"/>
          <w:iCs/>
        </w:rPr>
      </w:pPr>
      <w:r>
        <w:rPr>
          <w:rFonts w:ascii="Arial" w:hAnsi="Arial" w:cs="Arial"/>
          <w:iCs/>
        </w:rPr>
        <w:t xml:space="preserve">For the assessment of transport appraisals, Infrastructure Australia should </w:t>
      </w:r>
      <w:r w:rsidR="00BE7C46">
        <w:rPr>
          <w:rFonts w:ascii="Arial" w:hAnsi="Arial" w:cs="Arial"/>
          <w:iCs/>
        </w:rPr>
        <w:t xml:space="preserve">require </w:t>
      </w:r>
      <w:r>
        <w:rPr>
          <w:rFonts w:ascii="Arial" w:hAnsi="Arial" w:cs="Arial"/>
          <w:iCs/>
        </w:rPr>
        <w:t xml:space="preserve">willingness to pay for estimating the cost of deaths and injuries in road crashes, until the ATAP guidelines are updated to reflect this approach. </w:t>
      </w:r>
    </w:p>
    <w:p w:rsidR="00E15583" w:rsidRDefault="00E15583" w:rsidP="00247A61">
      <w:pPr>
        <w:spacing w:after="0"/>
        <w:rPr>
          <w:rFonts w:ascii="Arial" w:hAnsi="Arial" w:cs="Arial"/>
          <w:b/>
        </w:rPr>
      </w:pPr>
    </w:p>
    <w:p w:rsidR="009E353F" w:rsidRDefault="009E353F" w:rsidP="009E353F">
      <w:pPr>
        <w:spacing w:after="0" w:line="240" w:lineRule="auto"/>
        <w:rPr>
          <w:rFonts w:ascii="Arial" w:hAnsi="Arial" w:cs="Arial"/>
        </w:rPr>
      </w:pPr>
      <w:r>
        <w:rPr>
          <w:rFonts w:ascii="Arial" w:hAnsi="Arial" w:cs="Arial"/>
          <w:b/>
        </w:rPr>
        <w:t>Recommendation 4</w:t>
      </w:r>
    </w:p>
    <w:p w:rsidR="009E353F" w:rsidRDefault="009E353F" w:rsidP="009E353F">
      <w:pPr>
        <w:spacing w:after="0" w:line="240" w:lineRule="auto"/>
        <w:rPr>
          <w:rFonts w:ascii="Arial" w:hAnsi="Arial" w:cs="Arial"/>
        </w:rPr>
      </w:pPr>
      <w:r>
        <w:rPr>
          <w:rFonts w:ascii="Arial" w:hAnsi="Arial" w:cs="Arial"/>
        </w:rPr>
        <w:t xml:space="preserve">The NRSS should encourage the adoption of comprehensive safety and risk truck accreditation systems by extending NHVAS inspection exemptions to </w:t>
      </w:r>
      <w:proofErr w:type="spellStart"/>
      <w:r>
        <w:rPr>
          <w:rFonts w:ascii="Arial" w:hAnsi="Arial" w:cs="Arial"/>
        </w:rPr>
        <w:t>TruckSafe</w:t>
      </w:r>
      <w:proofErr w:type="spellEnd"/>
      <w:r>
        <w:rPr>
          <w:rFonts w:ascii="Arial" w:hAnsi="Arial" w:cs="Arial"/>
        </w:rPr>
        <w:t xml:space="preserve"> operators and other similarly robust systems.</w:t>
      </w:r>
    </w:p>
    <w:p w:rsidR="009E353F" w:rsidRDefault="009E353F" w:rsidP="009E353F">
      <w:pPr>
        <w:spacing w:after="0" w:line="240" w:lineRule="auto"/>
        <w:rPr>
          <w:rFonts w:ascii="Arial" w:hAnsi="Arial" w:cs="Arial"/>
        </w:rPr>
      </w:pPr>
    </w:p>
    <w:p w:rsidR="009E353F" w:rsidRDefault="009E353F" w:rsidP="009E353F">
      <w:pPr>
        <w:spacing w:after="0" w:line="240" w:lineRule="auto"/>
        <w:rPr>
          <w:rFonts w:ascii="Arial" w:hAnsi="Arial" w:cs="Arial"/>
        </w:rPr>
      </w:pPr>
      <w:r>
        <w:rPr>
          <w:rFonts w:ascii="Arial" w:hAnsi="Arial" w:cs="Arial"/>
          <w:b/>
          <w:lang w:eastAsia="en-AU"/>
        </w:rPr>
        <w:t>Recommendation 5</w:t>
      </w:r>
    </w:p>
    <w:p w:rsidR="009E353F" w:rsidRDefault="009E353F" w:rsidP="009E353F">
      <w:pPr>
        <w:spacing w:after="0" w:line="240" w:lineRule="auto"/>
        <w:rPr>
          <w:rFonts w:ascii="Arial" w:hAnsi="Arial" w:cs="Arial"/>
        </w:rPr>
      </w:pPr>
      <w:r>
        <w:rPr>
          <w:rFonts w:ascii="Arial" w:hAnsi="Arial" w:cs="Arial"/>
        </w:rPr>
        <w:t>To ensure the highest safety standards Governments should require that all infrastructure project construction contracts:</w:t>
      </w:r>
    </w:p>
    <w:p w:rsidR="009E353F" w:rsidRPr="005C3AA9" w:rsidRDefault="009E353F" w:rsidP="009E353F">
      <w:pPr>
        <w:pStyle w:val="ListParagraph"/>
        <w:numPr>
          <w:ilvl w:val="0"/>
          <w:numId w:val="22"/>
        </w:numPr>
        <w:spacing w:after="0" w:line="240" w:lineRule="auto"/>
        <w:rPr>
          <w:rFonts w:ascii="Arial" w:hAnsi="Arial" w:cs="Arial"/>
        </w:rPr>
      </w:pPr>
      <w:proofErr w:type="gramStart"/>
      <w:r w:rsidRPr="005C3AA9">
        <w:rPr>
          <w:rFonts w:ascii="Arial" w:eastAsia="Calibri" w:hAnsi="Arial" w:cs="Arial"/>
        </w:rPr>
        <w:t>require</w:t>
      </w:r>
      <w:proofErr w:type="gramEnd"/>
      <w:r w:rsidRPr="005C3AA9">
        <w:rPr>
          <w:rFonts w:ascii="Arial" w:eastAsia="Calibri" w:hAnsi="Arial" w:cs="Arial"/>
        </w:rPr>
        <w:t xml:space="preserve"> project subcontractors to hold </w:t>
      </w:r>
      <w:proofErr w:type="spellStart"/>
      <w:r w:rsidRPr="005C3AA9">
        <w:rPr>
          <w:rFonts w:ascii="Arial" w:eastAsia="Calibri" w:hAnsi="Arial" w:cs="Arial"/>
        </w:rPr>
        <w:t>TruckSafe</w:t>
      </w:r>
      <w:proofErr w:type="spellEnd"/>
      <w:r w:rsidRPr="005C3AA9">
        <w:rPr>
          <w:rFonts w:ascii="Arial" w:eastAsia="Calibri" w:hAnsi="Arial" w:cs="Arial"/>
        </w:rPr>
        <w:t xml:space="preserve"> accreditation, or have other similarly robust safety systems (this requirement should be inclusive of privatised projects and infrastructure).</w:t>
      </w:r>
    </w:p>
    <w:p w:rsidR="009E353F" w:rsidRDefault="009E353F" w:rsidP="00247A61">
      <w:pPr>
        <w:spacing w:after="0"/>
        <w:rPr>
          <w:rFonts w:ascii="Arial" w:hAnsi="Arial" w:cs="Arial"/>
          <w:b/>
        </w:rPr>
      </w:pPr>
    </w:p>
    <w:p w:rsidR="002634D8" w:rsidRDefault="00E15583" w:rsidP="00247A61">
      <w:pPr>
        <w:spacing w:after="0"/>
        <w:rPr>
          <w:rFonts w:ascii="Arial" w:hAnsi="Arial" w:cs="Arial"/>
          <w:b/>
        </w:rPr>
      </w:pPr>
      <w:r>
        <w:rPr>
          <w:rFonts w:ascii="Arial" w:hAnsi="Arial" w:cs="Arial"/>
          <w:b/>
        </w:rPr>
        <w:t>Re</w:t>
      </w:r>
      <w:r w:rsidR="00986640">
        <w:rPr>
          <w:rFonts w:ascii="Arial" w:hAnsi="Arial" w:cs="Arial"/>
          <w:b/>
        </w:rPr>
        <w:t>commendation 6</w:t>
      </w:r>
    </w:p>
    <w:p w:rsidR="002634D8" w:rsidRDefault="002634D8" w:rsidP="00247A61">
      <w:pPr>
        <w:spacing w:after="0"/>
        <w:rPr>
          <w:rFonts w:ascii="Arial" w:hAnsi="Arial" w:cs="Arial"/>
        </w:rPr>
      </w:pPr>
      <w:r>
        <w:rPr>
          <w:rFonts w:ascii="Arial" w:hAnsi="Arial" w:cs="Arial"/>
        </w:rPr>
        <w:t xml:space="preserve">The </w:t>
      </w:r>
      <w:r w:rsidR="004B7623">
        <w:rPr>
          <w:rFonts w:ascii="Arial" w:hAnsi="Arial" w:cs="Arial"/>
        </w:rPr>
        <w:t>review recommend the</w:t>
      </w:r>
      <w:r w:rsidR="00AA6925">
        <w:rPr>
          <w:rFonts w:ascii="Arial" w:hAnsi="Arial" w:cs="Arial"/>
        </w:rPr>
        <w:t xml:space="preserve"> </w:t>
      </w:r>
      <w:r>
        <w:rPr>
          <w:rFonts w:ascii="Arial" w:hAnsi="Arial" w:cs="Arial"/>
        </w:rPr>
        <w:t>implement</w:t>
      </w:r>
      <w:r w:rsidR="004B7623">
        <w:rPr>
          <w:rFonts w:ascii="Arial" w:hAnsi="Arial" w:cs="Arial"/>
        </w:rPr>
        <w:t>ation of</w:t>
      </w:r>
      <w:r>
        <w:rPr>
          <w:rFonts w:ascii="Arial" w:hAnsi="Arial" w:cs="Arial"/>
        </w:rPr>
        <w:t xml:space="preserve"> an ambitious five year national road safety strategy that inspires urgent </w:t>
      </w:r>
      <w:r w:rsidR="00AA6925">
        <w:rPr>
          <w:rFonts w:ascii="Arial" w:hAnsi="Arial" w:cs="Arial"/>
        </w:rPr>
        <w:t xml:space="preserve">completion </w:t>
      </w:r>
      <w:r>
        <w:rPr>
          <w:rFonts w:ascii="Arial" w:hAnsi="Arial" w:cs="Arial"/>
        </w:rPr>
        <w:t>of actions.</w:t>
      </w:r>
    </w:p>
    <w:p w:rsidR="00577E42" w:rsidRDefault="00577E42" w:rsidP="00247A61">
      <w:pPr>
        <w:spacing w:after="0"/>
        <w:rPr>
          <w:rFonts w:ascii="Arial" w:hAnsi="Arial" w:cs="Arial"/>
        </w:rPr>
      </w:pPr>
    </w:p>
    <w:p w:rsidR="00096B27" w:rsidRPr="00577E42" w:rsidRDefault="00096B27" w:rsidP="00096B27">
      <w:pPr>
        <w:spacing w:after="0"/>
        <w:rPr>
          <w:rFonts w:ascii="Arial" w:hAnsi="Arial" w:cs="Arial"/>
          <w:b/>
        </w:rPr>
      </w:pPr>
      <w:r w:rsidRPr="00577E42">
        <w:rPr>
          <w:rFonts w:ascii="Arial" w:hAnsi="Arial" w:cs="Arial"/>
          <w:b/>
        </w:rPr>
        <w:t>Recommendatio</w:t>
      </w:r>
      <w:r w:rsidR="00986640">
        <w:rPr>
          <w:rFonts w:ascii="Arial" w:hAnsi="Arial" w:cs="Arial"/>
          <w:b/>
        </w:rPr>
        <w:t>n 7</w:t>
      </w:r>
    </w:p>
    <w:p w:rsidR="001B2957" w:rsidRPr="00577E42" w:rsidRDefault="001B2957" w:rsidP="001B2957">
      <w:pPr>
        <w:spacing w:after="0"/>
        <w:rPr>
          <w:rFonts w:ascii="Arial" w:hAnsi="Arial" w:cs="Arial"/>
        </w:rPr>
      </w:pPr>
      <w:r>
        <w:rPr>
          <w:rFonts w:ascii="Arial" w:hAnsi="Arial" w:cs="Arial"/>
        </w:rPr>
        <w:t>That the Government’s future national road safety strategy adopts a Towards Zero philosophy and sets a long term target for zero deaths and serious injury on our roads.</w:t>
      </w:r>
    </w:p>
    <w:p w:rsidR="00577E42" w:rsidRDefault="00577E42" w:rsidP="00247A61">
      <w:pPr>
        <w:spacing w:after="0"/>
        <w:rPr>
          <w:rFonts w:ascii="Arial" w:hAnsi="Arial" w:cs="Arial"/>
          <w:b/>
        </w:rPr>
      </w:pPr>
    </w:p>
    <w:p w:rsidR="009E353F" w:rsidRDefault="009E353F" w:rsidP="009E353F">
      <w:pPr>
        <w:spacing w:after="0"/>
        <w:rPr>
          <w:rFonts w:ascii="Arial" w:eastAsia="Times New Roman" w:hAnsi="Arial" w:cs="Arial"/>
          <w:b/>
          <w:bCs/>
        </w:rPr>
      </w:pPr>
      <w:r>
        <w:rPr>
          <w:rFonts w:ascii="Arial" w:eastAsia="Times New Roman" w:hAnsi="Arial" w:cs="Arial"/>
          <w:b/>
          <w:bCs/>
        </w:rPr>
        <w:t>Recommendation 8</w:t>
      </w:r>
    </w:p>
    <w:p w:rsidR="009E353F" w:rsidRDefault="009E353F" w:rsidP="009E353F">
      <w:pPr>
        <w:spacing w:after="0"/>
        <w:rPr>
          <w:rFonts w:ascii="Arial" w:hAnsi="Arial" w:cs="Arial"/>
        </w:rPr>
      </w:pPr>
      <w:r w:rsidRPr="0049707E">
        <w:rPr>
          <w:rFonts w:ascii="Arial" w:eastAsia="Calibri" w:hAnsi="Arial" w:cs="Arial"/>
        </w:rPr>
        <w:t xml:space="preserve">The </w:t>
      </w:r>
      <w:r>
        <w:rPr>
          <w:rFonts w:ascii="Arial" w:eastAsia="Calibri" w:hAnsi="Arial" w:cs="Arial"/>
        </w:rPr>
        <w:t xml:space="preserve">role of the </w:t>
      </w:r>
      <w:r w:rsidRPr="0049707E">
        <w:rPr>
          <w:rFonts w:ascii="Arial" w:eastAsia="Calibri" w:hAnsi="Arial" w:cs="Arial"/>
        </w:rPr>
        <w:t>Australian Transport Safety Bureau should be extended to provide independent, no-blame, safety investigations for road accidents involving heavy</w:t>
      </w:r>
      <w:r>
        <w:rPr>
          <w:rFonts w:ascii="Arial" w:eastAsia="Calibri" w:hAnsi="Arial" w:cs="Arial"/>
        </w:rPr>
        <w:t xml:space="preserve"> vehicles</w:t>
      </w:r>
      <w:r>
        <w:rPr>
          <w:rFonts w:ascii="Arial" w:hAnsi="Arial" w:cs="Arial"/>
        </w:rPr>
        <w:t>.</w:t>
      </w:r>
    </w:p>
    <w:p w:rsidR="005C3C4D" w:rsidRDefault="005C3C4D">
      <w:pPr>
        <w:rPr>
          <w:rFonts w:ascii="Arial" w:hAnsi="Arial" w:cs="Arial"/>
          <w:b/>
        </w:rPr>
      </w:pPr>
      <w:r>
        <w:rPr>
          <w:rFonts w:ascii="Arial" w:hAnsi="Arial" w:cs="Arial"/>
          <w:b/>
        </w:rPr>
        <w:br w:type="page"/>
      </w:r>
    </w:p>
    <w:p w:rsidR="009E353F" w:rsidRDefault="009E353F" w:rsidP="00247A61">
      <w:pPr>
        <w:spacing w:after="0"/>
        <w:rPr>
          <w:rFonts w:ascii="Arial" w:hAnsi="Arial" w:cs="Arial"/>
          <w:b/>
        </w:rPr>
      </w:pPr>
    </w:p>
    <w:p w:rsidR="008B3BAF" w:rsidRDefault="00986640" w:rsidP="00247A61">
      <w:pPr>
        <w:spacing w:after="0"/>
        <w:rPr>
          <w:rFonts w:ascii="Arial" w:hAnsi="Arial" w:cs="Arial"/>
          <w:b/>
        </w:rPr>
      </w:pPr>
      <w:r>
        <w:rPr>
          <w:rFonts w:ascii="Arial" w:hAnsi="Arial" w:cs="Arial"/>
          <w:b/>
        </w:rPr>
        <w:t>Recommendation 9</w:t>
      </w:r>
    </w:p>
    <w:p w:rsidR="002B5262" w:rsidRDefault="008B3BAF" w:rsidP="002B5262">
      <w:pPr>
        <w:spacing w:after="0" w:line="240" w:lineRule="auto"/>
        <w:rPr>
          <w:rFonts w:ascii="Arial" w:eastAsia="Times New Roman" w:hAnsi="Arial" w:cs="Arial"/>
          <w:bCs/>
        </w:rPr>
      </w:pPr>
      <w:r>
        <w:rPr>
          <w:rFonts w:ascii="Arial" w:eastAsia="Times New Roman" w:hAnsi="Arial" w:cs="Arial"/>
          <w:bCs/>
        </w:rPr>
        <w:t>Government</w:t>
      </w:r>
      <w:r w:rsidR="00AA6925">
        <w:rPr>
          <w:rFonts w:ascii="Arial" w:eastAsia="Times New Roman" w:hAnsi="Arial" w:cs="Arial"/>
          <w:bCs/>
        </w:rPr>
        <w:t>s</w:t>
      </w:r>
      <w:r>
        <w:rPr>
          <w:rFonts w:ascii="Arial" w:eastAsia="Times New Roman" w:hAnsi="Arial" w:cs="Arial"/>
          <w:bCs/>
        </w:rPr>
        <w:t xml:space="preserve"> should strongly consider the creation of an independent, statutory National Road Safety Commission to provide independent road safety policy advice, policy reviews, monitor the National Road Safety Strategy, and provide funding of non-infrastructure projects for improving road safety.</w:t>
      </w:r>
    </w:p>
    <w:p w:rsidR="002B5262" w:rsidRDefault="002B5262" w:rsidP="002B5262">
      <w:pPr>
        <w:spacing w:after="0" w:line="240" w:lineRule="auto"/>
        <w:rPr>
          <w:rFonts w:ascii="Arial" w:eastAsia="Times New Roman" w:hAnsi="Arial" w:cs="Arial"/>
          <w:bCs/>
        </w:rPr>
      </w:pPr>
    </w:p>
    <w:p w:rsidR="009A01B0" w:rsidRPr="009A01B0" w:rsidRDefault="002057BF" w:rsidP="008B3BAF">
      <w:pPr>
        <w:spacing w:after="0"/>
        <w:rPr>
          <w:rFonts w:ascii="Arial" w:eastAsia="Times New Roman" w:hAnsi="Arial" w:cs="Arial"/>
          <w:b/>
          <w:bCs/>
        </w:rPr>
      </w:pPr>
      <w:r>
        <w:rPr>
          <w:rFonts w:ascii="Arial" w:eastAsia="Times New Roman" w:hAnsi="Arial" w:cs="Arial"/>
          <w:b/>
          <w:bCs/>
        </w:rPr>
        <w:t>Recommendation 10</w:t>
      </w:r>
    </w:p>
    <w:p w:rsidR="00A16D61" w:rsidRPr="00A16D61" w:rsidRDefault="00A16D61" w:rsidP="00A16D61">
      <w:pPr>
        <w:spacing w:after="0"/>
        <w:rPr>
          <w:rFonts w:ascii="Arial" w:eastAsia="Times New Roman" w:hAnsi="Arial" w:cs="Arial"/>
          <w:bCs/>
        </w:rPr>
      </w:pPr>
      <w:r w:rsidRPr="00A16D61">
        <w:rPr>
          <w:rFonts w:ascii="Arial" w:eastAsia="Times New Roman" w:hAnsi="Arial" w:cs="Arial"/>
          <w:bCs/>
        </w:rPr>
        <w:t>That the Australian Government’s Office of Best Practice Regulation issues supplementary guidance material for regulatory impact statements involving public safety, requiring recommended policies to be based on a SFAIRP analysis as well as a BCA using willingness to pay values.</w:t>
      </w:r>
    </w:p>
    <w:p w:rsidR="004B7623" w:rsidRDefault="004B7623" w:rsidP="008B3BAF">
      <w:pPr>
        <w:spacing w:after="0"/>
        <w:rPr>
          <w:rFonts w:ascii="Arial" w:eastAsia="Times New Roman" w:hAnsi="Arial" w:cs="Arial"/>
          <w:b/>
          <w:bCs/>
        </w:rPr>
      </w:pPr>
    </w:p>
    <w:p w:rsidR="00707722" w:rsidRPr="00707722" w:rsidRDefault="007C5B2E" w:rsidP="00707722">
      <w:pPr>
        <w:suppressAutoHyphens/>
        <w:spacing w:after="0" w:line="240" w:lineRule="auto"/>
        <w:outlineLvl w:val="0"/>
        <w:rPr>
          <w:rFonts w:ascii="Arial" w:hAnsi="Arial" w:cs="Arial"/>
        </w:rPr>
      </w:pPr>
      <w:r>
        <w:rPr>
          <w:rFonts w:ascii="Arial" w:hAnsi="Arial" w:cs="Arial"/>
          <w:b/>
        </w:rPr>
        <w:t>Recommend</w:t>
      </w:r>
      <w:r w:rsidR="002057BF">
        <w:rPr>
          <w:rFonts w:ascii="Arial" w:hAnsi="Arial" w:cs="Arial"/>
          <w:b/>
        </w:rPr>
        <w:t>ation 11</w:t>
      </w:r>
    </w:p>
    <w:p w:rsidR="00707722" w:rsidRDefault="00707722" w:rsidP="009F1D1D">
      <w:pPr>
        <w:suppressAutoHyphens/>
        <w:spacing w:after="0" w:line="240" w:lineRule="auto"/>
        <w:outlineLvl w:val="0"/>
        <w:rPr>
          <w:rFonts w:ascii="Arial" w:hAnsi="Arial" w:cs="Arial"/>
        </w:rPr>
      </w:pPr>
      <w:r w:rsidRPr="00707722">
        <w:rPr>
          <w:rFonts w:ascii="Arial" w:hAnsi="Arial" w:cs="Arial"/>
        </w:rPr>
        <w:t>Road investment should be targeted at improving the safety outcomes of the road network, guided by road crash investigation findings and the need to upgrade road safety standards.</w:t>
      </w:r>
    </w:p>
    <w:p w:rsidR="009E353F" w:rsidRPr="00707722" w:rsidRDefault="009E353F" w:rsidP="009F1D1D">
      <w:pPr>
        <w:suppressAutoHyphens/>
        <w:spacing w:after="0" w:line="240" w:lineRule="auto"/>
        <w:outlineLvl w:val="0"/>
        <w:rPr>
          <w:rFonts w:ascii="Arial" w:hAnsi="Arial" w:cs="Arial"/>
        </w:rPr>
      </w:pPr>
    </w:p>
    <w:p w:rsidR="00707722" w:rsidRPr="00707722" w:rsidRDefault="002057BF" w:rsidP="00707722">
      <w:pPr>
        <w:suppressAutoHyphens/>
        <w:spacing w:after="0" w:line="240" w:lineRule="auto"/>
        <w:outlineLvl w:val="0"/>
        <w:rPr>
          <w:rFonts w:ascii="Arial" w:hAnsi="Arial" w:cs="Arial"/>
        </w:rPr>
      </w:pPr>
      <w:r>
        <w:rPr>
          <w:rFonts w:ascii="Arial" w:hAnsi="Arial" w:cs="Arial"/>
          <w:b/>
        </w:rPr>
        <w:t>Recommendation 12</w:t>
      </w:r>
    </w:p>
    <w:p w:rsidR="00707722" w:rsidRPr="00707722" w:rsidRDefault="00707722" w:rsidP="009F1D1D">
      <w:pPr>
        <w:tabs>
          <w:tab w:val="left" w:pos="992"/>
        </w:tabs>
        <w:spacing w:after="0"/>
        <w:rPr>
          <w:rFonts w:ascii="Arial" w:hAnsi="Arial" w:cs="Arial"/>
        </w:rPr>
      </w:pPr>
      <w:r w:rsidRPr="00707722">
        <w:rPr>
          <w:rFonts w:ascii="Arial" w:hAnsi="Arial" w:cs="Arial"/>
        </w:rPr>
        <w:t xml:space="preserve">The Government should commence a proper review and consideration of establishing an independent and hypothecated road fund, to improve the effective targeting of building productive road infrastructure. </w:t>
      </w:r>
    </w:p>
    <w:p w:rsidR="008B3BAF" w:rsidRDefault="008B3BAF" w:rsidP="00247A61">
      <w:pPr>
        <w:spacing w:after="0"/>
        <w:rPr>
          <w:rFonts w:ascii="Arial" w:hAnsi="Arial" w:cs="Arial"/>
          <w:b/>
        </w:rPr>
      </w:pPr>
    </w:p>
    <w:p w:rsidR="000225AF" w:rsidRPr="000225AF" w:rsidRDefault="000225AF" w:rsidP="000225AF">
      <w:pPr>
        <w:suppressAutoHyphens/>
        <w:spacing w:after="0" w:line="240" w:lineRule="auto"/>
        <w:outlineLvl w:val="0"/>
        <w:rPr>
          <w:rFonts w:ascii="Arial" w:hAnsi="Arial" w:cs="Arial"/>
          <w:b/>
        </w:rPr>
      </w:pPr>
      <w:r w:rsidRPr="000225AF">
        <w:rPr>
          <w:rFonts w:ascii="Arial" w:hAnsi="Arial" w:cs="Arial"/>
          <w:b/>
        </w:rPr>
        <w:t>Recommendation 13</w:t>
      </w:r>
    </w:p>
    <w:p w:rsidR="000225AF" w:rsidRPr="00264EE2" w:rsidRDefault="000225AF" w:rsidP="000225AF">
      <w:pPr>
        <w:suppressAutoHyphens/>
        <w:spacing w:after="0" w:line="240" w:lineRule="auto"/>
        <w:outlineLvl w:val="0"/>
        <w:rPr>
          <w:rFonts w:ascii="Arial" w:hAnsi="Arial" w:cs="Arial"/>
        </w:rPr>
      </w:pPr>
      <w:r>
        <w:rPr>
          <w:rFonts w:ascii="Arial" w:hAnsi="Arial" w:cs="Arial"/>
        </w:rPr>
        <w:t>Governments should undertake research to investigate why Western Australia’s more flexible fatigue laws are delivering better fatigue outcomes.</w:t>
      </w:r>
    </w:p>
    <w:p w:rsidR="000225AF" w:rsidRDefault="000225AF" w:rsidP="00247A61">
      <w:pPr>
        <w:spacing w:after="0"/>
        <w:rPr>
          <w:rFonts w:ascii="Arial" w:hAnsi="Arial" w:cs="Arial"/>
          <w:b/>
        </w:rPr>
      </w:pPr>
    </w:p>
    <w:p w:rsidR="003A2B65" w:rsidRPr="00F731B9" w:rsidRDefault="003A2B65" w:rsidP="003A2B65">
      <w:pPr>
        <w:suppressAutoHyphens/>
        <w:spacing w:after="0" w:line="240" w:lineRule="auto"/>
        <w:outlineLvl w:val="0"/>
        <w:rPr>
          <w:rFonts w:ascii="Arial" w:hAnsi="Arial" w:cs="Arial"/>
          <w:b/>
        </w:rPr>
      </w:pPr>
      <w:r w:rsidRPr="00F731B9">
        <w:rPr>
          <w:rFonts w:ascii="Arial" w:hAnsi="Arial" w:cs="Arial"/>
          <w:b/>
        </w:rPr>
        <w:t>Recommendation</w:t>
      </w:r>
      <w:r w:rsidR="000225AF">
        <w:rPr>
          <w:rFonts w:ascii="Arial" w:hAnsi="Arial" w:cs="Arial"/>
          <w:b/>
        </w:rPr>
        <w:t xml:space="preserve"> 14</w:t>
      </w:r>
    </w:p>
    <w:p w:rsidR="003A2B65" w:rsidRDefault="003A2B65" w:rsidP="003A2B65">
      <w:pPr>
        <w:suppressAutoHyphens/>
        <w:spacing w:after="0" w:line="240" w:lineRule="auto"/>
        <w:outlineLvl w:val="0"/>
        <w:rPr>
          <w:rFonts w:ascii="Arial" w:hAnsi="Arial" w:cs="Arial"/>
        </w:rPr>
      </w:pPr>
      <w:r>
        <w:rPr>
          <w:rFonts w:ascii="Arial" w:hAnsi="Arial" w:cs="Arial"/>
        </w:rPr>
        <w:t>Governments should amend fatigue laws to include flexibility and realistic compliance tolerances.</w:t>
      </w:r>
    </w:p>
    <w:p w:rsidR="003A2B65" w:rsidRDefault="003A2B65" w:rsidP="003A2B65">
      <w:pPr>
        <w:suppressAutoHyphens/>
        <w:spacing w:after="0" w:line="240" w:lineRule="auto"/>
        <w:outlineLvl w:val="0"/>
        <w:rPr>
          <w:rFonts w:ascii="Arial" w:hAnsi="Arial" w:cs="Arial"/>
        </w:rPr>
      </w:pPr>
    </w:p>
    <w:p w:rsidR="003A2B65" w:rsidRPr="00F731B9" w:rsidRDefault="00986640" w:rsidP="003A2B65">
      <w:pPr>
        <w:suppressAutoHyphens/>
        <w:spacing w:after="0" w:line="240" w:lineRule="auto"/>
        <w:outlineLvl w:val="0"/>
        <w:rPr>
          <w:rFonts w:ascii="Arial" w:hAnsi="Arial" w:cs="Arial"/>
          <w:b/>
        </w:rPr>
      </w:pPr>
      <w:r>
        <w:rPr>
          <w:rFonts w:ascii="Arial" w:hAnsi="Arial" w:cs="Arial"/>
          <w:b/>
        </w:rPr>
        <w:t>Rec</w:t>
      </w:r>
      <w:r w:rsidR="000225AF">
        <w:rPr>
          <w:rFonts w:ascii="Arial" w:hAnsi="Arial" w:cs="Arial"/>
          <w:b/>
        </w:rPr>
        <w:t>ommendation 15</w:t>
      </w:r>
    </w:p>
    <w:p w:rsidR="003A2B65" w:rsidRDefault="003A2B65" w:rsidP="003A2B65">
      <w:pPr>
        <w:suppressAutoHyphens/>
        <w:spacing w:after="0" w:line="240" w:lineRule="auto"/>
        <w:outlineLvl w:val="0"/>
        <w:rPr>
          <w:rFonts w:ascii="Arial" w:hAnsi="Arial" w:cs="Arial"/>
        </w:rPr>
      </w:pPr>
      <w:r>
        <w:rPr>
          <w:rFonts w:ascii="Arial" w:hAnsi="Arial" w:cs="Arial"/>
        </w:rPr>
        <w:t>Governments must take action to increase the quantity, capacity and quality of driver rest areas.</w:t>
      </w:r>
    </w:p>
    <w:p w:rsidR="003A2B65" w:rsidRDefault="003A2B65" w:rsidP="00247A61">
      <w:pPr>
        <w:spacing w:after="0"/>
        <w:rPr>
          <w:rFonts w:ascii="Arial" w:hAnsi="Arial" w:cs="Arial"/>
          <w:b/>
        </w:rPr>
      </w:pPr>
    </w:p>
    <w:p w:rsidR="00BC2D5E" w:rsidRDefault="00707722" w:rsidP="005C3AA9">
      <w:pPr>
        <w:suppressAutoHyphens/>
        <w:spacing w:after="0" w:line="240" w:lineRule="auto"/>
        <w:outlineLvl w:val="0"/>
        <w:rPr>
          <w:rFonts w:ascii="Arial" w:hAnsi="Arial" w:cs="Arial"/>
        </w:rPr>
      </w:pPr>
      <w:r>
        <w:rPr>
          <w:rFonts w:ascii="Arial" w:hAnsi="Arial" w:cs="Arial"/>
          <w:b/>
        </w:rPr>
        <w:t>Reco</w:t>
      </w:r>
      <w:r w:rsidR="000225AF">
        <w:rPr>
          <w:rFonts w:ascii="Arial" w:hAnsi="Arial" w:cs="Arial"/>
          <w:b/>
        </w:rPr>
        <w:t>mmendation 16</w:t>
      </w:r>
    </w:p>
    <w:p w:rsidR="00BC2D5E" w:rsidRDefault="00BC2D5E" w:rsidP="005C3AA9">
      <w:pPr>
        <w:suppressAutoHyphens/>
        <w:spacing w:after="0" w:line="240" w:lineRule="auto"/>
        <w:outlineLvl w:val="0"/>
        <w:rPr>
          <w:rFonts w:ascii="Arial" w:hAnsi="Arial" w:cs="Arial"/>
        </w:rPr>
      </w:pPr>
      <w:r>
        <w:rPr>
          <w:rFonts w:ascii="Arial" w:hAnsi="Arial" w:cs="Arial"/>
        </w:rPr>
        <w:t>Government</w:t>
      </w:r>
      <w:r w:rsidR="00BF521B">
        <w:rPr>
          <w:rFonts w:ascii="Arial" w:hAnsi="Arial" w:cs="Arial"/>
        </w:rPr>
        <w:t xml:space="preserve">s </w:t>
      </w:r>
      <w:r>
        <w:rPr>
          <w:rFonts w:ascii="Arial" w:hAnsi="Arial" w:cs="Arial"/>
        </w:rPr>
        <w:t xml:space="preserve">ensure that the introduction of automated vehicle technologies only occurs when they can deliver significantly safer outcomes for road users. </w:t>
      </w:r>
    </w:p>
    <w:p w:rsidR="005C3AA9" w:rsidRPr="00860B7C" w:rsidRDefault="005C3AA9" w:rsidP="005C3AA9">
      <w:pPr>
        <w:suppressAutoHyphens/>
        <w:spacing w:after="0" w:line="240" w:lineRule="auto"/>
        <w:outlineLvl w:val="0"/>
        <w:rPr>
          <w:rFonts w:ascii="Arial" w:hAnsi="Arial" w:cs="Arial"/>
        </w:rPr>
      </w:pPr>
    </w:p>
    <w:p w:rsidR="00510BF9" w:rsidRPr="00510BF9" w:rsidRDefault="000225AF" w:rsidP="005C3AA9">
      <w:pPr>
        <w:suppressAutoHyphens/>
        <w:spacing w:after="0" w:line="240" w:lineRule="auto"/>
        <w:outlineLvl w:val="0"/>
        <w:rPr>
          <w:rFonts w:ascii="Arial" w:hAnsi="Arial" w:cs="Arial"/>
          <w:b/>
        </w:rPr>
      </w:pPr>
      <w:r>
        <w:rPr>
          <w:rFonts w:ascii="Arial" w:hAnsi="Arial" w:cs="Arial"/>
          <w:b/>
        </w:rPr>
        <w:t>Recommendation 17</w:t>
      </w:r>
    </w:p>
    <w:p w:rsidR="00510BF9" w:rsidRDefault="00BF521B" w:rsidP="005C3AA9">
      <w:pPr>
        <w:suppressAutoHyphens/>
        <w:spacing w:after="0" w:line="240" w:lineRule="auto"/>
        <w:outlineLvl w:val="0"/>
        <w:rPr>
          <w:rFonts w:ascii="Arial" w:hAnsi="Arial" w:cs="Arial"/>
        </w:rPr>
      </w:pPr>
      <w:r>
        <w:rPr>
          <w:rFonts w:ascii="Arial" w:hAnsi="Arial" w:cs="Arial"/>
        </w:rPr>
        <w:t>Government</w:t>
      </w:r>
      <w:r w:rsidR="00510BF9" w:rsidRPr="00510BF9">
        <w:rPr>
          <w:rFonts w:ascii="Arial" w:hAnsi="Arial" w:cs="Arial"/>
        </w:rPr>
        <w:t xml:space="preserve"> ensure improved education of learner drivers on how to safely share the road with heavy vehicles.</w:t>
      </w:r>
    </w:p>
    <w:p w:rsidR="00510BF9" w:rsidRPr="00510BF9" w:rsidRDefault="00510BF9" w:rsidP="005C3AA9">
      <w:pPr>
        <w:suppressAutoHyphens/>
        <w:spacing w:after="0" w:line="240" w:lineRule="auto"/>
        <w:outlineLvl w:val="0"/>
        <w:rPr>
          <w:rFonts w:ascii="Arial" w:hAnsi="Arial" w:cs="Arial"/>
        </w:rPr>
      </w:pPr>
    </w:p>
    <w:p w:rsidR="00510BF9" w:rsidRPr="00510BF9" w:rsidRDefault="000225AF" w:rsidP="005C3AA9">
      <w:pPr>
        <w:suppressAutoHyphens/>
        <w:spacing w:after="0" w:line="240" w:lineRule="auto"/>
        <w:outlineLvl w:val="0"/>
        <w:rPr>
          <w:rFonts w:ascii="Arial" w:hAnsi="Arial" w:cs="Arial"/>
        </w:rPr>
      </w:pPr>
      <w:r>
        <w:rPr>
          <w:rFonts w:ascii="Arial" w:hAnsi="Arial" w:cs="Arial"/>
          <w:b/>
        </w:rPr>
        <w:t>Recommendation 18</w:t>
      </w:r>
    </w:p>
    <w:p w:rsidR="00510BF9" w:rsidRDefault="00510BF9" w:rsidP="005C3AA9">
      <w:pPr>
        <w:suppressAutoHyphens/>
        <w:spacing w:after="0" w:line="240" w:lineRule="auto"/>
        <w:outlineLvl w:val="0"/>
        <w:rPr>
          <w:rFonts w:ascii="Arial" w:hAnsi="Arial" w:cs="Arial"/>
        </w:rPr>
      </w:pPr>
      <w:r w:rsidRPr="00510BF9">
        <w:rPr>
          <w:rFonts w:ascii="Arial" w:hAnsi="Arial" w:cs="Arial"/>
        </w:rPr>
        <w:t>Government</w:t>
      </w:r>
      <w:r w:rsidR="00BF521B">
        <w:rPr>
          <w:rFonts w:ascii="Arial" w:hAnsi="Arial" w:cs="Arial"/>
        </w:rPr>
        <w:t xml:space="preserve">s </w:t>
      </w:r>
      <w:r w:rsidRPr="00510BF9">
        <w:rPr>
          <w:rFonts w:ascii="Arial" w:hAnsi="Arial" w:cs="Arial"/>
        </w:rPr>
        <w:t xml:space="preserve">invest in well targeted communication campaigns on how to share the road safely with trucks. </w:t>
      </w:r>
    </w:p>
    <w:p w:rsidR="005C3AA9" w:rsidRPr="00510BF9" w:rsidRDefault="005C3AA9" w:rsidP="005C3AA9">
      <w:pPr>
        <w:suppressAutoHyphens/>
        <w:spacing w:after="0" w:line="240" w:lineRule="auto"/>
        <w:outlineLvl w:val="0"/>
        <w:rPr>
          <w:rFonts w:ascii="Arial" w:hAnsi="Arial" w:cs="Arial"/>
        </w:rPr>
      </w:pPr>
    </w:p>
    <w:p w:rsidR="00510BF9" w:rsidRPr="00510BF9" w:rsidRDefault="000225AF" w:rsidP="005C3AA9">
      <w:pPr>
        <w:shd w:val="clear" w:color="auto" w:fill="FFFFFF"/>
        <w:spacing w:after="0" w:line="240" w:lineRule="auto"/>
        <w:rPr>
          <w:rFonts w:ascii="Arial" w:hAnsi="Arial" w:cs="Arial"/>
          <w:b/>
        </w:rPr>
      </w:pPr>
      <w:r>
        <w:rPr>
          <w:rFonts w:ascii="Arial" w:hAnsi="Arial" w:cs="Arial"/>
          <w:b/>
        </w:rPr>
        <w:t>Recommendation 19</w:t>
      </w:r>
    </w:p>
    <w:p w:rsidR="00510BF9" w:rsidRPr="00510BF9" w:rsidRDefault="00E30C18" w:rsidP="005C3AA9">
      <w:pPr>
        <w:shd w:val="clear" w:color="auto" w:fill="FFFFFF"/>
        <w:spacing w:after="0" w:line="240" w:lineRule="auto"/>
        <w:rPr>
          <w:rFonts w:ascii="Arial" w:hAnsi="Arial" w:cs="Arial"/>
        </w:rPr>
      </w:pPr>
      <w:proofErr w:type="spellStart"/>
      <w:r>
        <w:rPr>
          <w:rFonts w:ascii="Arial" w:hAnsi="Arial" w:cs="Arial"/>
        </w:rPr>
        <w:t>Austroads</w:t>
      </w:r>
      <w:proofErr w:type="spellEnd"/>
      <w:r>
        <w:rPr>
          <w:rFonts w:ascii="Arial" w:hAnsi="Arial" w:cs="Arial"/>
        </w:rPr>
        <w:t xml:space="preserve"> </w:t>
      </w:r>
      <w:r w:rsidR="00510BF9" w:rsidRPr="00510BF9">
        <w:rPr>
          <w:rFonts w:ascii="Arial" w:hAnsi="Arial" w:cs="Arial"/>
        </w:rPr>
        <w:t xml:space="preserve">should release the review of the National Heavy Vehicle Competency Standards, and prioritise the implementation of reforms to improve the quality and consistency of heavy vehicle driver training and assessment. </w:t>
      </w:r>
    </w:p>
    <w:p w:rsidR="00510BF9" w:rsidRPr="00510BF9" w:rsidRDefault="00A73EE3" w:rsidP="005C3C4D">
      <w:pPr>
        <w:rPr>
          <w:rFonts w:ascii="Arial" w:hAnsi="Arial" w:cs="Arial"/>
        </w:rPr>
      </w:pPr>
      <w:r>
        <w:rPr>
          <w:rFonts w:ascii="Arial" w:hAnsi="Arial" w:cs="Arial"/>
        </w:rPr>
        <w:br w:type="page"/>
      </w:r>
    </w:p>
    <w:p w:rsidR="00510BF9" w:rsidRDefault="00BE7C46" w:rsidP="00BE7C46">
      <w:pPr>
        <w:pStyle w:val="ListParagraph"/>
        <w:numPr>
          <w:ilvl w:val="0"/>
          <w:numId w:val="1"/>
        </w:numPr>
        <w:suppressAutoHyphens/>
        <w:spacing w:after="0" w:line="240" w:lineRule="auto"/>
        <w:outlineLvl w:val="0"/>
        <w:rPr>
          <w:rFonts w:ascii="Arial" w:hAnsi="Arial" w:cs="Arial"/>
          <w:b/>
        </w:rPr>
      </w:pPr>
      <w:r>
        <w:rPr>
          <w:rFonts w:ascii="Arial" w:hAnsi="Arial" w:cs="Arial"/>
          <w:b/>
        </w:rPr>
        <w:lastRenderedPageBreak/>
        <w:t>Introduction</w:t>
      </w:r>
    </w:p>
    <w:p w:rsidR="00BE7C46" w:rsidRDefault="00BE7C46" w:rsidP="00BE7C46">
      <w:pPr>
        <w:suppressAutoHyphens/>
        <w:spacing w:after="0" w:line="240" w:lineRule="auto"/>
        <w:outlineLvl w:val="0"/>
        <w:rPr>
          <w:rFonts w:ascii="Arial" w:hAnsi="Arial" w:cs="Arial"/>
          <w:b/>
        </w:rPr>
      </w:pPr>
    </w:p>
    <w:p w:rsidR="00BE7C46" w:rsidRPr="000C168B" w:rsidRDefault="00BE7C46" w:rsidP="00BE7C46">
      <w:pPr>
        <w:spacing w:after="0" w:line="240" w:lineRule="auto"/>
        <w:rPr>
          <w:rFonts w:ascii="Arial" w:hAnsi="Arial" w:cs="Arial"/>
        </w:rPr>
      </w:pPr>
      <w:r w:rsidRPr="000C168B">
        <w:rPr>
          <w:rFonts w:ascii="Arial" w:hAnsi="Arial" w:cs="Arial"/>
        </w:rPr>
        <w:t>In 2017, 1,225 people died on Australia’s roads.</w:t>
      </w:r>
    </w:p>
    <w:p w:rsidR="00BE7C46" w:rsidRPr="000C168B" w:rsidRDefault="00BE7C46" w:rsidP="00BE7C46">
      <w:pPr>
        <w:spacing w:after="0" w:line="240" w:lineRule="auto"/>
        <w:rPr>
          <w:rFonts w:ascii="Arial" w:hAnsi="Arial" w:cs="Arial"/>
        </w:rPr>
      </w:pPr>
    </w:p>
    <w:p w:rsidR="00BE7C46" w:rsidRPr="000C168B" w:rsidRDefault="00BE7C46" w:rsidP="00BE7C46">
      <w:pPr>
        <w:spacing w:after="0" w:line="240" w:lineRule="auto"/>
        <w:rPr>
          <w:rFonts w:ascii="Arial" w:hAnsi="Arial" w:cs="Arial"/>
        </w:rPr>
      </w:pPr>
      <w:r w:rsidRPr="000C168B">
        <w:rPr>
          <w:rFonts w:ascii="Arial" w:hAnsi="Arial" w:cs="Arial"/>
        </w:rPr>
        <w:t xml:space="preserve">That’s the equivalent of seven passenger jet crashes in a single year. </w:t>
      </w:r>
    </w:p>
    <w:p w:rsidR="00BE7C46" w:rsidRPr="000C168B" w:rsidRDefault="00BE7C46" w:rsidP="00BE7C46">
      <w:pPr>
        <w:spacing w:after="0" w:line="240" w:lineRule="auto"/>
        <w:rPr>
          <w:rFonts w:ascii="Arial" w:hAnsi="Arial" w:cs="Arial"/>
        </w:rPr>
      </w:pPr>
    </w:p>
    <w:p w:rsidR="00BE7C46" w:rsidRPr="000C168B" w:rsidRDefault="00BE7C46" w:rsidP="00BE7C46">
      <w:pPr>
        <w:spacing w:after="0" w:line="240" w:lineRule="auto"/>
        <w:rPr>
          <w:rFonts w:ascii="Arial" w:hAnsi="Arial" w:cs="Arial"/>
        </w:rPr>
      </w:pPr>
      <w:r w:rsidRPr="000C168B">
        <w:rPr>
          <w:rFonts w:ascii="Arial" w:hAnsi="Arial" w:cs="Arial"/>
        </w:rPr>
        <w:t>Australians wouldn’t accept this number of deaths if they occurred on planes or trains. There would be royal commissions, ministerial resignations and the restructuring of entire government departments.</w:t>
      </w:r>
    </w:p>
    <w:p w:rsidR="00BE7C46" w:rsidRPr="000C168B" w:rsidRDefault="00BE7C46" w:rsidP="00BE7C46">
      <w:pPr>
        <w:spacing w:after="0" w:line="240" w:lineRule="auto"/>
        <w:rPr>
          <w:rFonts w:ascii="Arial" w:hAnsi="Arial" w:cs="Arial"/>
        </w:rPr>
      </w:pPr>
    </w:p>
    <w:p w:rsidR="00BE7C46" w:rsidRDefault="00BE7C46" w:rsidP="00BE7C46">
      <w:pPr>
        <w:spacing w:after="0" w:line="240" w:lineRule="auto"/>
        <w:rPr>
          <w:rFonts w:ascii="Arial" w:hAnsi="Arial" w:cs="Arial"/>
        </w:rPr>
      </w:pPr>
      <w:r w:rsidRPr="000C168B">
        <w:rPr>
          <w:rFonts w:ascii="Arial" w:hAnsi="Arial" w:cs="Arial"/>
        </w:rPr>
        <w:t>Yet Australia goes on, year by year, accepting these deaths and an untold number of serious injuries and disabilities.</w:t>
      </w:r>
    </w:p>
    <w:p w:rsidR="00BE7C46" w:rsidRDefault="00BE7C46" w:rsidP="00BE7C46">
      <w:pPr>
        <w:suppressAutoHyphens/>
        <w:spacing w:after="0" w:line="240" w:lineRule="auto"/>
        <w:outlineLvl w:val="0"/>
        <w:rPr>
          <w:rFonts w:ascii="Arial" w:hAnsi="Arial" w:cs="Arial"/>
          <w:b/>
        </w:rPr>
      </w:pPr>
    </w:p>
    <w:p w:rsidR="00BE7C46" w:rsidRDefault="005171C6" w:rsidP="00BE7C46">
      <w:pPr>
        <w:suppressAutoHyphens/>
        <w:spacing w:after="0" w:line="240" w:lineRule="auto"/>
        <w:outlineLvl w:val="0"/>
        <w:rPr>
          <w:rFonts w:ascii="Arial" w:hAnsi="Arial" w:cs="Arial"/>
        </w:rPr>
      </w:pPr>
      <w:r w:rsidRPr="005171C6">
        <w:rPr>
          <w:rFonts w:ascii="Arial" w:hAnsi="Arial" w:cs="Arial"/>
        </w:rPr>
        <w:t xml:space="preserve">The National Road Safety Strategy 2011 – 2020 </w:t>
      </w:r>
      <w:r>
        <w:rPr>
          <w:rFonts w:ascii="Arial" w:hAnsi="Arial" w:cs="Arial"/>
        </w:rPr>
        <w:t>was developed as a tool to lead national road safety action. The Strategy promised government commitment and ownership of the responsibility to move towards eliminating death and serious injury on our roads.</w:t>
      </w:r>
    </w:p>
    <w:p w:rsidR="005D0174" w:rsidRDefault="005D0174" w:rsidP="00BE7C46">
      <w:pPr>
        <w:suppressAutoHyphens/>
        <w:spacing w:after="0" w:line="240" w:lineRule="auto"/>
        <w:outlineLvl w:val="0"/>
        <w:rPr>
          <w:rFonts w:ascii="Arial" w:hAnsi="Arial" w:cs="Arial"/>
        </w:rPr>
      </w:pPr>
    </w:p>
    <w:p w:rsidR="005D0174" w:rsidRDefault="005D0174" w:rsidP="005D0174">
      <w:pPr>
        <w:suppressAutoHyphens/>
        <w:spacing w:after="0" w:line="240" w:lineRule="auto"/>
        <w:outlineLvl w:val="0"/>
        <w:rPr>
          <w:rFonts w:ascii="Arial" w:eastAsia="Calibri" w:hAnsi="Arial" w:cs="Arial"/>
          <w:lang w:eastAsia="ar-SA"/>
        </w:rPr>
      </w:pPr>
      <w:r>
        <w:rPr>
          <w:rFonts w:ascii="Arial" w:eastAsia="Calibri" w:hAnsi="Arial" w:cs="Arial"/>
          <w:lang w:eastAsia="ar-SA"/>
        </w:rPr>
        <w:t>Progress towards key targets in the strategy in some areas is poor including the objectives to reduce fatalities and serious injury by 30%.</w:t>
      </w:r>
    </w:p>
    <w:p w:rsidR="005D0174" w:rsidRDefault="005D0174" w:rsidP="005D0174">
      <w:pPr>
        <w:suppressAutoHyphens/>
        <w:spacing w:after="0" w:line="240" w:lineRule="auto"/>
        <w:outlineLvl w:val="0"/>
        <w:rPr>
          <w:rFonts w:ascii="Arial" w:eastAsia="Calibri" w:hAnsi="Arial" w:cs="Arial"/>
          <w:lang w:eastAsia="ar-SA"/>
        </w:rPr>
      </w:pPr>
    </w:p>
    <w:p w:rsidR="005D0174" w:rsidRDefault="005D0174" w:rsidP="005D0174">
      <w:pPr>
        <w:suppressAutoHyphens/>
        <w:spacing w:after="0" w:line="240" w:lineRule="auto"/>
        <w:outlineLvl w:val="0"/>
        <w:rPr>
          <w:rFonts w:ascii="Arial" w:eastAsia="Calibri" w:hAnsi="Arial" w:cs="Arial"/>
          <w:lang w:eastAsia="ar-SA"/>
        </w:rPr>
      </w:pPr>
      <w:r w:rsidRPr="005D0174">
        <w:rPr>
          <w:rFonts w:ascii="Arial" w:eastAsia="Calibri" w:hAnsi="Arial" w:cs="Arial"/>
          <w:lang w:eastAsia="ar-SA"/>
        </w:rPr>
        <w:t xml:space="preserve">On 8 September 2017 the Australian Government announced </w:t>
      </w:r>
      <w:r>
        <w:rPr>
          <w:rFonts w:ascii="Arial" w:eastAsia="Calibri" w:hAnsi="Arial" w:cs="Arial"/>
          <w:lang w:eastAsia="ar-SA"/>
        </w:rPr>
        <w:t xml:space="preserve">its </w:t>
      </w:r>
      <w:r w:rsidRPr="005D0174">
        <w:rPr>
          <w:rFonts w:ascii="Arial" w:eastAsia="Calibri" w:hAnsi="Arial" w:cs="Arial"/>
          <w:lang w:eastAsia="ar-SA"/>
        </w:rPr>
        <w:t>commencement of an inquiry into the National Road Safety Strategy 2011–2020.</w:t>
      </w:r>
    </w:p>
    <w:p w:rsidR="005D0174" w:rsidRDefault="005D0174" w:rsidP="005D0174">
      <w:pPr>
        <w:suppressAutoHyphens/>
        <w:spacing w:after="0" w:line="240" w:lineRule="auto"/>
        <w:outlineLvl w:val="0"/>
        <w:rPr>
          <w:rFonts w:ascii="Arial" w:eastAsia="Calibri" w:hAnsi="Arial" w:cs="Arial"/>
          <w:lang w:eastAsia="ar-SA"/>
        </w:rPr>
      </w:pPr>
    </w:p>
    <w:p w:rsidR="005D0174" w:rsidRPr="005D0174" w:rsidRDefault="005D0174" w:rsidP="005D0174">
      <w:pPr>
        <w:suppressAutoHyphens/>
        <w:spacing w:after="0" w:line="240" w:lineRule="auto"/>
        <w:outlineLvl w:val="0"/>
        <w:rPr>
          <w:rFonts w:ascii="Arial" w:eastAsia="Calibri" w:hAnsi="Arial" w:cs="Arial"/>
          <w:lang w:eastAsia="ar-SA"/>
        </w:rPr>
      </w:pPr>
      <w:r w:rsidRPr="005D0174">
        <w:rPr>
          <w:rFonts w:ascii="Arial" w:hAnsi="Arial" w:cs="Arial"/>
        </w:rPr>
        <w:t xml:space="preserve">In this submission the ATA identifies </w:t>
      </w:r>
      <w:r>
        <w:rPr>
          <w:rFonts w:ascii="Arial" w:hAnsi="Arial" w:cs="Arial"/>
        </w:rPr>
        <w:t xml:space="preserve">a number of </w:t>
      </w:r>
      <w:r w:rsidRPr="005D0174">
        <w:rPr>
          <w:rFonts w:ascii="Arial" w:hAnsi="Arial" w:cs="Arial"/>
        </w:rPr>
        <w:t xml:space="preserve">issues and priorities for consideration in </w:t>
      </w:r>
      <w:r>
        <w:rPr>
          <w:rFonts w:ascii="Arial" w:hAnsi="Arial" w:cs="Arial"/>
        </w:rPr>
        <w:t xml:space="preserve">Australia’s next </w:t>
      </w:r>
      <w:r w:rsidRPr="005D0174">
        <w:rPr>
          <w:rFonts w:ascii="Arial" w:hAnsi="Arial" w:cs="Arial"/>
        </w:rPr>
        <w:t>national road safety stra</w:t>
      </w:r>
      <w:r>
        <w:rPr>
          <w:rFonts w:ascii="Arial" w:hAnsi="Arial" w:cs="Arial"/>
        </w:rPr>
        <w:t>tegy and recommendations for inclusion in a 2018-2020 action plan</w:t>
      </w:r>
      <w:r w:rsidRPr="005D0174">
        <w:rPr>
          <w:rFonts w:ascii="Arial" w:hAnsi="Arial" w:cs="Arial"/>
        </w:rPr>
        <w:t>.</w:t>
      </w:r>
    </w:p>
    <w:p w:rsidR="005D0174" w:rsidRPr="005D0174" w:rsidRDefault="005D0174" w:rsidP="00BE7C46">
      <w:pPr>
        <w:suppressAutoHyphens/>
        <w:spacing w:after="0" w:line="240" w:lineRule="auto"/>
        <w:outlineLvl w:val="0"/>
        <w:rPr>
          <w:rFonts w:ascii="Arial" w:hAnsi="Arial" w:cs="Arial"/>
        </w:rPr>
      </w:pPr>
    </w:p>
    <w:p w:rsidR="00BE7C46" w:rsidRPr="00BE7C46" w:rsidRDefault="00BE7C46" w:rsidP="00BE7C46">
      <w:pPr>
        <w:suppressAutoHyphens/>
        <w:spacing w:after="0" w:line="240" w:lineRule="auto"/>
        <w:outlineLvl w:val="0"/>
        <w:rPr>
          <w:rFonts w:ascii="Arial" w:hAnsi="Arial" w:cs="Arial"/>
          <w:b/>
        </w:rPr>
      </w:pPr>
    </w:p>
    <w:p w:rsidR="004A7CF4" w:rsidRDefault="00E15583" w:rsidP="004A7CF4">
      <w:pPr>
        <w:pStyle w:val="ListParagraph"/>
        <w:numPr>
          <w:ilvl w:val="0"/>
          <w:numId w:val="1"/>
        </w:numPr>
        <w:suppressAutoHyphens/>
        <w:spacing w:after="0" w:line="240" w:lineRule="auto"/>
        <w:outlineLvl w:val="0"/>
        <w:rPr>
          <w:rFonts w:ascii="Arial" w:eastAsia="Calibri" w:hAnsi="Arial" w:cs="Arial"/>
          <w:lang w:eastAsia="ar-SA"/>
        </w:rPr>
      </w:pPr>
      <w:r>
        <w:rPr>
          <w:rFonts w:ascii="Arial" w:eastAsia="Calibri" w:hAnsi="Arial" w:cs="Arial"/>
          <w:b/>
          <w:lang w:eastAsia="ar-SA"/>
        </w:rPr>
        <w:t>Completing the 2011 – 2020 National Road Safety Strategy</w:t>
      </w:r>
    </w:p>
    <w:p w:rsidR="004A7CF4" w:rsidRDefault="004A7CF4" w:rsidP="004A7CF4">
      <w:pPr>
        <w:suppressAutoHyphens/>
        <w:spacing w:after="0" w:line="240" w:lineRule="auto"/>
        <w:outlineLvl w:val="0"/>
        <w:rPr>
          <w:rFonts w:ascii="Arial" w:eastAsia="Calibri" w:hAnsi="Arial" w:cs="Arial"/>
          <w:lang w:eastAsia="ar-SA"/>
        </w:rPr>
      </w:pPr>
    </w:p>
    <w:p w:rsidR="006D49CA" w:rsidRDefault="006D49CA" w:rsidP="006D49CA">
      <w:pPr>
        <w:suppressAutoHyphens/>
        <w:spacing w:after="0" w:line="240" w:lineRule="auto"/>
        <w:outlineLvl w:val="0"/>
        <w:rPr>
          <w:rFonts w:ascii="Arial" w:eastAsia="Calibri" w:hAnsi="Arial" w:cs="Arial"/>
          <w:lang w:eastAsia="ar-SA"/>
        </w:rPr>
      </w:pPr>
      <w:r>
        <w:rPr>
          <w:rFonts w:ascii="Arial" w:eastAsia="Calibri" w:hAnsi="Arial" w:cs="Arial"/>
          <w:lang w:eastAsia="ar-SA"/>
        </w:rPr>
        <w:t>The National Road Safety Action Plan 2015 – 2017 prioritises improvement in the safety of Australia’s vehicle flee</w:t>
      </w:r>
      <w:r w:rsidR="00E32909">
        <w:rPr>
          <w:rFonts w:ascii="Arial" w:eastAsia="Calibri" w:hAnsi="Arial" w:cs="Arial"/>
          <w:lang w:eastAsia="ar-SA"/>
        </w:rPr>
        <w:t xml:space="preserve">t via </w:t>
      </w:r>
      <w:r w:rsidRPr="00E32909">
        <w:rPr>
          <w:rFonts w:ascii="Arial" w:eastAsia="Calibri" w:hAnsi="Arial" w:cs="Arial"/>
          <w:i/>
          <w:lang w:eastAsia="ar-SA"/>
        </w:rPr>
        <w:t>Action 8. Mandate electronic stability control (ESC) for new h</w:t>
      </w:r>
      <w:r w:rsidR="00E32909">
        <w:rPr>
          <w:rFonts w:ascii="Arial" w:eastAsia="Calibri" w:hAnsi="Arial" w:cs="Arial"/>
          <w:i/>
          <w:lang w:eastAsia="ar-SA"/>
        </w:rPr>
        <w:t xml:space="preserve">eavy vehicles. </w:t>
      </w:r>
      <w:r w:rsidR="00E32909" w:rsidRPr="00E32909">
        <w:rPr>
          <w:rFonts w:ascii="Arial" w:eastAsia="Calibri" w:hAnsi="Arial" w:cs="Arial"/>
          <w:lang w:eastAsia="ar-SA"/>
        </w:rPr>
        <w:t>This Action</w:t>
      </w:r>
      <w:r w:rsidRPr="00E32909">
        <w:rPr>
          <w:rFonts w:ascii="Arial" w:eastAsia="Calibri" w:hAnsi="Arial" w:cs="Arial"/>
          <w:lang w:eastAsia="ar-SA"/>
        </w:rPr>
        <w:t xml:space="preserve"> was due to be completed by the end of 2017. </w:t>
      </w:r>
    </w:p>
    <w:p w:rsidR="005171C6" w:rsidRDefault="005171C6" w:rsidP="006D49CA">
      <w:pPr>
        <w:suppressAutoHyphens/>
        <w:spacing w:after="0" w:line="240" w:lineRule="auto"/>
        <w:outlineLvl w:val="0"/>
        <w:rPr>
          <w:rFonts w:ascii="Arial" w:eastAsia="Calibri" w:hAnsi="Arial" w:cs="Arial"/>
          <w:lang w:eastAsia="ar-SA"/>
        </w:rPr>
      </w:pPr>
    </w:p>
    <w:p w:rsidR="000B263F" w:rsidRDefault="000B263F" w:rsidP="00AD2D01">
      <w:pPr>
        <w:suppressAutoHyphens/>
        <w:spacing w:after="0" w:line="240" w:lineRule="auto"/>
        <w:outlineLvl w:val="0"/>
        <w:rPr>
          <w:rFonts w:ascii="Arial" w:eastAsia="Calibri" w:hAnsi="Arial" w:cs="Arial"/>
          <w:b/>
          <w:i/>
          <w:lang w:eastAsia="ar-SA"/>
        </w:rPr>
      </w:pPr>
    </w:p>
    <w:p w:rsidR="00AD2D01" w:rsidRPr="003C6B1F" w:rsidRDefault="00AD2D01" w:rsidP="00AD2D01">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Mandating ESC for heavy vehicles</w:t>
      </w:r>
    </w:p>
    <w:p w:rsidR="00374146" w:rsidRPr="00374146" w:rsidRDefault="00374146" w:rsidP="00374146">
      <w:pPr>
        <w:suppressAutoHyphens/>
        <w:spacing w:after="0" w:line="240" w:lineRule="auto"/>
        <w:outlineLvl w:val="0"/>
        <w:rPr>
          <w:rFonts w:ascii="Arial" w:hAnsi="Arial" w:cs="Arial"/>
          <w:i/>
        </w:rPr>
      </w:pPr>
    </w:p>
    <w:p w:rsidR="00374146" w:rsidRDefault="00374146" w:rsidP="00374146">
      <w:pPr>
        <w:suppressAutoHyphens/>
        <w:spacing w:after="0" w:line="240" w:lineRule="auto"/>
        <w:outlineLvl w:val="0"/>
        <w:rPr>
          <w:rFonts w:ascii="Arial" w:hAnsi="Arial" w:cs="Arial"/>
        </w:rPr>
      </w:pPr>
      <w:r w:rsidRPr="003206C7">
        <w:rPr>
          <w:rFonts w:ascii="Arial" w:hAnsi="Arial" w:cs="Arial"/>
        </w:rPr>
        <w:t>The Australian Government has released a Regulation Impact Statement (RIS) on dra</w:t>
      </w:r>
      <w:r>
        <w:rPr>
          <w:rFonts w:ascii="Arial" w:hAnsi="Arial" w:cs="Arial"/>
        </w:rPr>
        <w:t>ft Australian Design Rules (ADR</w:t>
      </w:r>
      <w:r w:rsidRPr="003206C7">
        <w:rPr>
          <w:rFonts w:ascii="Arial" w:hAnsi="Arial" w:cs="Arial"/>
        </w:rPr>
        <w:t xml:space="preserve">s) for mandating ESC for heavy trucks and buses and RSC for heavy trailers. </w:t>
      </w:r>
    </w:p>
    <w:p w:rsidR="00374146" w:rsidRPr="003206C7" w:rsidRDefault="00374146" w:rsidP="00374146">
      <w:pPr>
        <w:suppressAutoHyphens/>
        <w:spacing w:after="0" w:line="240" w:lineRule="auto"/>
        <w:outlineLvl w:val="0"/>
        <w:rPr>
          <w:rFonts w:ascii="Arial" w:hAnsi="Arial" w:cs="Arial"/>
        </w:rPr>
      </w:pPr>
    </w:p>
    <w:p w:rsidR="00374146" w:rsidRDefault="00374146" w:rsidP="00374146">
      <w:pPr>
        <w:suppressAutoHyphens/>
        <w:spacing w:after="0" w:line="240" w:lineRule="auto"/>
        <w:outlineLvl w:val="0"/>
        <w:rPr>
          <w:rFonts w:ascii="Arial" w:hAnsi="Arial" w:cs="Arial"/>
        </w:rPr>
      </w:pPr>
      <w:r>
        <w:rPr>
          <w:rFonts w:ascii="Arial" w:hAnsi="Arial" w:cs="Arial"/>
        </w:rPr>
        <w:t>The ATA supports the fitting of ESC for all new trucks and trailers with a narrow range of exemptions. This will prioritise safety and the imperative to reduce the road toll over higher economic benefit offered by other options in the Australian Governments RIS on mandating ESC and Roll Stability Control.</w:t>
      </w:r>
    </w:p>
    <w:p w:rsidR="00374146" w:rsidRDefault="00374146" w:rsidP="00374146">
      <w:pPr>
        <w:suppressAutoHyphens/>
        <w:spacing w:after="0" w:line="240" w:lineRule="auto"/>
        <w:outlineLvl w:val="0"/>
        <w:rPr>
          <w:rFonts w:ascii="Arial" w:hAnsi="Arial" w:cs="Arial"/>
        </w:rPr>
      </w:pPr>
    </w:p>
    <w:p w:rsidR="00374146" w:rsidRPr="003342A5" w:rsidRDefault="00374146" w:rsidP="00374146">
      <w:pPr>
        <w:suppressAutoHyphens/>
        <w:spacing w:after="0" w:line="240" w:lineRule="auto"/>
        <w:outlineLvl w:val="0"/>
        <w:rPr>
          <w:rFonts w:ascii="Arial" w:hAnsi="Arial" w:cs="Arial"/>
        </w:rPr>
      </w:pPr>
      <w:r>
        <w:rPr>
          <w:rFonts w:ascii="Arial" w:hAnsi="Arial" w:cs="Arial"/>
        </w:rPr>
        <w:t xml:space="preserve">In its submission, the ATA recommends </w:t>
      </w:r>
      <w:r w:rsidRPr="003342A5">
        <w:rPr>
          <w:rFonts w:ascii="Arial" w:hAnsi="Arial" w:cs="Arial"/>
        </w:rPr>
        <w:t>Option 6a</w:t>
      </w:r>
      <w:r>
        <w:rPr>
          <w:rFonts w:ascii="Arial" w:hAnsi="Arial" w:cs="Arial"/>
        </w:rPr>
        <w:t xml:space="preserve"> be adopted</w:t>
      </w:r>
      <w:r w:rsidRPr="003342A5">
        <w:rPr>
          <w:rFonts w:ascii="Arial" w:hAnsi="Arial" w:cs="Arial"/>
        </w:rPr>
        <w:t xml:space="preserve"> – Mandatory standards under the Motor Vehicle Standards Act 1989 (Austr</w:t>
      </w:r>
      <w:r>
        <w:rPr>
          <w:rFonts w:ascii="Arial" w:hAnsi="Arial" w:cs="Arial"/>
        </w:rPr>
        <w:t>alian Design Rule).</w:t>
      </w:r>
    </w:p>
    <w:p w:rsidR="00374146" w:rsidRDefault="00374146" w:rsidP="00374146">
      <w:pPr>
        <w:suppressAutoHyphens/>
        <w:spacing w:after="0" w:line="240" w:lineRule="auto"/>
        <w:outlineLvl w:val="0"/>
        <w:rPr>
          <w:rFonts w:ascii="Arial" w:hAnsi="Arial" w:cs="Arial"/>
        </w:rPr>
      </w:pPr>
    </w:p>
    <w:p w:rsidR="00374146" w:rsidRDefault="00374146" w:rsidP="00374146">
      <w:pPr>
        <w:suppressAutoHyphens/>
        <w:spacing w:after="0" w:line="240" w:lineRule="auto"/>
        <w:outlineLvl w:val="0"/>
        <w:rPr>
          <w:rFonts w:ascii="Arial" w:hAnsi="Arial" w:cs="Arial"/>
        </w:rPr>
      </w:pPr>
      <w:r>
        <w:rPr>
          <w:rFonts w:ascii="Arial" w:hAnsi="Arial" w:cs="Arial"/>
        </w:rPr>
        <w:t>Further detail is available in the ATA’s submission to the Australian Government’s consultation RIS on mandating ESC and Roll Stability Control</w:t>
      </w:r>
      <w:r>
        <w:rPr>
          <w:rStyle w:val="FootnoteReference"/>
          <w:rFonts w:ascii="Arial" w:hAnsi="Arial" w:cs="Arial"/>
        </w:rPr>
        <w:footnoteReference w:id="1"/>
      </w:r>
      <w:r>
        <w:rPr>
          <w:rFonts w:ascii="Arial" w:hAnsi="Arial" w:cs="Arial"/>
        </w:rPr>
        <w:t xml:space="preserve">. </w:t>
      </w:r>
    </w:p>
    <w:p w:rsidR="00374146" w:rsidRDefault="00374146" w:rsidP="00374146">
      <w:pPr>
        <w:suppressAutoHyphens/>
        <w:spacing w:after="0" w:line="240" w:lineRule="auto"/>
        <w:outlineLvl w:val="0"/>
        <w:rPr>
          <w:rFonts w:ascii="Arial" w:hAnsi="Arial" w:cs="Arial"/>
        </w:rPr>
      </w:pPr>
    </w:p>
    <w:p w:rsidR="00374146" w:rsidRDefault="00374146" w:rsidP="00374146">
      <w:pPr>
        <w:suppressAutoHyphens/>
        <w:spacing w:after="0" w:line="240" w:lineRule="auto"/>
        <w:outlineLvl w:val="0"/>
        <w:rPr>
          <w:rFonts w:ascii="Arial" w:hAnsi="Arial" w:cs="Arial"/>
        </w:rPr>
      </w:pPr>
      <w:r>
        <w:rPr>
          <w:rFonts w:ascii="Arial" w:hAnsi="Arial" w:cs="Arial"/>
        </w:rPr>
        <w:lastRenderedPageBreak/>
        <w:t xml:space="preserve">This option is underpinned by Australia’s work health and safety (WH&amp;S) legislation and safety risk management generally. Australia’s work health and safety laws require businesses to eliminate or minimise risk to far </w:t>
      </w:r>
      <w:proofErr w:type="gramStart"/>
      <w:r>
        <w:rPr>
          <w:rFonts w:ascii="Arial" w:hAnsi="Arial" w:cs="Arial"/>
        </w:rPr>
        <w:t>is</w:t>
      </w:r>
      <w:proofErr w:type="gramEnd"/>
      <w:r>
        <w:rPr>
          <w:rFonts w:ascii="Arial" w:hAnsi="Arial" w:cs="Arial"/>
        </w:rPr>
        <w:t xml:space="preserve"> reasonably practicable. The HVNL will include a comparable requirement from mid-2018.</w:t>
      </w:r>
      <w:r>
        <w:rPr>
          <w:rStyle w:val="FootnoteReference"/>
          <w:rFonts w:ascii="Arial" w:hAnsi="Arial" w:cs="Arial"/>
        </w:rPr>
        <w:footnoteReference w:id="2"/>
      </w:r>
    </w:p>
    <w:p w:rsidR="00374146" w:rsidRDefault="00374146" w:rsidP="00374146">
      <w:pPr>
        <w:suppressAutoHyphens/>
        <w:spacing w:after="0" w:line="240" w:lineRule="auto"/>
        <w:outlineLvl w:val="0"/>
        <w:rPr>
          <w:rFonts w:ascii="Arial" w:hAnsi="Arial" w:cs="Arial"/>
        </w:rPr>
      </w:pPr>
    </w:p>
    <w:p w:rsidR="00374146" w:rsidRDefault="00374146" w:rsidP="00374146">
      <w:pPr>
        <w:suppressAutoHyphens/>
        <w:spacing w:after="0" w:line="240" w:lineRule="auto"/>
        <w:outlineLvl w:val="0"/>
        <w:rPr>
          <w:rFonts w:ascii="Arial" w:hAnsi="Arial" w:cs="Arial"/>
        </w:rPr>
      </w:pPr>
      <w:r>
        <w:rPr>
          <w:rFonts w:ascii="Arial" w:hAnsi="Arial" w:cs="Arial"/>
        </w:rPr>
        <w:t>The ATA has made this recommendation because it is the option that would save the greatest number of lives and avoid the greatest number of accidents, and would do so at reasonable cost.</w:t>
      </w:r>
    </w:p>
    <w:p w:rsidR="00AD2D01" w:rsidRDefault="00AD2D01" w:rsidP="004A7CF4">
      <w:pPr>
        <w:suppressAutoHyphens/>
        <w:spacing w:after="0" w:line="240" w:lineRule="auto"/>
        <w:outlineLvl w:val="0"/>
        <w:rPr>
          <w:rFonts w:ascii="Arial" w:eastAsia="Calibri" w:hAnsi="Arial" w:cs="Arial"/>
          <w:lang w:eastAsia="ar-SA"/>
        </w:rPr>
      </w:pPr>
    </w:p>
    <w:p w:rsidR="00AD2D01" w:rsidRDefault="00AD2D01" w:rsidP="004A7CF4">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This Action 8 outcome: </w:t>
      </w:r>
      <w:r w:rsidRPr="00AD2D01">
        <w:rPr>
          <w:rFonts w:ascii="Arial" w:eastAsia="Calibri" w:hAnsi="Arial" w:cs="Arial"/>
          <w:i/>
          <w:lang w:eastAsia="ar-SA"/>
        </w:rPr>
        <w:t>Adoption of an Australian Design Rule (subject to RIS outcomes)</w:t>
      </w:r>
      <w:r>
        <w:rPr>
          <w:rFonts w:ascii="Arial" w:eastAsia="Calibri" w:hAnsi="Arial" w:cs="Arial"/>
          <w:lang w:eastAsia="ar-SA"/>
        </w:rPr>
        <w:t xml:space="preserve"> should be completed without delay.</w:t>
      </w:r>
    </w:p>
    <w:p w:rsidR="0034734F" w:rsidRDefault="0034734F" w:rsidP="004A7CF4">
      <w:pPr>
        <w:suppressAutoHyphens/>
        <w:spacing w:after="0" w:line="240" w:lineRule="auto"/>
        <w:outlineLvl w:val="0"/>
        <w:rPr>
          <w:rFonts w:ascii="Arial" w:eastAsia="Calibri" w:hAnsi="Arial" w:cs="Arial"/>
          <w:lang w:eastAsia="ar-SA"/>
        </w:rPr>
      </w:pPr>
    </w:p>
    <w:p w:rsidR="005C3C4D" w:rsidRDefault="005C3C4D" w:rsidP="004A7CF4">
      <w:pPr>
        <w:suppressAutoHyphens/>
        <w:spacing w:after="0" w:line="240" w:lineRule="auto"/>
        <w:outlineLvl w:val="0"/>
        <w:rPr>
          <w:rFonts w:ascii="Arial" w:eastAsia="Calibri" w:hAnsi="Arial" w:cs="Arial"/>
          <w:lang w:eastAsia="ar-SA"/>
        </w:rPr>
      </w:pPr>
    </w:p>
    <w:p w:rsidR="00E15583" w:rsidRPr="00245A55" w:rsidRDefault="00E15583" w:rsidP="00E15583">
      <w:pPr>
        <w:suppressAutoHyphens/>
        <w:spacing w:after="0" w:line="240" w:lineRule="auto"/>
        <w:outlineLvl w:val="0"/>
        <w:rPr>
          <w:rFonts w:ascii="Arial" w:hAnsi="Arial" w:cs="Arial"/>
          <w:u w:val="single"/>
        </w:rPr>
      </w:pPr>
      <w:r w:rsidRPr="00245A55">
        <w:rPr>
          <w:rFonts w:ascii="Arial" w:hAnsi="Arial" w:cs="Arial"/>
          <w:b/>
          <w:u w:val="single"/>
        </w:rPr>
        <w:t>Recommendation 1</w:t>
      </w:r>
    </w:p>
    <w:p w:rsidR="00E15583" w:rsidRDefault="00E15583" w:rsidP="00E15583">
      <w:pPr>
        <w:suppressAutoHyphens/>
        <w:spacing w:after="0" w:line="240" w:lineRule="auto"/>
        <w:outlineLvl w:val="0"/>
        <w:rPr>
          <w:rFonts w:ascii="Arial" w:hAnsi="Arial" w:cs="Arial"/>
        </w:rPr>
      </w:pPr>
      <w:r>
        <w:rPr>
          <w:rFonts w:ascii="Arial" w:hAnsi="Arial" w:cs="Arial"/>
        </w:rPr>
        <w:t>The Australian Government should require the</w:t>
      </w:r>
      <w:r w:rsidRPr="00860B7C">
        <w:rPr>
          <w:rFonts w:ascii="Arial" w:hAnsi="Arial" w:cs="Arial"/>
        </w:rPr>
        <w:t xml:space="preserve"> fitting of ESC </w:t>
      </w:r>
      <w:r>
        <w:rPr>
          <w:rFonts w:ascii="Arial" w:hAnsi="Arial" w:cs="Arial"/>
        </w:rPr>
        <w:t>for all new trucks and trailers with only a narrow range of exemptions.</w:t>
      </w:r>
    </w:p>
    <w:p w:rsidR="006D49CA" w:rsidRDefault="006D49CA" w:rsidP="00E15583">
      <w:pPr>
        <w:suppressAutoHyphens/>
        <w:spacing w:after="0" w:line="240" w:lineRule="auto"/>
        <w:outlineLvl w:val="0"/>
        <w:rPr>
          <w:rFonts w:ascii="Arial" w:hAnsi="Arial" w:cs="Arial"/>
        </w:rPr>
      </w:pPr>
    </w:p>
    <w:p w:rsidR="009B3061" w:rsidRDefault="009B3061" w:rsidP="00E15583">
      <w:pPr>
        <w:suppressAutoHyphens/>
        <w:spacing w:after="0" w:line="240" w:lineRule="auto"/>
        <w:outlineLvl w:val="0"/>
        <w:rPr>
          <w:rFonts w:ascii="Arial" w:hAnsi="Arial" w:cs="Arial"/>
        </w:rPr>
      </w:pPr>
    </w:p>
    <w:p w:rsidR="00064DA0" w:rsidRDefault="00064DA0" w:rsidP="00064DA0">
      <w:pPr>
        <w:spacing w:after="0" w:line="240" w:lineRule="auto"/>
        <w:rPr>
          <w:rFonts w:ascii="Arial" w:hAnsi="Arial" w:cs="Arial"/>
          <w:b/>
          <w:lang w:eastAsia="ar-SA"/>
        </w:rPr>
      </w:pPr>
      <w:r>
        <w:rPr>
          <w:rFonts w:ascii="Arial" w:hAnsi="Arial" w:cs="Arial"/>
          <w:b/>
          <w:lang w:eastAsia="ar-SA"/>
        </w:rPr>
        <w:t>Assessment of infrastructure projects</w:t>
      </w:r>
    </w:p>
    <w:p w:rsidR="00064DA0" w:rsidRPr="00064DA0" w:rsidRDefault="00064DA0" w:rsidP="00064DA0">
      <w:pPr>
        <w:spacing w:after="0" w:line="240" w:lineRule="auto"/>
        <w:rPr>
          <w:rFonts w:ascii="Arial" w:hAnsi="Arial" w:cs="Arial"/>
          <w:b/>
          <w:lang w:eastAsia="ar-SA"/>
        </w:rPr>
      </w:pPr>
    </w:p>
    <w:p w:rsidR="00064DA0" w:rsidRPr="00064DA0" w:rsidRDefault="00064DA0" w:rsidP="00064DA0">
      <w:pPr>
        <w:spacing w:after="0" w:line="240" w:lineRule="auto"/>
        <w:rPr>
          <w:rFonts w:ascii="Arial" w:hAnsi="Arial" w:cs="Arial"/>
          <w:lang w:eastAsia="ar-SA"/>
        </w:rPr>
      </w:pPr>
      <w:r>
        <w:rPr>
          <w:rFonts w:ascii="Arial" w:hAnsi="Arial" w:cs="Arial"/>
          <w:lang w:eastAsia="ar-SA"/>
        </w:rPr>
        <w:t xml:space="preserve">The National Road Safety Action Plan 2015 – 2017 </w:t>
      </w:r>
      <w:r w:rsidRPr="00064DA0">
        <w:rPr>
          <w:rFonts w:ascii="Arial" w:hAnsi="Arial" w:cs="Arial"/>
          <w:i/>
          <w:iCs/>
          <w:lang w:eastAsia="ar-SA"/>
        </w:rPr>
        <w:t xml:space="preserve">Action 5. Apply national willingness to pay values infrastructure for investment and other road safety project appraisals, </w:t>
      </w:r>
      <w:r w:rsidRPr="00064DA0">
        <w:rPr>
          <w:rFonts w:ascii="Arial" w:hAnsi="Arial" w:cs="Arial"/>
          <w:lang w:eastAsia="ar-SA"/>
        </w:rPr>
        <w:t xml:space="preserve">was to be implemented by the end of 2017. Governments agreed </w:t>
      </w:r>
      <w:r>
        <w:rPr>
          <w:rFonts w:ascii="Arial" w:hAnsi="Arial" w:cs="Arial"/>
          <w:lang w:eastAsia="ar-SA"/>
        </w:rPr>
        <w:t xml:space="preserve">in the 2011-2020 National Road Safety Strategy to use the willingness to pay approach to valuing the cost of deaths and injuries in road crashes. </w:t>
      </w:r>
    </w:p>
    <w:p w:rsidR="00064DA0" w:rsidRPr="00064DA0" w:rsidRDefault="00064DA0" w:rsidP="00064DA0">
      <w:pPr>
        <w:spacing w:after="0" w:line="240" w:lineRule="auto"/>
        <w:rPr>
          <w:rFonts w:ascii="Arial" w:hAnsi="Arial" w:cs="Arial"/>
          <w:i/>
          <w:iCs/>
          <w:lang w:eastAsia="ar-SA"/>
        </w:rPr>
      </w:pPr>
    </w:p>
    <w:p w:rsidR="00064DA0" w:rsidRDefault="00064DA0" w:rsidP="00064DA0">
      <w:pPr>
        <w:spacing w:after="0" w:line="240" w:lineRule="auto"/>
        <w:rPr>
          <w:rFonts w:ascii="Arial" w:hAnsi="Arial" w:cs="Arial"/>
          <w:lang w:eastAsia="ar-SA"/>
        </w:rPr>
      </w:pPr>
      <w:r>
        <w:rPr>
          <w:rFonts w:ascii="Arial" w:hAnsi="Arial" w:cs="Arial"/>
          <w:iCs/>
          <w:lang w:eastAsia="ar-SA"/>
        </w:rPr>
        <w:t xml:space="preserve">The safety benefits of implementing this approach are significant. </w:t>
      </w:r>
      <w:r>
        <w:rPr>
          <w:rFonts w:ascii="Arial" w:hAnsi="Arial" w:cs="Arial"/>
          <w:lang w:eastAsia="ar-SA"/>
        </w:rPr>
        <w:t>The Department of Infrastructure and Regional Development Regulatory Impact Statement (RIS) on improving the stability control of heavy vehicles estimates the cost of a serious injury at $271,012 in 2016 dollar terms,</w:t>
      </w:r>
      <w:r w:rsidR="000B263F">
        <w:rPr>
          <w:rStyle w:val="FootnoteReference"/>
          <w:rFonts w:ascii="Arial" w:hAnsi="Arial" w:cs="Arial"/>
          <w:lang w:eastAsia="ar-SA"/>
        </w:rPr>
        <w:footnoteReference w:id="3"/>
      </w:r>
      <w:r>
        <w:rPr>
          <w:rFonts w:ascii="Arial" w:hAnsi="Arial" w:cs="Arial"/>
          <w:lang w:eastAsia="ar-SA"/>
        </w:rPr>
        <w:t xml:space="preserve"> based on a BITRE research report.</w:t>
      </w:r>
      <w:r w:rsidR="000B263F">
        <w:rPr>
          <w:rStyle w:val="FootnoteReference"/>
          <w:rFonts w:ascii="Arial" w:hAnsi="Arial" w:cs="Arial"/>
          <w:lang w:eastAsia="ar-SA"/>
        </w:rPr>
        <w:footnoteReference w:id="4"/>
      </w:r>
      <w:r>
        <w:rPr>
          <w:rFonts w:ascii="Arial" w:hAnsi="Arial" w:cs="Arial"/>
          <w:lang w:eastAsia="ar-SA"/>
        </w:rPr>
        <w:t xml:space="preserve"> </w:t>
      </w:r>
    </w:p>
    <w:p w:rsidR="00064DA0" w:rsidRDefault="00064DA0" w:rsidP="00064DA0">
      <w:pPr>
        <w:spacing w:after="0" w:line="240" w:lineRule="auto"/>
        <w:rPr>
          <w:rFonts w:ascii="Arial" w:hAnsi="Arial" w:cs="Arial"/>
          <w:lang w:eastAsia="ar-SA"/>
        </w:rPr>
      </w:pPr>
    </w:p>
    <w:p w:rsidR="00064DA0" w:rsidRDefault="00064DA0" w:rsidP="00064DA0">
      <w:pPr>
        <w:spacing w:after="0" w:line="240" w:lineRule="auto"/>
        <w:rPr>
          <w:rFonts w:ascii="Arial" w:hAnsi="Arial" w:cs="Arial"/>
          <w:lang w:eastAsia="ar-SA"/>
        </w:rPr>
      </w:pPr>
      <w:r>
        <w:rPr>
          <w:rFonts w:ascii="Arial" w:hAnsi="Arial" w:cs="Arial"/>
          <w:lang w:eastAsia="ar-SA"/>
        </w:rPr>
        <w:t>The report uses a hybrid human capital approach to reach the estimate. The approach sums 11 economic and non-economic costs together, such as workplace and household losses, hospital and medical costs and the cost of workplace disruption and replacement.</w:t>
      </w:r>
      <w:r w:rsidR="00D20197">
        <w:rPr>
          <w:rStyle w:val="FootnoteReference"/>
          <w:rFonts w:ascii="Arial" w:hAnsi="Arial" w:cs="Arial"/>
          <w:lang w:eastAsia="ar-SA"/>
        </w:rPr>
        <w:footnoteReference w:id="5"/>
      </w:r>
    </w:p>
    <w:p w:rsidR="00064DA0" w:rsidRDefault="00064DA0" w:rsidP="00064DA0">
      <w:pPr>
        <w:spacing w:after="0" w:line="240" w:lineRule="auto"/>
        <w:rPr>
          <w:rFonts w:ascii="Arial" w:hAnsi="Arial" w:cs="Arial"/>
          <w:lang w:eastAsia="ar-SA"/>
        </w:rPr>
      </w:pPr>
    </w:p>
    <w:p w:rsidR="00064DA0" w:rsidRDefault="00064DA0" w:rsidP="00064DA0">
      <w:pPr>
        <w:spacing w:after="0" w:line="240" w:lineRule="auto"/>
        <w:rPr>
          <w:rFonts w:ascii="Arial" w:hAnsi="Arial" w:cs="Arial"/>
          <w:lang w:eastAsia="ar-SA"/>
        </w:rPr>
      </w:pPr>
      <w:r>
        <w:rPr>
          <w:rFonts w:ascii="Arial" w:hAnsi="Arial" w:cs="Arial"/>
          <w:lang w:eastAsia="ar-SA"/>
        </w:rPr>
        <w:t>The alternative approach to calculating a statistical cost for deaths and injuries is - willingness to pay. This approach generates its values by asking individuals how much they are willing to pay for gains such as a certain improvement in health or the reduction in risk of a crash.</w:t>
      </w:r>
      <w:r w:rsidR="00D20197">
        <w:rPr>
          <w:rStyle w:val="FootnoteReference"/>
          <w:rFonts w:ascii="Arial" w:hAnsi="Arial" w:cs="Arial"/>
          <w:lang w:eastAsia="ar-SA"/>
        </w:rPr>
        <w:footnoteReference w:id="6"/>
      </w:r>
    </w:p>
    <w:p w:rsidR="00064DA0" w:rsidRDefault="00064DA0" w:rsidP="00064DA0">
      <w:pPr>
        <w:spacing w:after="0" w:line="240" w:lineRule="auto"/>
        <w:rPr>
          <w:rFonts w:ascii="Arial" w:hAnsi="Arial" w:cs="Arial"/>
          <w:lang w:eastAsia="ar-SA"/>
        </w:rPr>
      </w:pPr>
    </w:p>
    <w:p w:rsidR="00064DA0" w:rsidRDefault="00064DA0" w:rsidP="00064DA0">
      <w:pPr>
        <w:spacing w:after="0" w:line="240" w:lineRule="auto"/>
        <w:rPr>
          <w:rFonts w:ascii="Arial" w:hAnsi="Arial" w:cs="Arial"/>
          <w:lang w:eastAsia="ar-SA"/>
        </w:rPr>
      </w:pPr>
      <w:r>
        <w:rPr>
          <w:rFonts w:ascii="Arial" w:hAnsi="Arial" w:cs="Arial"/>
          <w:lang w:eastAsia="ar-SA"/>
        </w:rPr>
        <w:t>Willingness to pay estimates of the cost of road crashes are markedly higher than human capital estimates: people are risk averse and are prepared to pay a premium for not being killed or injured. According to BITRE, a willingness to pay valuation of the cost of serious injury would generate values 45 per cent higher than those generated using its human capital approach.</w:t>
      </w:r>
      <w:r>
        <w:rPr>
          <w:rStyle w:val="FootnoteReference"/>
          <w:rFonts w:ascii="Arial" w:hAnsi="Arial" w:cs="Arial"/>
          <w:lang w:eastAsia="ar-SA"/>
        </w:rPr>
        <w:t xml:space="preserve"> </w:t>
      </w:r>
      <w:r w:rsidR="00D20197">
        <w:rPr>
          <w:rStyle w:val="FootnoteReference"/>
          <w:rFonts w:ascii="Arial" w:hAnsi="Arial" w:cs="Arial"/>
          <w:lang w:eastAsia="ar-SA"/>
        </w:rPr>
        <w:footnoteReference w:id="7"/>
      </w:r>
    </w:p>
    <w:p w:rsidR="00064DA0" w:rsidRPr="00064DA0" w:rsidRDefault="00064DA0" w:rsidP="00064DA0">
      <w:pPr>
        <w:spacing w:after="0" w:line="240" w:lineRule="auto"/>
        <w:rPr>
          <w:rFonts w:ascii="Arial" w:hAnsi="Arial" w:cs="Arial"/>
          <w:lang w:eastAsia="ar-SA"/>
        </w:rPr>
      </w:pPr>
    </w:p>
    <w:p w:rsidR="00064DA0" w:rsidRPr="009C07A7" w:rsidRDefault="00064DA0" w:rsidP="00064DA0">
      <w:pPr>
        <w:spacing w:after="0" w:line="240" w:lineRule="auto"/>
        <w:rPr>
          <w:rFonts w:ascii="Arial" w:hAnsi="Arial" w:cs="Arial"/>
          <w:lang w:eastAsia="ar-SA"/>
        </w:rPr>
      </w:pPr>
      <w:r>
        <w:rPr>
          <w:rFonts w:ascii="Arial" w:hAnsi="Arial" w:cs="Arial"/>
          <w:lang w:eastAsia="ar-SA"/>
        </w:rPr>
        <w:lastRenderedPageBreak/>
        <w:t>For the appraisal of transport related projects, Infrastructure Australia recommends the Australian Transport Assessment and Planning (ATAP) guidelines as the default guidance for almost all aspects of the appraisal process, with some limited departures from the guidelines relating to vehicle occupancy rates and vehicle operating costs</w:t>
      </w:r>
      <w:r>
        <w:rPr>
          <w:rStyle w:val="FootnoteReference"/>
          <w:rFonts w:ascii="Arial" w:hAnsi="Arial" w:cs="Arial"/>
          <w:lang w:eastAsia="ar-SA"/>
        </w:rPr>
        <w:footnoteReference w:id="8"/>
      </w:r>
    </w:p>
    <w:p w:rsidR="00064DA0" w:rsidRPr="00064DA0" w:rsidRDefault="00064DA0" w:rsidP="00064DA0">
      <w:pPr>
        <w:spacing w:after="0" w:line="240" w:lineRule="auto"/>
        <w:rPr>
          <w:rFonts w:ascii="Arial" w:hAnsi="Arial" w:cs="Arial"/>
          <w:lang w:eastAsia="ar-SA"/>
        </w:rPr>
      </w:pPr>
    </w:p>
    <w:p w:rsidR="00064DA0" w:rsidRDefault="00064DA0" w:rsidP="00064DA0">
      <w:pPr>
        <w:spacing w:after="0" w:line="240" w:lineRule="auto"/>
        <w:rPr>
          <w:rFonts w:ascii="Arial" w:hAnsi="Arial" w:cs="Arial"/>
          <w:lang w:eastAsia="ar-SA"/>
        </w:rPr>
      </w:pPr>
      <w:r>
        <w:rPr>
          <w:rFonts w:ascii="Arial" w:hAnsi="Arial" w:cs="Arial"/>
          <w:lang w:eastAsia="ar-SA"/>
        </w:rPr>
        <w:t>The ATAP Guidelines provide the estimation of average cost of crashes per crash severity by either the human capital or willingness to pay approaches</w:t>
      </w:r>
      <w:r>
        <w:rPr>
          <w:rStyle w:val="FootnoteReference"/>
          <w:rFonts w:ascii="Arial" w:hAnsi="Arial" w:cs="Arial"/>
          <w:lang w:eastAsia="ar-SA"/>
        </w:rPr>
        <w:footnoteReference w:id="9"/>
      </w:r>
      <w:r>
        <w:rPr>
          <w:rFonts w:ascii="Arial" w:hAnsi="Arial" w:cs="Arial"/>
          <w:lang w:eastAsia="ar-SA"/>
        </w:rPr>
        <w:t xml:space="preserve"> </w:t>
      </w:r>
      <w:proofErr w:type="gramStart"/>
      <w:r>
        <w:rPr>
          <w:rFonts w:ascii="Arial" w:hAnsi="Arial" w:cs="Arial"/>
          <w:lang w:eastAsia="ar-SA"/>
        </w:rPr>
        <w:t>This</w:t>
      </w:r>
      <w:proofErr w:type="gramEnd"/>
      <w:r>
        <w:rPr>
          <w:rFonts w:ascii="Arial" w:hAnsi="Arial" w:cs="Arial"/>
          <w:lang w:eastAsia="ar-SA"/>
        </w:rPr>
        <w:t xml:space="preserve"> ultimately fails to implement the long standing commitment to apply willingness to pay for the assessment of road projects. </w:t>
      </w:r>
    </w:p>
    <w:p w:rsidR="00064DA0" w:rsidRDefault="00064DA0" w:rsidP="00064DA0">
      <w:pPr>
        <w:spacing w:after="0" w:line="240" w:lineRule="auto"/>
        <w:rPr>
          <w:rFonts w:ascii="Arial" w:hAnsi="Arial" w:cs="Arial"/>
          <w:lang w:eastAsia="ar-SA"/>
        </w:rPr>
      </w:pPr>
    </w:p>
    <w:p w:rsidR="00064DA0" w:rsidRDefault="00064DA0" w:rsidP="00064DA0">
      <w:pPr>
        <w:spacing w:after="0" w:line="240" w:lineRule="auto"/>
        <w:rPr>
          <w:rFonts w:ascii="Arial" w:hAnsi="Arial" w:cs="Arial"/>
          <w:lang w:eastAsia="ar-SA"/>
        </w:rPr>
      </w:pPr>
      <w:r>
        <w:rPr>
          <w:rFonts w:ascii="Arial" w:hAnsi="Arial" w:cs="Arial"/>
          <w:lang w:eastAsia="ar-SA"/>
        </w:rPr>
        <w:t xml:space="preserve">Implementing willingness to pay, in both the ATAP guidelines and Infrastructure Australia assessments, would increase the value placed on improving safety outcomes when road project business cases are assessed by governments. This would increase the funding priority placed on achieving road safety infrastructure upgrades. </w:t>
      </w:r>
    </w:p>
    <w:p w:rsidR="00064DA0" w:rsidRDefault="00064DA0" w:rsidP="00064DA0">
      <w:pPr>
        <w:spacing w:after="0" w:line="240" w:lineRule="auto"/>
        <w:rPr>
          <w:rFonts w:ascii="Arial" w:hAnsi="Arial" w:cs="Arial"/>
          <w:lang w:eastAsia="ar-SA"/>
        </w:rPr>
      </w:pPr>
    </w:p>
    <w:p w:rsidR="005C3C4D" w:rsidRPr="00064DA0" w:rsidRDefault="005C3C4D" w:rsidP="00064DA0">
      <w:pPr>
        <w:spacing w:after="0" w:line="240" w:lineRule="auto"/>
        <w:rPr>
          <w:rFonts w:ascii="Arial" w:hAnsi="Arial" w:cs="Arial"/>
          <w:lang w:eastAsia="ar-SA"/>
        </w:rPr>
      </w:pPr>
    </w:p>
    <w:p w:rsidR="00064DA0" w:rsidRPr="00064DA0" w:rsidRDefault="005C3C4D" w:rsidP="00064DA0">
      <w:pPr>
        <w:spacing w:after="0" w:line="240" w:lineRule="auto"/>
        <w:rPr>
          <w:rFonts w:ascii="Arial" w:hAnsi="Arial" w:cs="Arial"/>
          <w:b/>
          <w:bCs/>
          <w:u w:val="single"/>
          <w:lang w:eastAsia="ar-SA"/>
        </w:rPr>
      </w:pPr>
      <w:r>
        <w:rPr>
          <w:rFonts w:ascii="Arial" w:hAnsi="Arial" w:cs="Arial"/>
          <w:b/>
          <w:bCs/>
          <w:u w:val="single"/>
          <w:lang w:eastAsia="ar-SA"/>
        </w:rPr>
        <w:t>Recommendation 2</w:t>
      </w:r>
    </w:p>
    <w:p w:rsidR="00064DA0" w:rsidRDefault="00064DA0" w:rsidP="00064DA0">
      <w:pPr>
        <w:spacing w:after="0" w:line="240" w:lineRule="auto"/>
        <w:rPr>
          <w:rFonts w:ascii="Arial" w:hAnsi="Arial" w:cs="Arial"/>
          <w:lang w:eastAsia="ar-SA"/>
        </w:rPr>
      </w:pPr>
      <w:r>
        <w:rPr>
          <w:rFonts w:ascii="Arial" w:hAnsi="Arial" w:cs="Arial"/>
          <w:lang w:eastAsia="ar-SA"/>
        </w:rPr>
        <w:t xml:space="preserve">The Transport and Infrastructure Council should, as a priority, update the Australian Transport Assessment and Planning guidelines to only use willingness to pay for estimating the cost of deaths and injuries in road crashes. </w:t>
      </w:r>
    </w:p>
    <w:p w:rsidR="00064DA0" w:rsidRDefault="00064DA0" w:rsidP="00064DA0">
      <w:pPr>
        <w:spacing w:after="0" w:line="240" w:lineRule="auto"/>
        <w:rPr>
          <w:rFonts w:ascii="Arial" w:hAnsi="Arial" w:cs="Arial"/>
          <w:i/>
          <w:iCs/>
        </w:rPr>
      </w:pPr>
    </w:p>
    <w:p w:rsidR="00BE7C46" w:rsidRPr="005C3C4D" w:rsidRDefault="005C3C4D" w:rsidP="00BE7C46">
      <w:pPr>
        <w:spacing w:after="0" w:line="240" w:lineRule="auto"/>
        <w:rPr>
          <w:rFonts w:ascii="Arial" w:hAnsi="Arial" w:cs="Arial"/>
          <w:iCs/>
          <w:u w:val="single"/>
        </w:rPr>
      </w:pPr>
      <w:r w:rsidRPr="005C3C4D">
        <w:rPr>
          <w:rFonts w:ascii="Arial" w:hAnsi="Arial" w:cs="Arial"/>
          <w:b/>
          <w:iCs/>
          <w:u w:val="single"/>
        </w:rPr>
        <w:t>Recommendation 3</w:t>
      </w:r>
    </w:p>
    <w:p w:rsidR="00BE7C46" w:rsidRPr="006378AB" w:rsidRDefault="00BE7C46" w:rsidP="00BE7C46">
      <w:pPr>
        <w:spacing w:after="0" w:line="240" w:lineRule="auto"/>
        <w:rPr>
          <w:rFonts w:ascii="Arial" w:hAnsi="Arial" w:cs="Arial"/>
          <w:iCs/>
        </w:rPr>
      </w:pPr>
      <w:r>
        <w:rPr>
          <w:rFonts w:ascii="Arial" w:hAnsi="Arial" w:cs="Arial"/>
          <w:iCs/>
        </w:rPr>
        <w:t xml:space="preserve">For the assessment of transport appraisals, Infrastructure Australia should require willingness to pay for estimating the cost of deaths and injuries in road crashes, until the ATAP guidelines are updated to reflect this approach. </w:t>
      </w:r>
    </w:p>
    <w:p w:rsidR="00064DA0" w:rsidRDefault="00064DA0" w:rsidP="00064DA0">
      <w:pPr>
        <w:spacing w:after="0" w:line="240" w:lineRule="auto"/>
      </w:pPr>
    </w:p>
    <w:p w:rsidR="008C5857" w:rsidRDefault="008C5857" w:rsidP="00E15583">
      <w:pPr>
        <w:suppressAutoHyphens/>
        <w:spacing w:after="0" w:line="240" w:lineRule="auto"/>
        <w:outlineLvl w:val="0"/>
        <w:rPr>
          <w:rFonts w:ascii="Arial" w:hAnsi="Arial" w:cs="Arial"/>
          <w:i/>
        </w:rPr>
      </w:pPr>
    </w:p>
    <w:p w:rsidR="00D75A01" w:rsidRPr="003C6B1F" w:rsidRDefault="006D49CA" w:rsidP="00D75A01">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Truck safety accreditation programs</w:t>
      </w:r>
    </w:p>
    <w:p w:rsidR="00D75A01" w:rsidRPr="00D75A01" w:rsidRDefault="00D75A01" w:rsidP="00D75A01">
      <w:pPr>
        <w:suppressAutoHyphens/>
        <w:spacing w:after="0" w:line="240" w:lineRule="auto"/>
        <w:outlineLvl w:val="0"/>
        <w:rPr>
          <w:rFonts w:ascii="Arial" w:eastAsia="Calibri" w:hAnsi="Arial" w:cs="Arial"/>
          <w:i/>
          <w:lang w:eastAsia="ar-SA"/>
        </w:rPr>
      </w:pPr>
    </w:p>
    <w:p w:rsidR="00D75A01" w:rsidRPr="00ED0653" w:rsidRDefault="00ED0653" w:rsidP="00D75A01">
      <w:pPr>
        <w:rPr>
          <w:rFonts w:ascii="Arial" w:hAnsi="Arial" w:cs="Arial"/>
        </w:rPr>
      </w:pPr>
      <w:r>
        <w:rPr>
          <w:rFonts w:ascii="Arial" w:eastAsia="Calibri" w:hAnsi="Arial" w:cs="Arial"/>
          <w:lang w:eastAsia="ar-SA"/>
        </w:rPr>
        <w:t>T</w:t>
      </w:r>
      <w:r w:rsidR="00D75A01">
        <w:rPr>
          <w:rFonts w:ascii="Arial" w:eastAsia="Calibri" w:hAnsi="Arial" w:cs="Arial"/>
          <w:lang w:eastAsia="ar-SA"/>
        </w:rPr>
        <w:t xml:space="preserve">he National Road Safety Action Plan 2015 – 2017 </w:t>
      </w:r>
      <w:r>
        <w:rPr>
          <w:rFonts w:ascii="Arial" w:eastAsia="Calibri" w:hAnsi="Arial" w:cs="Arial"/>
          <w:lang w:eastAsia="ar-SA"/>
        </w:rPr>
        <w:t xml:space="preserve">includes </w:t>
      </w:r>
      <w:r w:rsidR="00D75A01" w:rsidRPr="00ED0653">
        <w:rPr>
          <w:rFonts w:ascii="Arial" w:hAnsi="Arial" w:cs="Arial"/>
          <w:i/>
        </w:rPr>
        <w:t>Action 11. Implement measures to improve heavy vehicles roadworthiness</w:t>
      </w:r>
      <w:r>
        <w:rPr>
          <w:rFonts w:ascii="Arial" w:hAnsi="Arial" w:cs="Arial"/>
          <w:i/>
        </w:rPr>
        <w:t xml:space="preserve">. </w:t>
      </w:r>
      <w:r>
        <w:rPr>
          <w:rFonts w:ascii="Arial" w:hAnsi="Arial" w:cs="Arial"/>
        </w:rPr>
        <w:t>This action, due for completion by end 2017, has not been completed.</w:t>
      </w:r>
    </w:p>
    <w:p w:rsidR="006D49CA" w:rsidRDefault="006D49CA" w:rsidP="006D49CA">
      <w:pPr>
        <w:rPr>
          <w:rFonts w:ascii="Arial" w:hAnsi="Arial" w:cs="Arial"/>
        </w:rPr>
      </w:pPr>
      <w:r>
        <w:rPr>
          <w:rFonts w:ascii="Arial" w:hAnsi="Arial" w:cs="Arial"/>
        </w:rPr>
        <w:t>Safety accreditation programs, with independent auditing and comprehensive safety standards, encourage high safety standards in the trucking industry.</w:t>
      </w:r>
    </w:p>
    <w:p w:rsidR="006D49CA" w:rsidRDefault="006D49CA" w:rsidP="006D49CA">
      <w:pPr>
        <w:rPr>
          <w:rFonts w:ascii="Arial" w:hAnsi="Arial" w:cs="Arial"/>
        </w:rPr>
      </w:pPr>
      <w:r>
        <w:rPr>
          <w:rFonts w:ascii="Arial" w:hAnsi="Arial" w:cs="Arial"/>
        </w:rPr>
        <w:t xml:space="preserve">The ATA operates </w:t>
      </w:r>
      <w:proofErr w:type="spellStart"/>
      <w:r>
        <w:rPr>
          <w:rFonts w:ascii="Arial" w:hAnsi="Arial" w:cs="Arial"/>
        </w:rPr>
        <w:t>TruckSafe</w:t>
      </w:r>
      <w:proofErr w:type="spellEnd"/>
      <w:r>
        <w:rPr>
          <w:rFonts w:ascii="Arial" w:hAnsi="Arial" w:cs="Arial"/>
        </w:rPr>
        <w:t xml:space="preserve">, an industry led solution adapted over 20 years, which provides operators with an accreditation program that has strong safety standards. </w:t>
      </w:r>
    </w:p>
    <w:p w:rsidR="006D49CA" w:rsidRDefault="006D49CA" w:rsidP="006D49CA">
      <w:pPr>
        <w:rPr>
          <w:rFonts w:ascii="Arial" w:hAnsi="Arial" w:cs="Arial"/>
        </w:rPr>
      </w:pPr>
      <w:r>
        <w:rPr>
          <w:rFonts w:ascii="Arial" w:hAnsi="Arial" w:cs="Arial"/>
        </w:rPr>
        <w:t xml:space="preserve">Businesses accredited under </w:t>
      </w:r>
      <w:proofErr w:type="spellStart"/>
      <w:r>
        <w:rPr>
          <w:rFonts w:ascii="Arial" w:hAnsi="Arial" w:cs="Arial"/>
        </w:rPr>
        <w:t>TruckSafe</w:t>
      </w:r>
      <w:proofErr w:type="spellEnd"/>
      <w:r>
        <w:rPr>
          <w:rFonts w:ascii="Arial" w:hAnsi="Arial" w:cs="Arial"/>
        </w:rPr>
        <w:t xml:space="preserve"> are required to meet five key standards. Livestock transporters are also required to comply with a sixth standard, which comprises the strongest animal welfare rules in Australia.</w:t>
      </w:r>
    </w:p>
    <w:p w:rsidR="006D49CA" w:rsidRDefault="006D49CA" w:rsidP="006D49CA">
      <w:pPr>
        <w:rPr>
          <w:rFonts w:ascii="Arial" w:hAnsi="Arial" w:cs="Arial"/>
        </w:rPr>
      </w:pPr>
      <w:proofErr w:type="spellStart"/>
      <w:r>
        <w:rPr>
          <w:rFonts w:ascii="Arial" w:hAnsi="Arial" w:cs="Arial"/>
        </w:rPr>
        <w:t>TruckSafe</w:t>
      </w:r>
      <w:proofErr w:type="spellEnd"/>
      <w:r>
        <w:rPr>
          <w:rFonts w:ascii="Arial" w:hAnsi="Arial" w:cs="Arial"/>
        </w:rPr>
        <w:t xml:space="preserve"> members are audited regularly by independent, qualified auditors. Ten of the twelve auditors are based in regional Australia. </w:t>
      </w:r>
      <w:proofErr w:type="spellStart"/>
      <w:r>
        <w:rPr>
          <w:rFonts w:ascii="Arial" w:hAnsi="Arial" w:cs="Arial"/>
        </w:rPr>
        <w:t>TruckSafe</w:t>
      </w:r>
      <w:proofErr w:type="spellEnd"/>
      <w:r>
        <w:rPr>
          <w:rFonts w:ascii="Arial" w:hAnsi="Arial" w:cs="Arial"/>
        </w:rPr>
        <w:t xml:space="preserve"> has assisted more than 820 businesses since it was first established, and has 94 current NSW based trucking operators. </w:t>
      </w:r>
    </w:p>
    <w:p w:rsidR="006D49CA" w:rsidRDefault="006D49CA" w:rsidP="006D49CA">
      <w:pPr>
        <w:rPr>
          <w:rFonts w:ascii="Arial" w:hAnsi="Arial" w:cs="Arial"/>
        </w:rPr>
      </w:pPr>
      <w:proofErr w:type="spellStart"/>
      <w:r>
        <w:rPr>
          <w:rFonts w:ascii="Arial" w:hAnsi="Arial" w:cs="Arial"/>
        </w:rPr>
        <w:t>TruckSafe</w:t>
      </w:r>
      <w:proofErr w:type="spellEnd"/>
      <w:r>
        <w:rPr>
          <w:rFonts w:ascii="Arial" w:hAnsi="Arial" w:cs="Arial"/>
        </w:rPr>
        <w:t xml:space="preserve"> introduced upgraded standards from 1 January 2017 and operators are now being audited against them. Under the new standards:</w:t>
      </w:r>
    </w:p>
    <w:p w:rsidR="006D49CA" w:rsidRDefault="006D49CA" w:rsidP="006D49CA">
      <w:pPr>
        <w:pStyle w:val="ListParagraph"/>
        <w:numPr>
          <w:ilvl w:val="0"/>
          <w:numId w:val="2"/>
        </w:numPr>
        <w:rPr>
          <w:rFonts w:ascii="Arial" w:hAnsi="Arial" w:cs="Arial"/>
        </w:rPr>
      </w:pPr>
      <w:r>
        <w:rPr>
          <w:rFonts w:ascii="Arial" w:hAnsi="Arial" w:cs="Arial"/>
        </w:rPr>
        <w:lastRenderedPageBreak/>
        <w:t>Operators must develop, implement and maintain procedures to ensure that all speed limiters work correctly.</w:t>
      </w:r>
    </w:p>
    <w:p w:rsidR="006D49CA" w:rsidRDefault="006D49CA" w:rsidP="006D49CA">
      <w:pPr>
        <w:pStyle w:val="ListParagraph"/>
        <w:numPr>
          <w:ilvl w:val="0"/>
          <w:numId w:val="2"/>
        </w:numPr>
        <w:rPr>
          <w:rFonts w:ascii="Arial" w:hAnsi="Arial" w:cs="Arial"/>
        </w:rPr>
      </w:pPr>
      <w:r>
        <w:rPr>
          <w:rFonts w:ascii="Arial" w:hAnsi="Arial" w:cs="Arial"/>
        </w:rPr>
        <w:t xml:space="preserve">Personnel involved in </w:t>
      </w:r>
      <w:proofErr w:type="spellStart"/>
      <w:r>
        <w:rPr>
          <w:rFonts w:ascii="Arial" w:hAnsi="Arial" w:cs="Arial"/>
        </w:rPr>
        <w:t>TruckSafe</w:t>
      </w:r>
      <w:proofErr w:type="spellEnd"/>
      <w:r>
        <w:rPr>
          <w:rFonts w:ascii="Arial" w:hAnsi="Arial" w:cs="Arial"/>
        </w:rPr>
        <w:t xml:space="preserve"> must have refresher training every three years, including a practical driving verification for drivers. </w:t>
      </w:r>
    </w:p>
    <w:p w:rsidR="006D49CA" w:rsidRDefault="006D49CA" w:rsidP="006D49CA">
      <w:pPr>
        <w:pStyle w:val="ListParagraph"/>
        <w:numPr>
          <w:ilvl w:val="0"/>
          <w:numId w:val="2"/>
        </w:numPr>
        <w:rPr>
          <w:rFonts w:ascii="Arial" w:hAnsi="Arial" w:cs="Arial"/>
        </w:rPr>
      </w:pPr>
      <w:r>
        <w:rPr>
          <w:rFonts w:ascii="Arial" w:hAnsi="Arial" w:cs="Arial"/>
        </w:rPr>
        <w:t>Operators must regularly review their MDLR, speed and fatigue procedures using a system based on ISO31000.</w:t>
      </w:r>
    </w:p>
    <w:p w:rsidR="006D49CA" w:rsidRDefault="006D49CA" w:rsidP="006D49CA">
      <w:pPr>
        <w:rPr>
          <w:rFonts w:ascii="Arial" w:hAnsi="Arial" w:cs="Arial"/>
        </w:rPr>
      </w:pPr>
      <w:r>
        <w:rPr>
          <w:rFonts w:ascii="Arial" w:hAnsi="Arial" w:cs="Arial"/>
        </w:rPr>
        <w:t xml:space="preserve">However, despite the comprehensive safety standards of </w:t>
      </w:r>
      <w:proofErr w:type="spellStart"/>
      <w:r>
        <w:rPr>
          <w:rFonts w:ascii="Arial" w:hAnsi="Arial" w:cs="Arial"/>
        </w:rPr>
        <w:t>TruckSafe</w:t>
      </w:r>
      <w:proofErr w:type="spellEnd"/>
      <w:r>
        <w:rPr>
          <w:rFonts w:ascii="Arial" w:hAnsi="Arial" w:cs="Arial"/>
        </w:rPr>
        <w:t xml:space="preserve">, government policy and regulation effectively encourages operators to join the National Heavy Vehicle Accreditation Scheme (NHVAS), which is not as comprehensive as </w:t>
      </w:r>
      <w:proofErr w:type="spellStart"/>
      <w:r>
        <w:rPr>
          <w:rFonts w:ascii="Arial" w:hAnsi="Arial" w:cs="Arial"/>
        </w:rPr>
        <w:t>TruckSafe</w:t>
      </w:r>
      <w:proofErr w:type="spellEnd"/>
      <w:r>
        <w:rPr>
          <w:rFonts w:ascii="Arial" w:hAnsi="Arial" w:cs="Arial"/>
        </w:rPr>
        <w:t xml:space="preserve">. </w:t>
      </w:r>
    </w:p>
    <w:p w:rsidR="006D49CA" w:rsidRDefault="006D49CA" w:rsidP="006D49CA">
      <w:pPr>
        <w:rPr>
          <w:rFonts w:ascii="Arial" w:hAnsi="Arial" w:cs="Arial"/>
        </w:rPr>
      </w:pPr>
      <w:proofErr w:type="spellStart"/>
      <w:r>
        <w:rPr>
          <w:rFonts w:ascii="Arial" w:hAnsi="Arial" w:cs="Arial"/>
        </w:rPr>
        <w:t>TruckSafe</w:t>
      </w:r>
      <w:proofErr w:type="spellEnd"/>
      <w:r>
        <w:rPr>
          <w:rFonts w:ascii="Arial" w:hAnsi="Arial" w:cs="Arial"/>
        </w:rPr>
        <w:t xml:space="preserve"> maintenance standards are substantially the same as the NHVAS standards, but have the following additional requirements:</w:t>
      </w:r>
    </w:p>
    <w:p w:rsidR="006D49CA" w:rsidRDefault="006D49CA" w:rsidP="006D49CA">
      <w:pPr>
        <w:pStyle w:val="ListParagraph"/>
        <w:numPr>
          <w:ilvl w:val="0"/>
          <w:numId w:val="3"/>
        </w:numPr>
        <w:rPr>
          <w:rFonts w:ascii="Arial" w:hAnsi="Arial" w:cs="Arial"/>
        </w:rPr>
      </w:pPr>
      <w:proofErr w:type="spellStart"/>
      <w:r>
        <w:rPr>
          <w:rFonts w:ascii="Arial" w:hAnsi="Arial" w:cs="Arial"/>
        </w:rPr>
        <w:t>TruckSafe</w:t>
      </w:r>
      <w:proofErr w:type="spellEnd"/>
      <w:r>
        <w:rPr>
          <w:rFonts w:ascii="Arial" w:hAnsi="Arial" w:cs="Arial"/>
        </w:rPr>
        <w:t xml:space="preserve"> maintenance standard B.10 requires operators to develop, implement and maintain procedures to ensure all truck speed limiters work correctly. NHVAS does not include this requirement.</w:t>
      </w:r>
    </w:p>
    <w:p w:rsidR="006D49CA" w:rsidRDefault="006D49CA" w:rsidP="006D49CA">
      <w:pPr>
        <w:pStyle w:val="ListParagraph"/>
        <w:numPr>
          <w:ilvl w:val="0"/>
          <w:numId w:val="3"/>
        </w:numPr>
        <w:rPr>
          <w:rFonts w:ascii="Arial" w:hAnsi="Arial" w:cs="Arial"/>
        </w:rPr>
      </w:pPr>
      <w:proofErr w:type="spellStart"/>
      <w:r>
        <w:rPr>
          <w:rFonts w:ascii="Arial" w:hAnsi="Arial" w:cs="Arial"/>
        </w:rPr>
        <w:t>TruckSafe</w:t>
      </w:r>
      <w:proofErr w:type="spellEnd"/>
      <w:r>
        <w:rPr>
          <w:rFonts w:ascii="Arial" w:hAnsi="Arial" w:cs="Arial"/>
        </w:rPr>
        <w:t xml:space="preserve"> maintenance standard B.4 requires operators to assess the roadworthiness of their vehicles each year. These assessments are not required under NHVAS.</w:t>
      </w:r>
    </w:p>
    <w:p w:rsidR="006D49CA" w:rsidRDefault="006D49CA" w:rsidP="006D49CA">
      <w:pPr>
        <w:rPr>
          <w:rFonts w:ascii="Arial" w:hAnsi="Arial" w:cs="Arial"/>
        </w:rPr>
      </w:pPr>
      <w:r>
        <w:rPr>
          <w:rFonts w:ascii="Arial" w:hAnsi="Arial" w:cs="Arial"/>
        </w:rPr>
        <w:t xml:space="preserve">In addition to the differences between the </w:t>
      </w:r>
      <w:proofErr w:type="spellStart"/>
      <w:r>
        <w:rPr>
          <w:rFonts w:ascii="Arial" w:hAnsi="Arial" w:cs="Arial"/>
        </w:rPr>
        <w:t>TruckSafe</w:t>
      </w:r>
      <w:proofErr w:type="spellEnd"/>
      <w:r>
        <w:rPr>
          <w:rFonts w:ascii="Arial" w:hAnsi="Arial" w:cs="Arial"/>
        </w:rPr>
        <w:t xml:space="preserve"> and NHVAS maintenance standards, </w:t>
      </w:r>
      <w:proofErr w:type="spellStart"/>
      <w:r>
        <w:rPr>
          <w:rFonts w:ascii="Arial" w:hAnsi="Arial" w:cs="Arial"/>
        </w:rPr>
        <w:t>TruckSafe</w:t>
      </w:r>
      <w:proofErr w:type="spellEnd"/>
      <w:r>
        <w:rPr>
          <w:rFonts w:ascii="Arial" w:hAnsi="Arial" w:cs="Arial"/>
        </w:rPr>
        <w:t xml:space="preserve"> has additional features that make it more rigorous than NHVAS:</w:t>
      </w:r>
    </w:p>
    <w:p w:rsidR="006D49CA" w:rsidRDefault="006D49CA" w:rsidP="006D49CA">
      <w:pPr>
        <w:pStyle w:val="ListParagraph"/>
        <w:numPr>
          <w:ilvl w:val="0"/>
          <w:numId w:val="4"/>
        </w:numPr>
        <w:rPr>
          <w:rFonts w:ascii="Arial" w:hAnsi="Arial" w:cs="Arial"/>
        </w:rPr>
      </w:pPr>
      <w:proofErr w:type="spellStart"/>
      <w:r>
        <w:rPr>
          <w:rFonts w:ascii="Arial" w:hAnsi="Arial" w:cs="Arial"/>
        </w:rPr>
        <w:t>TruckSafe</w:t>
      </w:r>
      <w:proofErr w:type="spellEnd"/>
      <w:r>
        <w:rPr>
          <w:rFonts w:ascii="Arial" w:hAnsi="Arial" w:cs="Arial"/>
        </w:rPr>
        <w:t xml:space="preserve"> is an all-in system. Operators in </w:t>
      </w:r>
      <w:proofErr w:type="spellStart"/>
      <w:r>
        <w:rPr>
          <w:rFonts w:ascii="Arial" w:hAnsi="Arial" w:cs="Arial"/>
        </w:rPr>
        <w:t>TruckSafe</w:t>
      </w:r>
      <w:proofErr w:type="spellEnd"/>
      <w:r>
        <w:rPr>
          <w:rFonts w:ascii="Arial" w:hAnsi="Arial" w:cs="Arial"/>
        </w:rPr>
        <w:t xml:space="preserve"> must comply with all five of its mandatory standards and must include all their vehicles in their </w:t>
      </w:r>
      <w:proofErr w:type="spellStart"/>
      <w:r>
        <w:rPr>
          <w:rFonts w:ascii="Arial" w:hAnsi="Arial" w:cs="Arial"/>
        </w:rPr>
        <w:t>TruckSafe</w:t>
      </w:r>
      <w:proofErr w:type="spellEnd"/>
      <w:r>
        <w:rPr>
          <w:rFonts w:ascii="Arial" w:hAnsi="Arial" w:cs="Arial"/>
        </w:rPr>
        <w:t xml:space="preserve"> system. Operators in NHVAS can pick and choose from the NHVAS modules and can choose to nominate only some of their vehicles under NHVAS maintenance.</w:t>
      </w:r>
    </w:p>
    <w:p w:rsidR="006D49CA" w:rsidRDefault="006D49CA" w:rsidP="006D49CA">
      <w:pPr>
        <w:pStyle w:val="ListParagraph"/>
        <w:numPr>
          <w:ilvl w:val="0"/>
          <w:numId w:val="4"/>
        </w:numPr>
        <w:rPr>
          <w:rFonts w:ascii="Arial" w:hAnsi="Arial" w:cs="Arial"/>
        </w:rPr>
      </w:pPr>
      <w:r w:rsidRPr="00233994">
        <w:rPr>
          <w:rFonts w:ascii="Arial" w:hAnsi="Arial" w:cs="Arial"/>
        </w:rPr>
        <w:t xml:space="preserve">The </w:t>
      </w:r>
      <w:proofErr w:type="spellStart"/>
      <w:r w:rsidRPr="00233994">
        <w:rPr>
          <w:rFonts w:ascii="Arial" w:hAnsi="Arial" w:cs="Arial"/>
        </w:rPr>
        <w:t>TruckSafe</w:t>
      </w:r>
      <w:proofErr w:type="spellEnd"/>
      <w:r w:rsidRPr="00233994">
        <w:rPr>
          <w:rFonts w:ascii="Arial" w:hAnsi="Arial" w:cs="Arial"/>
        </w:rPr>
        <w:t xml:space="preserve"> on-road compliance module requires operators to review their safety</w:t>
      </w:r>
      <w:r>
        <w:rPr>
          <w:rFonts w:ascii="Arial" w:hAnsi="Arial" w:cs="Arial"/>
        </w:rPr>
        <w:t xml:space="preserve"> </w:t>
      </w:r>
      <w:r w:rsidRPr="00233994">
        <w:rPr>
          <w:rFonts w:ascii="Arial" w:hAnsi="Arial" w:cs="Arial"/>
        </w:rPr>
        <w:t>and compliance risks using a system based on ISO31000. NHVAS does not include</w:t>
      </w:r>
      <w:r>
        <w:rPr>
          <w:rFonts w:ascii="Arial" w:hAnsi="Arial" w:cs="Arial"/>
        </w:rPr>
        <w:t xml:space="preserve"> </w:t>
      </w:r>
      <w:r w:rsidRPr="00233994">
        <w:rPr>
          <w:rFonts w:ascii="Arial" w:hAnsi="Arial" w:cs="Arial"/>
        </w:rPr>
        <w:t>this requirement.</w:t>
      </w:r>
    </w:p>
    <w:p w:rsidR="006D49CA" w:rsidRDefault="006D49CA" w:rsidP="006D49CA">
      <w:pPr>
        <w:pStyle w:val="ListParagraph"/>
        <w:numPr>
          <w:ilvl w:val="0"/>
          <w:numId w:val="4"/>
        </w:numPr>
        <w:rPr>
          <w:rFonts w:ascii="Arial" w:hAnsi="Arial" w:cs="Arial"/>
        </w:rPr>
      </w:pPr>
      <w:r w:rsidRPr="00233994">
        <w:rPr>
          <w:rFonts w:ascii="Arial" w:hAnsi="Arial" w:cs="Arial"/>
        </w:rPr>
        <w:t>Under NHVAS, operators can select their own external auditor from those approved</w:t>
      </w:r>
      <w:r>
        <w:rPr>
          <w:rFonts w:ascii="Arial" w:hAnsi="Arial" w:cs="Arial"/>
        </w:rPr>
        <w:t xml:space="preserve"> </w:t>
      </w:r>
      <w:r w:rsidRPr="00233994">
        <w:rPr>
          <w:rFonts w:ascii="Arial" w:hAnsi="Arial" w:cs="Arial"/>
        </w:rPr>
        <w:t xml:space="preserve">by the NHVR. </w:t>
      </w:r>
      <w:proofErr w:type="spellStart"/>
      <w:r w:rsidRPr="00233994">
        <w:rPr>
          <w:rFonts w:ascii="Arial" w:hAnsi="Arial" w:cs="Arial"/>
        </w:rPr>
        <w:t>TruckSafe</w:t>
      </w:r>
      <w:proofErr w:type="spellEnd"/>
      <w:r w:rsidRPr="00233994">
        <w:rPr>
          <w:rFonts w:ascii="Arial" w:hAnsi="Arial" w:cs="Arial"/>
        </w:rPr>
        <w:t xml:space="preserve"> assigns auditors to op</w:t>
      </w:r>
      <w:r>
        <w:rPr>
          <w:rFonts w:ascii="Arial" w:hAnsi="Arial" w:cs="Arial"/>
        </w:rPr>
        <w:t xml:space="preserve">erators and reviews their audit </w:t>
      </w:r>
      <w:r w:rsidRPr="00233994">
        <w:rPr>
          <w:rFonts w:ascii="Arial" w:hAnsi="Arial" w:cs="Arial"/>
        </w:rPr>
        <w:t>reports</w:t>
      </w:r>
      <w:r>
        <w:rPr>
          <w:rFonts w:ascii="Arial" w:hAnsi="Arial" w:cs="Arial"/>
        </w:rPr>
        <w:t xml:space="preserve"> </w:t>
      </w:r>
      <w:r w:rsidRPr="00233994">
        <w:rPr>
          <w:rFonts w:ascii="Arial" w:hAnsi="Arial" w:cs="Arial"/>
        </w:rPr>
        <w:t xml:space="preserve">in detail. The </w:t>
      </w:r>
      <w:proofErr w:type="spellStart"/>
      <w:r w:rsidRPr="00233994">
        <w:rPr>
          <w:rFonts w:ascii="Arial" w:hAnsi="Arial" w:cs="Arial"/>
        </w:rPr>
        <w:t>TruckSafe</w:t>
      </w:r>
      <w:proofErr w:type="spellEnd"/>
      <w:r w:rsidRPr="00233994">
        <w:rPr>
          <w:rFonts w:ascii="Arial" w:hAnsi="Arial" w:cs="Arial"/>
        </w:rPr>
        <w:t xml:space="preserve"> approach continues to be more rigorous than NHVAS,</w:t>
      </w:r>
      <w:r>
        <w:rPr>
          <w:rFonts w:ascii="Arial" w:hAnsi="Arial" w:cs="Arial"/>
        </w:rPr>
        <w:t xml:space="preserve"> </w:t>
      </w:r>
      <w:r w:rsidRPr="00233994">
        <w:rPr>
          <w:rFonts w:ascii="Arial" w:hAnsi="Arial" w:cs="Arial"/>
        </w:rPr>
        <w:t>despite the changes to the government scheme in 2015.</w:t>
      </w:r>
    </w:p>
    <w:p w:rsidR="006D49CA" w:rsidRPr="00233994" w:rsidRDefault="006D49CA" w:rsidP="006D49CA">
      <w:pPr>
        <w:pStyle w:val="ListParagraph"/>
        <w:numPr>
          <w:ilvl w:val="0"/>
          <w:numId w:val="4"/>
        </w:numPr>
        <w:rPr>
          <w:rFonts w:ascii="Arial" w:hAnsi="Arial" w:cs="Arial"/>
        </w:rPr>
      </w:pPr>
      <w:r w:rsidRPr="00233994">
        <w:rPr>
          <w:rFonts w:ascii="Arial" w:hAnsi="Arial" w:cs="Arial"/>
        </w:rPr>
        <w:t xml:space="preserve">The </w:t>
      </w:r>
      <w:proofErr w:type="spellStart"/>
      <w:r w:rsidRPr="00233994">
        <w:rPr>
          <w:rFonts w:ascii="Arial" w:hAnsi="Arial" w:cs="Arial"/>
        </w:rPr>
        <w:t>TruckSafe</w:t>
      </w:r>
      <w:proofErr w:type="spellEnd"/>
      <w:r w:rsidRPr="00233994">
        <w:rPr>
          <w:rFonts w:ascii="Arial" w:hAnsi="Arial" w:cs="Arial"/>
        </w:rPr>
        <w:t xml:space="preserve"> Industry Accreditation Council (TIAC), an independent expert panel,</w:t>
      </w:r>
      <w:r>
        <w:rPr>
          <w:rFonts w:ascii="Arial" w:hAnsi="Arial" w:cs="Arial"/>
        </w:rPr>
        <w:t xml:space="preserve"> </w:t>
      </w:r>
      <w:r w:rsidRPr="00233994">
        <w:rPr>
          <w:rFonts w:ascii="Arial" w:hAnsi="Arial" w:cs="Arial"/>
        </w:rPr>
        <w:t>reviews and approves applications for accreditation, reviews and approves audit</w:t>
      </w:r>
      <w:r>
        <w:rPr>
          <w:rFonts w:ascii="Arial" w:hAnsi="Arial" w:cs="Arial"/>
        </w:rPr>
        <w:t xml:space="preserve"> </w:t>
      </w:r>
      <w:r w:rsidRPr="00233994">
        <w:rPr>
          <w:rFonts w:ascii="Arial" w:hAnsi="Arial" w:cs="Arial"/>
        </w:rPr>
        <w:t>reports undertaken of operator’s systems, and reviews and makes recommendations</w:t>
      </w:r>
      <w:r>
        <w:rPr>
          <w:rFonts w:ascii="Arial" w:hAnsi="Arial" w:cs="Arial"/>
        </w:rPr>
        <w:t xml:space="preserve"> </w:t>
      </w:r>
      <w:r w:rsidRPr="00233994">
        <w:rPr>
          <w:rFonts w:ascii="Arial" w:hAnsi="Arial" w:cs="Arial"/>
        </w:rPr>
        <w:t xml:space="preserve">to the </w:t>
      </w:r>
      <w:proofErr w:type="spellStart"/>
      <w:r w:rsidRPr="00233994">
        <w:rPr>
          <w:rFonts w:ascii="Arial" w:hAnsi="Arial" w:cs="Arial"/>
        </w:rPr>
        <w:t>TruckSafe</w:t>
      </w:r>
      <w:proofErr w:type="spellEnd"/>
      <w:r w:rsidRPr="00233994">
        <w:rPr>
          <w:rFonts w:ascii="Arial" w:hAnsi="Arial" w:cs="Arial"/>
        </w:rPr>
        <w:t xml:space="preserve"> Board for the improvement of the </w:t>
      </w:r>
      <w:proofErr w:type="spellStart"/>
      <w:r w:rsidRPr="00233994">
        <w:rPr>
          <w:rFonts w:ascii="Arial" w:hAnsi="Arial" w:cs="Arial"/>
        </w:rPr>
        <w:t>TruckSafe</w:t>
      </w:r>
      <w:proofErr w:type="spellEnd"/>
      <w:r w:rsidRPr="00233994">
        <w:rPr>
          <w:rFonts w:ascii="Arial" w:hAnsi="Arial" w:cs="Arial"/>
        </w:rPr>
        <w:t xml:space="preserve"> standards and audit</w:t>
      </w:r>
      <w:r>
        <w:rPr>
          <w:rFonts w:ascii="Arial" w:hAnsi="Arial" w:cs="Arial"/>
        </w:rPr>
        <w:t xml:space="preserve"> </w:t>
      </w:r>
      <w:r w:rsidRPr="00233994">
        <w:rPr>
          <w:rFonts w:ascii="Arial" w:hAnsi="Arial" w:cs="Arial"/>
        </w:rPr>
        <w:t>methodologies. This approach is consistent with international best practice.</w:t>
      </w:r>
    </w:p>
    <w:p w:rsidR="006D49CA" w:rsidRDefault="006D49CA" w:rsidP="006D49CA">
      <w:pPr>
        <w:rPr>
          <w:rFonts w:ascii="Arial" w:hAnsi="Arial" w:cs="Arial"/>
        </w:rPr>
      </w:pPr>
      <w:r>
        <w:rPr>
          <w:rFonts w:ascii="Arial" w:hAnsi="Arial" w:cs="Arial"/>
        </w:rPr>
        <w:t xml:space="preserve">Operators accredited under NHVAS receive a number of regulatory and competitive advantages, which are not available to operators accredited under </w:t>
      </w:r>
      <w:proofErr w:type="spellStart"/>
      <w:r>
        <w:rPr>
          <w:rFonts w:ascii="Arial" w:hAnsi="Arial" w:cs="Arial"/>
        </w:rPr>
        <w:t>TruckSafe</w:t>
      </w:r>
      <w:proofErr w:type="spellEnd"/>
      <w:r>
        <w:rPr>
          <w:rFonts w:ascii="Arial" w:hAnsi="Arial" w:cs="Arial"/>
        </w:rPr>
        <w:t xml:space="preserve">. These reduce the cost of doing business, and can include extra mass, exemptions from inspection requirements and longer working hours for drivers. In NSW, NHVAS operators receive inspection exemptions which are not available to </w:t>
      </w:r>
      <w:proofErr w:type="spellStart"/>
      <w:r>
        <w:rPr>
          <w:rFonts w:ascii="Arial" w:hAnsi="Arial" w:cs="Arial"/>
        </w:rPr>
        <w:t>TruckSafe</w:t>
      </w:r>
      <w:proofErr w:type="spellEnd"/>
      <w:r>
        <w:rPr>
          <w:rFonts w:ascii="Arial" w:hAnsi="Arial" w:cs="Arial"/>
        </w:rPr>
        <w:t xml:space="preserve"> operators. </w:t>
      </w:r>
    </w:p>
    <w:p w:rsidR="00D75A01" w:rsidRDefault="006D49CA" w:rsidP="006D49CA">
      <w:pPr>
        <w:rPr>
          <w:rFonts w:ascii="Arial" w:hAnsi="Arial" w:cs="Arial"/>
        </w:rPr>
      </w:pPr>
      <w:r>
        <w:rPr>
          <w:rFonts w:ascii="Arial" w:hAnsi="Arial" w:cs="Arial"/>
        </w:rPr>
        <w:t>Following advocacy by the ATA, an independent review by Peter Medlock was instigated into truck safety accreditation schemes. The review findings are expected to be released shortly.</w:t>
      </w:r>
    </w:p>
    <w:p w:rsidR="006D49CA" w:rsidRDefault="006D49CA" w:rsidP="006D49CA">
      <w:pPr>
        <w:suppressAutoHyphens/>
        <w:spacing w:after="0" w:line="240" w:lineRule="auto"/>
        <w:outlineLvl w:val="0"/>
        <w:rPr>
          <w:rFonts w:ascii="Arial" w:eastAsia="Calibri" w:hAnsi="Arial" w:cs="Arial"/>
          <w:lang w:eastAsia="ar-SA"/>
        </w:rPr>
      </w:pPr>
    </w:p>
    <w:p w:rsidR="005C3C4D" w:rsidRDefault="005C3C4D" w:rsidP="006D49CA">
      <w:pPr>
        <w:suppressAutoHyphens/>
        <w:spacing w:after="0" w:line="240" w:lineRule="auto"/>
        <w:outlineLvl w:val="0"/>
        <w:rPr>
          <w:rFonts w:ascii="Arial" w:eastAsia="Calibri" w:hAnsi="Arial" w:cs="Arial"/>
          <w:lang w:eastAsia="ar-SA"/>
        </w:rPr>
      </w:pPr>
    </w:p>
    <w:p w:rsidR="006D49CA" w:rsidRPr="003C6B1F" w:rsidRDefault="005C3C4D" w:rsidP="006D49CA">
      <w:pPr>
        <w:spacing w:after="0"/>
        <w:rPr>
          <w:rFonts w:ascii="Arial" w:hAnsi="Arial" w:cs="Arial"/>
          <w:u w:val="single"/>
        </w:rPr>
      </w:pPr>
      <w:r>
        <w:rPr>
          <w:rFonts w:ascii="Arial" w:hAnsi="Arial" w:cs="Arial"/>
          <w:b/>
          <w:u w:val="single"/>
        </w:rPr>
        <w:lastRenderedPageBreak/>
        <w:t xml:space="preserve">Recommendation </w:t>
      </w:r>
      <w:r w:rsidR="00E30C18">
        <w:rPr>
          <w:rFonts w:ascii="Arial" w:hAnsi="Arial" w:cs="Arial"/>
          <w:b/>
          <w:u w:val="single"/>
        </w:rPr>
        <w:t>4</w:t>
      </w:r>
    </w:p>
    <w:p w:rsidR="006D49CA" w:rsidRDefault="006D49CA" w:rsidP="006D49CA">
      <w:pPr>
        <w:rPr>
          <w:rFonts w:ascii="Arial" w:hAnsi="Arial" w:cs="Arial"/>
        </w:rPr>
      </w:pPr>
      <w:r>
        <w:rPr>
          <w:rFonts w:ascii="Arial" w:hAnsi="Arial" w:cs="Arial"/>
        </w:rPr>
        <w:t xml:space="preserve">The NRSS should encourage the adoption of comprehensive safety and risk truck accreditation systems by extending NHVAS inspection exemptions to </w:t>
      </w:r>
      <w:proofErr w:type="spellStart"/>
      <w:r>
        <w:rPr>
          <w:rFonts w:ascii="Arial" w:hAnsi="Arial" w:cs="Arial"/>
        </w:rPr>
        <w:t>TruckSafe</w:t>
      </w:r>
      <w:proofErr w:type="spellEnd"/>
      <w:r>
        <w:rPr>
          <w:rFonts w:ascii="Arial" w:hAnsi="Arial" w:cs="Arial"/>
        </w:rPr>
        <w:t xml:space="preserve"> operators and other similarly robust systems.</w:t>
      </w:r>
    </w:p>
    <w:p w:rsidR="006D49CA" w:rsidRPr="003C6B1F" w:rsidRDefault="005C3C4D" w:rsidP="006D49CA">
      <w:pPr>
        <w:keepNext/>
        <w:spacing w:after="0" w:line="240" w:lineRule="auto"/>
        <w:rPr>
          <w:rFonts w:ascii="Arial" w:hAnsi="Arial" w:cs="Arial"/>
          <w:b/>
          <w:u w:val="single"/>
          <w:lang w:eastAsia="en-AU"/>
        </w:rPr>
      </w:pPr>
      <w:r>
        <w:rPr>
          <w:rFonts w:ascii="Arial" w:hAnsi="Arial" w:cs="Arial"/>
          <w:b/>
          <w:u w:val="single"/>
          <w:lang w:eastAsia="en-AU"/>
        </w:rPr>
        <w:t xml:space="preserve">Recommendation </w:t>
      </w:r>
      <w:r w:rsidR="00E30C18">
        <w:rPr>
          <w:rFonts w:ascii="Arial" w:hAnsi="Arial" w:cs="Arial"/>
          <w:b/>
          <w:u w:val="single"/>
          <w:lang w:eastAsia="en-AU"/>
        </w:rPr>
        <w:t>5</w:t>
      </w:r>
    </w:p>
    <w:p w:rsidR="006D49CA" w:rsidRDefault="006D49CA" w:rsidP="006D49CA">
      <w:pPr>
        <w:keepNext/>
        <w:spacing w:after="0" w:line="240" w:lineRule="auto"/>
        <w:rPr>
          <w:rFonts w:ascii="Arial" w:hAnsi="Arial" w:cs="Arial"/>
        </w:rPr>
      </w:pPr>
      <w:r>
        <w:rPr>
          <w:rFonts w:ascii="Arial" w:hAnsi="Arial" w:cs="Arial"/>
        </w:rPr>
        <w:t>To ensure the highest safety standards Governments should require that all infrastructure project construction contracts:</w:t>
      </w:r>
    </w:p>
    <w:p w:rsidR="006D49CA" w:rsidRPr="008B3BAF" w:rsidRDefault="006D49CA" w:rsidP="006D49CA">
      <w:pPr>
        <w:keepNext/>
        <w:numPr>
          <w:ilvl w:val="0"/>
          <w:numId w:val="6"/>
        </w:numPr>
        <w:spacing w:after="0" w:line="240" w:lineRule="auto"/>
        <w:contextualSpacing/>
        <w:rPr>
          <w:rFonts w:ascii="Arial" w:eastAsia="Calibri" w:hAnsi="Arial" w:cs="Arial"/>
        </w:rPr>
      </w:pPr>
      <w:proofErr w:type="gramStart"/>
      <w:r>
        <w:rPr>
          <w:rFonts w:ascii="Arial" w:eastAsia="Calibri" w:hAnsi="Arial" w:cs="Arial"/>
        </w:rPr>
        <w:t>require</w:t>
      </w:r>
      <w:proofErr w:type="gramEnd"/>
      <w:r>
        <w:rPr>
          <w:rFonts w:ascii="Arial" w:eastAsia="Calibri" w:hAnsi="Arial" w:cs="Arial"/>
        </w:rPr>
        <w:t xml:space="preserve"> project </w:t>
      </w:r>
      <w:r w:rsidRPr="00247A61">
        <w:rPr>
          <w:rFonts w:ascii="Arial" w:eastAsia="Calibri" w:hAnsi="Arial" w:cs="Arial"/>
        </w:rPr>
        <w:t xml:space="preserve">subcontractors to hold </w:t>
      </w:r>
      <w:proofErr w:type="spellStart"/>
      <w:r w:rsidRPr="00247A61">
        <w:rPr>
          <w:rFonts w:ascii="Arial" w:eastAsia="Calibri" w:hAnsi="Arial" w:cs="Arial"/>
        </w:rPr>
        <w:t>TruckSafe</w:t>
      </w:r>
      <w:proofErr w:type="spellEnd"/>
      <w:r w:rsidRPr="00247A61">
        <w:rPr>
          <w:rFonts w:ascii="Arial" w:eastAsia="Calibri" w:hAnsi="Arial" w:cs="Arial"/>
        </w:rPr>
        <w:t xml:space="preserve"> accreditation</w:t>
      </w:r>
      <w:r>
        <w:rPr>
          <w:rFonts w:ascii="Arial" w:eastAsia="Calibri" w:hAnsi="Arial" w:cs="Arial"/>
        </w:rPr>
        <w:t>, or have other similarly robust safety systems (t</w:t>
      </w:r>
      <w:r w:rsidRPr="008B3BAF">
        <w:rPr>
          <w:rFonts w:ascii="Arial" w:eastAsia="Calibri" w:hAnsi="Arial" w:cs="Arial"/>
        </w:rPr>
        <w:t>his requirement should be inclusive of privatised projects and infrastructure</w:t>
      </w:r>
      <w:r>
        <w:rPr>
          <w:rFonts w:ascii="Arial" w:eastAsia="Calibri" w:hAnsi="Arial" w:cs="Arial"/>
        </w:rPr>
        <w:t>)</w:t>
      </w:r>
      <w:r w:rsidRPr="008B3BAF">
        <w:rPr>
          <w:rFonts w:ascii="Arial" w:eastAsia="Calibri" w:hAnsi="Arial" w:cs="Arial"/>
        </w:rPr>
        <w:t>.</w:t>
      </w:r>
    </w:p>
    <w:p w:rsidR="006D49CA" w:rsidRDefault="006D49CA" w:rsidP="00E15583">
      <w:pPr>
        <w:suppressAutoHyphens/>
        <w:spacing w:after="0" w:line="240" w:lineRule="auto"/>
        <w:outlineLvl w:val="0"/>
        <w:rPr>
          <w:rFonts w:ascii="Arial" w:hAnsi="Arial" w:cs="Arial"/>
        </w:rPr>
      </w:pPr>
    </w:p>
    <w:p w:rsidR="0034734F" w:rsidRDefault="0034734F" w:rsidP="004A7CF4">
      <w:pPr>
        <w:suppressAutoHyphens/>
        <w:spacing w:after="0" w:line="240" w:lineRule="auto"/>
        <w:outlineLvl w:val="0"/>
        <w:rPr>
          <w:rFonts w:ascii="Arial" w:eastAsia="Calibri" w:hAnsi="Arial" w:cs="Arial"/>
          <w:lang w:eastAsia="ar-SA"/>
        </w:rPr>
      </w:pPr>
    </w:p>
    <w:p w:rsidR="00530F1B" w:rsidRPr="00530F1B" w:rsidRDefault="00530F1B" w:rsidP="00530F1B">
      <w:pPr>
        <w:pStyle w:val="ListParagraph"/>
        <w:numPr>
          <w:ilvl w:val="0"/>
          <w:numId w:val="1"/>
        </w:numPr>
        <w:suppressAutoHyphens/>
        <w:spacing w:after="0" w:line="240" w:lineRule="auto"/>
        <w:outlineLvl w:val="0"/>
        <w:rPr>
          <w:rFonts w:ascii="Arial" w:eastAsia="Calibri" w:hAnsi="Arial" w:cs="Arial"/>
          <w:b/>
          <w:lang w:eastAsia="ar-SA"/>
        </w:rPr>
      </w:pPr>
      <w:r w:rsidRPr="00530F1B">
        <w:rPr>
          <w:rFonts w:ascii="Arial" w:eastAsia="Calibri" w:hAnsi="Arial" w:cs="Arial"/>
          <w:b/>
          <w:lang w:eastAsia="ar-SA"/>
        </w:rPr>
        <w:t>Future National Road Safety Strategy</w:t>
      </w:r>
      <w:r w:rsidR="00E410A7">
        <w:rPr>
          <w:rFonts w:ascii="Arial" w:eastAsia="Calibri" w:hAnsi="Arial" w:cs="Arial"/>
          <w:b/>
          <w:lang w:eastAsia="ar-SA"/>
        </w:rPr>
        <w:t xml:space="preserve"> design</w:t>
      </w:r>
    </w:p>
    <w:p w:rsidR="00530F1B" w:rsidRDefault="00530F1B" w:rsidP="00530F1B">
      <w:pPr>
        <w:suppressAutoHyphens/>
        <w:spacing w:after="0" w:line="240" w:lineRule="auto"/>
        <w:outlineLvl w:val="0"/>
        <w:rPr>
          <w:rFonts w:ascii="Arial" w:eastAsia="Calibri" w:hAnsi="Arial" w:cs="Arial"/>
          <w:lang w:eastAsia="ar-SA"/>
        </w:rPr>
      </w:pPr>
    </w:p>
    <w:p w:rsidR="00B03697" w:rsidRDefault="00B03697" w:rsidP="00530F1B">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Future National Road Safety Strategy</w:t>
      </w:r>
    </w:p>
    <w:p w:rsidR="000C168B" w:rsidRPr="000C168B" w:rsidRDefault="000C168B" w:rsidP="000C168B">
      <w:pPr>
        <w:spacing w:after="0" w:line="240" w:lineRule="auto"/>
        <w:rPr>
          <w:rFonts w:ascii="Arial" w:hAnsi="Arial" w:cs="Arial"/>
        </w:rPr>
      </w:pPr>
    </w:p>
    <w:p w:rsidR="000C168B" w:rsidRDefault="000C168B" w:rsidP="000C168B">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Australia’s next National Road Safety Strategy should move to implement an ambitious Towards Zero safety culture. The philosophy of this approach promotes a shared safety responsibility and utilises the Safe System approach to road safety. </w:t>
      </w:r>
    </w:p>
    <w:p w:rsidR="00E410A7" w:rsidRDefault="00E410A7" w:rsidP="00530F1B">
      <w:pPr>
        <w:suppressAutoHyphens/>
        <w:spacing w:after="0" w:line="240" w:lineRule="auto"/>
        <w:outlineLvl w:val="0"/>
        <w:rPr>
          <w:rFonts w:ascii="Arial" w:eastAsia="Calibri" w:hAnsi="Arial" w:cs="Arial"/>
          <w:lang w:eastAsia="ar-SA"/>
        </w:rPr>
      </w:pPr>
    </w:p>
    <w:p w:rsidR="00E410A7" w:rsidRDefault="00E410A7" w:rsidP="00530F1B">
      <w:pPr>
        <w:suppressAutoHyphens/>
        <w:spacing w:after="0" w:line="240" w:lineRule="auto"/>
        <w:outlineLvl w:val="0"/>
        <w:rPr>
          <w:rFonts w:ascii="Arial" w:eastAsia="Calibri" w:hAnsi="Arial" w:cs="Arial"/>
          <w:lang w:eastAsia="ar-SA"/>
        </w:rPr>
      </w:pPr>
      <w:r>
        <w:rPr>
          <w:rFonts w:ascii="Arial" w:eastAsia="Calibri" w:hAnsi="Arial" w:cs="Arial"/>
          <w:lang w:eastAsia="ar-SA"/>
        </w:rPr>
        <w:t>The key principals that underpin a Towards Zero</w:t>
      </w:r>
      <w:r w:rsidR="003802E9">
        <w:rPr>
          <w:rFonts w:ascii="Arial" w:eastAsia="Calibri" w:hAnsi="Arial" w:cs="Arial"/>
          <w:lang w:eastAsia="ar-SA"/>
        </w:rPr>
        <w:t xml:space="preserve"> (also referred to as </w:t>
      </w:r>
      <w:r w:rsidR="003A7CDD">
        <w:rPr>
          <w:rFonts w:ascii="Arial" w:eastAsia="Calibri" w:hAnsi="Arial" w:cs="Arial"/>
          <w:lang w:eastAsia="ar-SA"/>
        </w:rPr>
        <w:t>Vision Zero or</w:t>
      </w:r>
      <w:r w:rsidR="003802E9">
        <w:rPr>
          <w:rFonts w:ascii="Arial" w:eastAsia="Calibri" w:hAnsi="Arial" w:cs="Arial"/>
          <w:lang w:eastAsia="ar-SA"/>
        </w:rPr>
        <w:t xml:space="preserve"> Sustainable Safety)</w:t>
      </w:r>
      <w:r>
        <w:rPr>
          <w:rFonts w:ascii="Arial" w:eastAsia="Calibri" w:hAnsi="Arial" w:cs="Arial"/>
          <w:lang w:eastAsia="ar-SA"/>
        </w:rPr>
        <w:t xml:space="preserve"> philosophy are:</w:t>
      </w:r>
    </w:p>
    <w:p w:rsidR="00E410A7" w:rsidRDefault="00E410A7" w:rsidP="00530F1B">
      <w:pPr>
        <w:suppressAutoHyphens/>
        <w:spacing w:after="0" w:line="240" w:lineRule="auto"/>
        <w:outlineLvl w:val="0"/>
        <w:rPr>
          <w:rFonts w:ascii="Arial" w:eastAsia="Calibri" w:hAnsi="Arial" w:cs="Arial"/>
          <w:lang w:eastAsia="ar-SA"/>
        </w:rPr>
      </w:pPr>
    </w:p>
    <w:p w:rsidR="00E410A7" w:rsidRPr="00E410A7" w:rsidRDefault="00E410A7" w:rsidP="00E410A7">
      <w:pPr>
        <w:pStyle w:val="ListParagraph"/>
        <w:numPr>
          <w:ilvl w:val="0"/>
          <w:numId w:val="6"/>
        </w:numPr>
        <w:suppressAutoHyphens/>
        <w:spacing w:after="0" w:line="240" w:lineRule="auto"/>
        <w:outlineLvl w:val="0"/>
        <w:rPr>
          <w:rFonts w:ascii="Arial" w:eastAsia="Calibri" w:hAnsi="Arial" w:cs="Arial"/>
          <w:lang w:eastAsia="ar-SA"/>
        </w:rPr>
      </w:pPr>
      <w:r w:rsidRPr="00E410A7">
        <w:rPr>
          <w:rFonts w:ascii="Arial" w:eastAsia="Calibri" w:hAnsi="Arial" w:cs="Arial"/>
          <w:lang w:eastAsia="ar-SA"/>
        </w:rPr>
        <w:t>As humans, we will all inevitably make mistakes</w:t>
      </w:r>
    </w:p>
    <w:p w:rsidR="00E410A7" w:rsidRPr="00E410A7" w:rsidRDefault="00E410A7" w:rsidP="00E410A7">
      <w:pPr>
        <w:pStyle w:val="ListParagraph"/>
        <w:numPr>
          <w:ilvl w:val="0"/>
          <w:numId w:val="6"/>
        </w:numPr>
        <w:suppressAutoHyphens/>
        <w:spacing w:after="0" w:line="240" w:lineRule="auto"/>
        <w:outlineLvl w:val="0"/>
        <w:rPr>
          <w:rFonts w:ascii="Arial" w:eastAsia="Calibri" w:hAnsi="Arial" w:cs="Arial"/>
          <w:lang w:eastAsia="ar-SA"/>
        </w:rPr>
      </w:pPr>
      <w:r w:rsidRPr="00E410A7">
        <w:rPr>
          <w:rFonts w:ascii="Arial" w:eastAsia="Calibri" w:hAnsi="Arial" w:cs="Arial"/>
          <w:lang w:eastAsia="ar-SA"/>
        </w:rPr>
        <w:t>As humans, we are vulnerable - our unprotected bodies can only withstand forces</w:t>
      </w:r>
      <w:r>
        <w:rPr>
          <w:rFonts w:ascii="Arial" w:eastAsia="Calibri" w:hAnsi="Arial" w:cs="Arial"/>
          <w:lang w:eastAsia="ar-SA"/>
        </w:rPr>
        <w:t xml:space="preserve"> </w:t>
      </w:r>
      <w:r w:rsidRPr="00E410A7">
        <w:rPr>
          <w:rFonts w:ascii="Arial" w:eastAsia="Calibri" w:hAnsi="Arial" w:cs="Arial"/>
          <w:lang w:eastAsia="ar-SA"/>
        </w:rPr>
        <w:t>equivalent to an impact speed of 30km/h before the risk of death significantly</w:t>
      </w:r>
      <w:r>
        <w:rPr>
          <w:rFonts w:ascii="Arial" w:eastAsia="Calibri" w:hAnsi="Arial" w:cs="Arial"/>
          <w:lang w:eastAsia="ar-SA"/>
        </w:rPr>
        <w:t xml:space="preserve"> </w:t>
      </w:r>
      <w:r w:rsidRPr="00E410A7">
        <w:rPr>
          <w:rFonts w:ascii="Arial" w:eastAsia="Calibri" w:hAnsi="Arial" w:cs="Arial"/>
          <w:lang w:eastAsia="ar-SA"/>
        </w:rPr>
        <w:t>increases</w:t>
      </w:r>
    </w:p>
    <w:p w:rsidR="00E410A7" w:rsidRDefault="00E410A7" w:rsidP="00E410A7">
      <w:pPr>
        <w:pStyle w:val="ListParagraph"/>
        <w:numPr>
          <w:ilvl w:val="0"/>
          <w:numId w:val="6"/>
        </w:numPr>
        <w:suppressAutoHyphens/>
        <w:spacing w:after="0" w:line="240" w:lineRule="auto"/>
        <w:outlineLvl w:val="0"/>
        <w:rPr>
          <w:rFonts w:ascii="Arial" w:eastAsia="Calibri" w:hAnsi="Arial" w:cs="Arial"/>
          <w:lang w:eastAsia="ar-SA"/>
        </w:rPr>
      </w:pPr>
      <w:r w:rsidRPr="00E410A7">
        <w:rPr>
          <w:rFonts w:ascii="Arial" w:eastAsia="Calibri" w:hAnsi="Arial" w:cs="Arial"/>
          <w:lang w:eastAsia="ar-SA"/>
        </w:rPr>
        <w:t>Road safety is a shared responsibility between e</w:t>
      </w:r>
      <w:r>
        <w:rPr>
          <w:rFonts w:ascii="Arial" w:eastAsia="Calibri" w:hAnsi="Arial" w:cs="Arial"/>
          <w:lang w:eastAsia="ar-SA"/>
        </w:rPr>
        <w:t>veryone in the community.</w:t>
      </w:r>
    </w:p>
    <w:p w:rsidR="00E410A7" w:rsidRDefault="00E410A7" w:rsidP="00E410A7">
      <w:pPr>
        <w:suppressAutoHyphens/>
        <w:spacing w:after="0" w:line="240" w:lineRule="auto"/>
        <w:outlineLvl w:val="0"/>
        <w:rPr>
          <w:rFonts w:ascii="Arial" w:eastAsia="Calibri" w:hAnsi="Arial" w:cs="Arial"/>
          <w:lang w:eastAsia="ar-SA"/>
        </w:rPr>
      </w:pPr>
    </w:p>
    <w:p w:rsidR="00E410A7" w:rsidRDefault="00E410A7" w:rsidP="00E410A7">
      <w:pPr>
        <w:suppressAutoHyphens/>
        <w:spacing w:after="0" w:line="240" w:lineRule="auto"/>
        <w:outlineLvl w:val="0"/>
        <w:rPr>
          <w:rFonts w:ascii="Arial" w:eastAsia="Calibri" w:hAnsi="Arial" w:cs="Arial"/>
          <w:lang w:eastAsia="ar-SA"/>
        </w:rPr>
      </w:pPr>
      <w:r>
        <w:rPr>
          <w:rFonts w:ascii="Arial" w:eastAsia="Calibri" w:hAnsi="Arial" w:cs="Arial"/>
          <w:lang w:eastAsia="ar-SA"/>
        </w:rPr>
        <w:t>A Towards Zero approach requires a safe road system that can accommodate people’s mistakes and vulnerability. As per the safe systems approach it incorporates developments in safe roads, safe vehicles, safe speeds and safe people.</w:t>
      </w:r>
    </w:p>
    <w:p w:rsidR="003802E9" w:rsidRDefault="003802E9" w:rsidP="00E410A7">
      <w:pPr>
        <w:suppressAutoHyphens/>
        <w:spacing w:after="0" w:line="240" w:lineRule="auto"/>
        <w:outlineLvl w:val="0"/>
        <w:rPr>
          <w:rFonts w:ascii="Arial" w:eastAsia="Calibri" w:hAnsi="Arial" w:cs="Arial"/>
          <w:lang w:eastAsia="ar-SA"/>
        </w:rPr>
      </w:pPr>
    </w:p>
    <w:p w:rsidR="003A7CDD" w:rsidRDefault="003802E9" w:rsidP="00530F1B">
      <w:pPr>
        <w:suppressAutoHyphens/>
        <w:spacing w:after="0" w:line="240" w:lineRule="auto"/>
        <w:outlineLvl w:val="0"/>
        <w:rPr>
          <w:rFonts w:ascii="Arial" w:hAnsi="Arial" w:cs="Arial"/>
          <w:color w:val="2B2B2B"/>
          <w:shd w:val="clear" w:color="auto" w:fill="FFFFFF"/>
        </w:rPr>
      </w:pPr>
      <w:r>
        <w:rPr>
          <w:rFonts w:ascii="Arial" w:hAnsi="Arial" w:cs="Arial"/>
          <w:color w:val="2B2B2B"/>
          <w:shd w:val="clear" w:color="auto" w:fill="FFFFFF"/>
        </w:rPr>
        <w:t>This philosophy promotes that the</w:t>
      </w:r>
      <w:r w:rsidRPr="003802E9">
        <w:rPr>
          <w:rFonts w:ascii="Arial" w:hAnsi="Arial" w:cs="Arial"/>
          <w:color w:val="2B2B2B"/>
          <w:shd w:val="clear" w:color="auto" w:fill="FFFFFF"/>
        </w:rPr>
        <w:t xml:space="preserve"> only acceptable </w:t>
      </w:r>
      <w:r>
        <w:rPr>
          <w:rFonts w:ascii="Arial" w:hAnsi="Arial" w:cs="Arial"/>
          <w:color w:val="2B2B2B"/>
          <w:shd w:val="clear" w:color="auto" w:fill="FFFFFF"/>
        </w:rPr>
        <w:t xml:space="preserve">road safety </w:t>
      </w:r>
      <w:r w:rsidRPr="003802E9">
        <w:rPr>
          <w:rFonts w:ascii="Arial" w:hAnsi="Arial" w:cs="Arial"/>
          <w:color w:val="2B2B2B"/>
          <w:shd w:val="clear" w:color="auto" w:fill="FFFFFF"/>
        </w:rPr>
        <w:t xml:space="preserve">target to reach for, when it comes to the number of people being killed or seriously injured </w:t>
      </w:r>
      <w:r>
        <w:rPr>
          <w:rFonts w:ascii="Arial" w:hAnsi="Arial" w:cs="Arial"/>
          <w:color w:val="2B2B2B"/>
          <w:shd w:val="clear" w:color="auto" w:fill="FFFFFF"/>
        </w:rPr>
        <w:t xml:space="preserve">on our </w:t>
      </w:r>
      <w:r w:rsidRPr="003802E9">
        <w:rPr>
          <w:rFonts w:ascii="Arial" w:hAnsi="Arial" w:cs="Arial"/>
          <w:color w:val="2B2B2B"/>
          <w:shd w:val="clear" w:color="auto" w:fill="FFFFFF"/>
        </w:rPr>
        <w:t>roads, is zero</w:t>
      </w:r>
      <w:r w:rsidR="007D13DD">
        <w:rPr>
          <w:rStyle w:val="FootnoteReference"/>
          <w:rFonts w:ascii="Arial" w:hAnsi="Arial" w:cs="Arial"/>
          <w:color w:val="2B2B2B"/>
          <w:shd w:val="clear" w:color="auto" w:fill="FFFFFF"/>
        </w:rPr>
        <w:footnoteReference w:id="10"/>
      </w:r>
      <w:r w:rsidRPr="003802E9">
        <w:rPr>
          <w:rFonts w:ascii="Arial" w:hAnsi="Arial" w:cs="Arial"/>
          <w:color w:val="2B2B2B"/>
          <w:shd w:val="clear" w:color="auto" w:fill="FFFFFF"/>
        </w:rPr>
        <w:t>.</w:t>
      </w:r>
      <w:r>
        <w:rPr>
          <w:rFonts w:ascii="Arial" w:hAnsi="Arial" w:cs="Arial"/>
          <w:color w:val="2B2B2B"/>
          <w:shd w:val="clear" w:color="auto" w:fill="FFFFFF"/>
        </w:rPr>
        <w:t xml:space="preserve"> </w:t>
      </w:r>
      <w:r w:rsidR="001B2957">
        <w:rPr>
          <w:rFonts w:ascii="Arial" w:hAnsi="Arial" w:cs="Arial"/>
          <w:color w:val="2B2B2B"/>
          <w:shd w:val="clear" w:color="auto" w:fill="FFFFFF"/>
        </w:rPr>
        <w:t xml:space="preserve">The National Road Safety Strategy should set a long term target of zero deaths or serious injuries on our roads, with interim 5 year targets towards this goal. </w:t>
      </w:r>
    </w:p>
    <w:p w:rsidR="00B076CB" w:rsidRDefault="00B076CB" w:rsidP="00530F1B">
      <w:pPr>
        <w:suppressAutoHyphens/>
        <w:spacing w:after="0" w:line="240" w:lineRule="auto"/>
        <w:outlineLvl w:val="0"/>
        <w:rPr>
          <w:rFonts w:ascii="Arial" w:hAnsi="Arial" w:cs="Arial"/>
          <w:color w:val="2B2B2B"/>
          <w:shd w:val="clear" w:color="auto" w:fill="FFFFFF"/>
        </w:rPr>
      </w:pPr>
    </w:p>
    <w:p w:rsidR="003A7CDD" w:rsidRDefault="003A7CDD" w:rsidP="00530F1B">
      <w:pPr>
        <w:suppressAutoHyphens/>
        <w:spacing w:after="0" w:line="240" w:lineRule="auto"/>
        <w:outlineLvl w:val="0"/>
        <w:rPr>
          <w:rFonts w:ascii="Arial" w:hAnsi="Arial" w:cs="Arial"/>
          <w:color w:val="2B2B2B"/>
          <w:shd w:val="clear" w:color="auto" w:fill="FFFFFF"/>
        </w:rPr>
      </w:pPr>
      <w:r>
        <w:rPr>
          <w:rFonts w:ascii="Arial" w:hAnsi="Arial" w:cs="Arial"/>
          <w:color w:val="2B2B2B"/>
          <w:shd w:val="clear" w:color="auto" w:fill="FFFFFF"/>
        </w:rPr>
        <w:t>The ATA supports the implementation of a five year strategy instead of the more typical approach by Governments to implement strategies over a</w:t>
      </w:r>
      <w:r w:rsidR="00BE7C46">
        <w:rPr>
          <w:rFonts w:ascii="Arial" w:hAnsi="Arial" w:cs="Arial"/>
          <w:color w:val="2B2B2B"/>
          <w:shd w:val="clear" w:color="auto" w:fill="FFFFFF"/>
        </w:rPr>
        <w:t xml:space="preserve"> </w:t>
      </w:r>
      <w:r>
        <w:rPr>
          <w:rFonts w:ascii="Arial" w:hAnsi="Arial" w:cs="Arial"/>
          <w:color w:val="2B2B2B"/>
          <w:shd w:val="clear" w:color="auto" w:fill="FFFFFF"/>
        </w:rPr>
        <w:t>10 year period. A five year strategy denotes urgency</w:t>
      </w:r>
      <w:r w:rsidR="00B076CB">
        <w:rPr>
          <w:rFonts w:ascii="Arial" w:hAnsi="Arial" w:cs="Arial"/>
          <w:color w:val="2B2B2B"/>
          <w:shd w:val="clear" w:color="auto" w:fill="FFFFFF"/>
        </w:rPr>
        <w:t xml:space="preserve">, </w:t>
      </w:r>
      <w:r>
        <w:rPr>
          <w:rFonts w:ascii="Arial" w:hAnsi="Arial" w:cs="Arial"/>
          <w:color w:val="2B2B2B"/>
          <w:shd w:val="clear" w:color="auto" w:fill="FFFFFF"/>
        </w:rPr>
        <w:t>is more aspirational</w:t>
      </w:r>
      <w:r w:rsidR="00B076CB">
        <w:rPr>
          <w:rFonts w:ascii="Arial" w:hAnsi="Arial" w:cs="Arial"/>
          <w:color w:val="2B2B2B"/>
          <w:shd w:val="clear" w:color="auto" w:fill="FFFFFF"/>
        </w:rPr>
        <w:t xml:space="preserve"> and has better potential for political buy-in.</w:t>
      </w:r>
    </w:p>
    <w:p w:rsidR="00B076CB" w:rsidRDefault="00B076CB" w:rsidP="00530F1B">
      <w:pPr>
        <w:suppressAutoHyphens/>
        <w:spacing w:after="0" w:line="240" w:lineRule="auto"/>
        <w:outlineLvl w:val="0"/>
        <w:rPr>
          <w:rFonts w:ascii="Arial" w:hAnsi="Arial" w:cs="Arial"/>
          <w:color w:val="2B2B2B"/>
          <w:shd w:val="clear" w:color="auto" w:fill="FFFFFF"/>
        </w:rPr>
      </w:pPr>
    </w:p>
    <w:p w:rsidR="00B076CB" w:rsidRDefault="00B076CB" w:rsidP="00B076CB">
      <w:pPr>
        <w:suppressAutoHyphens/>
        <w:spacing w:after="0" w:line="240" w:lineRule="auto"/>
        <w:outlineLvl w:val="0"/>
        <w:rPr>
          <w:rFonts w:ascii="Arial" w:hAnsi="Arial" w:cs="Arial"/>
          <w:color w:val="2B2B2B"/>
          <w:shd w:val="clear" w:color="auto" w:fill="FFFFFF"/>
        </w:rPr>
      </w:pPr>
      <w:r>
        <w:rPr>
          <w:rFonts w:ascii="Arial" w:hAnsi="Arial" w:cs="Arial"/>
          <w:color w:val="2B2B2B"/>
          <w:shd w:val="clear" w:color="auto" w:fill="FFFFFF"/>
        </w:rPr>
        <w:t>Targets are key in the management of a Towards Zero strategy. A five year plan will ensure currency of planned actions and offer more flexibility to respond to new or emerging trends and issues.</w:t>
      </w:r>
    </w:p>
    <w:p w:rsidR="00236124" w:rsidRDefault="00236124" w:rsidP="00530F1B">
      <w:pPr>
        <w:spacing w:after="0"/>
        <w:rPr>
          <w:rFonts w:ascii="Arial" w:hAnsi="Arial" w:cs="Arial"/>
          <w:b/>
          <w:u w:val="single"/>
        </w:rPr>
      </w:pPr>
    </w:p>
    <w:p w:rsidR="00530F1B" w:rsidRPr="003C6B1F" w:rsidRDefault="00530F1B" w:rsidP="00530F1B">
      <w:pPr>
        <w:spacing w:after="0"/>
        <w:rPr>
          <w:rFonts w:ascii="Arial" w:hAnsi="Arial" w:cs="Arial"/>
          <w:b/>
          <w:u w:val="single"/>
        </w:rPr>
      </w:pPr>
      <w:r w:rsidRPr="003C6B1F">
        <w:rPr>
          <w:rFonts w:ascii="Arial" w:hAnsi="Arial" w:cs="Arial"/>
          <w:b/>
          <w:u w:val="single"/>
        </w:rPr>
        <w:t>Re</w:t>
      </w:r>
      <w:r w:rsidR="00BD000A">
        <w:rPr>
          <w:rFonts w:ascii="Arial" w:hAnsi="Arial" w:cs="Arial"/>
          <w:b/>
          <w:u w:val="single"/>
        </w:rPr>
        <w:t>commendation 6</w:t>
      </w:r>
    </w:p>
    <w:p w:rsidR="00530F1B" w:rsidRDefault="00530F1B" w:rsidP="00530F1B">
      <w:pPr>
        <w:spacing w:after="0"/>
        <w:rPr>
          <w:rFonts w:ascii="Arial" w:hAnsi="Arial" w:cs="Arial"/>
        </w:rPr>
      </w:pPr>
      <w:r>
        <w:rPr>
          <w:rFonts w:ascii="Arial" w:hAnsi="Arial" w:cs="Arial"/>
        </w:rPr>
        <w:t>The review recommend the implementation of an ambitious five year national road safety strategy that inspires urgent completion of actions.</w:t>
      </w:r>
    </w:p>
    <w:p w:rsidR="00530F1B" w:rsidRDefault="00530F1B" w:rsidP="00530F1B">
      <w:pPr>
        <w:spacing w:after="0"/>
        <w:rPr>
          <w:rFonts w:ascii="Arial" w:hAnsi="Arial" w:cs="Arial"/>
        </w:rPr>
      </w:pPr>
    </w:p>
    <w:p w:rsidR="00236124" w:rsidRDefault="00236124" w:rsidP="00530F1B">
      <w:pPr>
        <w:spacing w:after="0"/>
        <w:rPr>
          <w:rFonts w:ascii="Arial" w:hAnsi="Arial" w:cs="Arial"/>
        </w:rPr>
      </w:pPr>
    </w:p>
    <w:p w:rsidR="00530F1B" w:rsidRPr="003C6B1F" w:rsidRDefault="00530F1B" w:rsidP="00530F1B">
      <w:pPr>
        <w:spacing w:after="0"/>
        <w:rPr>
          <w:rFonts w:ascii="Arial" w:hAnsi="Arial" w:cs="Arial"/>
          <w:b/>
          <w:u w:val="single"/>
        </w:rPr>
      </w:pPr>
      <w:r w:rsidRPr="003C6B1F">
        <w:rPr>
          <w:rFonts w:ascii="Arial" w:hAnsi="Arial" w:cs="Arial"/>
          <w:b/>
          <w:u w:val="single"/>
        </w:rPr>
        <w:t>Recommendatio</w:t>
      </w:r>
      <w:r w:rsidR="00BD000A">
        <w:rPr>
          <w:rFonts w:ascii="Arial" w:hAnsi="Arial" w:cs="Arial"/>
          <w:b/>
          <w:u w:val="single"/>
        </w:rPr>
        <w:t>n 7</w:t>
      </w:r>
    </w:p>
    <w:p w:rsidR="00530F1B" w:rsidRPr="00577E42" w:rsidRDefault="00530F1B" w:rsidP="00530F1B">
      <w:pPr>
        <w:spacing w:after="0"/>
        <w:rPr>
          <w:rFonts w:ascii="Arial" w:hAnsi="Arial" w:cs="Arial"/>
        </w:rPr>
      </w:pPr>
      <w:r>
        <w:rPr>
          <w:rFonts w:ascii="Arial" w:hAnsi="Arial" w:cs="Arial"/>
        </w:rPr>
        <w:t>That the Government’s future national road safety strategy</w:t>
      </w:r>
      <w:r w:rsidR="00E410A7">
        <w:rPr>
          <w:rFonts w:ascii="Arial" w:hAnsi="Arial" w:cs="Arial"/>
        </w:rPr>
        <w:t xml:space="preserve"> adopts a Towards Zero philosophy and</w:t>
      </w:r>
      <w:r>
        <w:rPr>
          <w:rFonts w:ascii="Arial" w:hAnsi="Arial" w:cs="Arial"/>
        </w:rPr>
        <w:t xml:space="preserve"> sets a </w:t>
      </w:r>
      <w:r w:rsidR="001B2957">
        <w:rPr>
          <w:rFonts w:ascii="Arial" w:hAnsi="Arial" w:cs="Arial"/>
        </w:rPr>
        <w:t>long term target</w:t>
      </w:r>
      <w:r>
        <w:rPr>
          <w:rFonts w:ascii="Arial" w:hAnsi="Arial" w:cs="Arial"/>
        </w:rPr>
        <w:t xml:space="preserve"> for zero death</w:t>
      </w:r>
      <w:r w:rsidR="003802E9">
        <w:rPr>
          <w:rFonts w:ascii="Arial" w:hAnsi="Arial" w:cs="Arial"/>
        </w:rPr>
        <w:t>s</w:t>
      </w:r>
      <w:r>
        <w:rPr>
          <w:rFonts w:ascii="Arial" w:hAnsi="Arial" w:cs="Arial"/>
        </w:rPr>
        <w:t xml:space="preserve"> </w:t>
      </w:r>
      <w:r w:rsidR="00E410A7">
        <w:rPr>
          <w:rFonts w:ascii="Arial" w:hAnsi="Arial" w:cs="Arial"/>
        </w:rPr>
        <w:t>and serious injury on our roads.</w:t>
      </w:r>
    </w:p>
    <w:p w:rsidR="00530F1B" w:rsidRPr="00530F1B" w:rsidRDefault="00530F1B" w:rsidP="00530F1B">
      <w:pPr>
        <w:suppressAutoHyphens/>
        <w:spacing w:after="0" w:line="240" w:lineRule="auto"/>
        <w:outlineLvl w:val="0"/>
        <w:rPr>
          <w:rFonts w:ascii="Arial" w:eastAsia="Calibri" w:hAnsi="Arial" w:cs="Arial"/>
          <w:lang w:eastAsia="ar-SA"/>
        </w:rPr>
      </w:pPr>
    </w:p>
    <w:p w:rsidR="00374146" w:rsidRDefault="00374146" w:rsidP="004A7CF4">
      <w:pPr>
        <w:suppressAutoHyphens/>
        <w:spacing w:after="0" w:line="240" w:lineRule="auto"/>
        <w:outlineLvl w:val="0"/>
        <w:rPr>
          <w:rFonts w:ascii="Arial" w:eastAsia="Calibri" w:hAnsi="Arial" w:cs="Arial"/>
          <w:lang w:eastAsia="ar-SA"/>
        </w:rPr>
      </w:pPr>
    </w:p>
    <w:p w:rsidR="00374146" w:rsidRPr="003C6B1F" w:rsidRDefault="00374146" w:rsidP="00B03697">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Independent crash investigation</w:t>
      </w:r>
    </w:p>
    <w:p w:rsidR="00374146" w:rsidRPr="0048241B" w:rsidRDefault="00374146" w:rsidP="00374146">
      <w:pPr>
        <w:suppressAutoHyphens/>
        <w:spacing w:after="0" w:line="240" w:lineRule="auto"/>
        <w:outlineLvl w:val="0"/>
        <w:rPr>
          <w:rFonts w:ascii="Arial" w:eastAsia="Calibri" w:hAnsi="Arial" w:cs="Arial"/>
          <w:lang w:eastAsia="ar-SA"/>
        </w:rPr>
      </w:pPr>
    </w:p>
    <w:p w:rsidR="00374146" w:rsidRDefault="00374146" w:rsidP="00374146">
      <w:pPr>
        <w:rPr>
          <w:rFonts w:ascii="Arial" w:hAnsi="Arial" w:cs="Arial"/>
        </w:rPr>
      </w:pPr>
      <w:r>
        <w:rPr>
          <w:rFonts w:ascii="Arial" w:hAnsi="Arial" w:cs="Arial"/>
        </w:rPr>
        <w:t xml:space="preserve">Reducing road crashes involving heavy vehicles requires a commitment to understanding the causes of crashes, and to take action on reducing these causes. </w:t>
      </w:r>
    </w:p>
    <w:p w:rsidR="00374146" w:rsidRDefault="00374146" w:rsidP="00374146">
      <w:pPr>
        <w:rPr>
          <w:rFonts w:ascii="Arial" w:hAnsi="Arial" w:cs="Arial"/>
        </w:rPr>
      </w:pPr>
      <w:r>
        <w:rPr>
          <w:rFonts w:ascii="Arial" w:hAnsi="Arial" w:cs="Arial"/>
        </w:rPr>
        <w:t>Presently road accidents are investigated by police and/or the coronial system. Whilst this system may meet the needs of the legal and insurance systems, it is not achieving the reduction in road crashes that Governments should be seeking.</w:t>
      </w:r>
    </w:p>
    <w:p w:rsidR="00374146" w:rsidRDefault="00374146" w:rsidP="00374146">
      <w:pPr>
        <w:rPr>
          <w:rFonts w:ascii="Arial" w:hAnsi="Arial" w:cs="Arial"/>
        </w:rPr>
      </w:pPr>
      <w:r>
        <w:rPr>
          <w:rFonts w:ascii="Arial" w:hAnsi="Arial" w:cs="Arial"/>
        </w:rPr>
        <w:t>The existing investigation system is not suitable to the need to investigate the causes of the accident with relevant experts, including where technology and software needs investigation. This will be an increasing issue as the level of automation in vehicles increases.</w:t>
      </w:r>
    </w:p>
    <w:p w:rsidR="00374146" w:rsidRDefault="00374146" w:rsidP="00374146">
      <w:pPr>
        <w:rPr>
          <w:rFonts w:ascii="Arial" w:hAnsi="Arial" w:cs="Arial"/>
        </w:rPr>
      </w:pPr>
      <w:r>
        <w:rPr>
          <w:rFonts w:ascii="Arial" w:hAnsi="Arial" w:cs="Arial"/>
        </w:rPr>
        <w:t xml:space="preserve">In contrast, the Australian Transport Safety Bureau (ATSB) conducts independent investigation of transport crashes and other safety occurrences in the aviation, marine and rail modes of transport. Lessons arising from ATSB investigations are used to reduce the risk of future accidents and incidents through the implementation of safety action by industry and the Government. </w:t>
      </w:r>
    </w:p>
    <w:p w:rsidR="00374146" w:rsidRDefault="00374146" w:rsidP="00374146">
      <w:pPr>
        <w:rPr>
          <w:rFonts w:ascii="Arial" w:hAnsi="Arial" w:cs="Arial"/>
        </w:rPr>
      </w:pPr>
      <w:r>
        <w:rPr>
          <w:rFonts w:ascii="Arial" w:hAnsi="Arial" w:cs="Arial"/>
        </w:rPr>
        <w:t xml:space="preserve">The ATSB also seeks to improve safety and public confidence in those transport modes by pursuing excellence in safety data and research and fostering safety awareness, in addition to independent investigation of accidents. </w:t>
      </w:r>
    </w:p>
    <w:p w:rsidR="00374146" w:rsidRDefault="00374146" w:rsidP="00374146">
      <w:pPr>
        <w:rPr>
          <w:rFonts w:ascii="Arial" w:hAnsi="Arial" w:cs="Arial"/>
        </w:rPr>
      </w:pPr>
      <w:r>
        <w:rPr>
          <w:rFonts w:ascii="Arial" w:hAnsi="Arial" w:cs="Arial"/>
        </w:rPr>
        <w:t>The ATSB is an independent statutory agency that is separated from transport regulators, policy makers and service providers. It is not a function of the ATSB to apportion blame or to provide a means for determining liability.</w:t>
      </w:r>
    </w:p>
    <w:p w:rsidR="00374146" w:rsidRDefault="00374146" w:rsidP="00374146">
      <w:pPr>
        <w:suppressAutoHyphens/>
        <w:spacing w:after="0" w:line="240" w:lineRule="auto"/>
        <w:outlineLvl w:val="0"/>
        <w:rPr>
          <w:rFonts w:ascii="Arial" w:hAnsi="Arial" w:cs="Arial"/>
        </w:rPr>
      </w:pPr>
      <w:r>
        <w:rPr>
          <w:rFonts w:ascii="Arial" w:hAnsi="Arial" w:cs="Arial"/>
        </w:rPr>
        <w:t>As stated by the ATSB, no blame does not mean no responsibility. It means that disciplinary action and criminal or liability assessment are not part of an ATSB safety investigation and should, if necessary, be progressed through separate parallel processes. Introducing ATSB</w:t>
      </w:r>
      <w:r w:rsidRPr="00D26104">
        <w:t xml:space="preserve"> </w:t>
      </w:r>
      <w:r w:rsidRPr="00D26104">
        <w:rPr>
          <w:rFonts w:ascii="Arial" w:hAnsi="Arial" w:cs="Arial"/>
        </w:rPr>
        <w:t xml:space="preserve">investigations of heavy vehicle road crashes would not replace the existing </w:t>
      </w:r>
      <w:r>
        <w:rPr>
          <w:rFonts w:ascii="Arial" w:hAnsi="Arial" w:cs="Arial"/>
        </w:rPr>
        <w:t>police and/or coronial system.</w:t>
      </w:r>
    </w:p>
    <w:p w:rsidR="00374146" w:rsidRPr="00D26104" w:rsidRDefault="00374146" w:rsidP="00374146">
      <w:pPr>
        <w:suppressAutoHyphens/>
        <w:spacing w:after="0" w:line="240" w:lineRule="auto"/>
        <w:outlineLvl w:val="0"/>
        <w:rPr>
          <w:rFonts w:ascii="Arial" w:hAnsi="Arial" w:cs="Arial"/>
        </w:rPr>
      </w:pPr>
    </w:p>
    <w:p w:rsidR="00374146" w:rsidRDefault="00374146" w:rsidP="00374146">
      <w:pPr>
        <w:suppressAutoHyphens/>
        <w:spacing w:after="0" w:line="240" w:lineRule="auto"/>
        <w:outlineLvl w:val="0"/>
        <w:rPr>
          <w:rFonts w:ascii="Arial" w:hAnsi="Arial" w:cs="Arial"/>
        </w:rPr>
      </w:pPr>
      <w:r w:rsidRPr="00D26104">
        <w:rPr>
          <w:rFonts w:ascii="Arial" w:hAnsi="Arial" w:cs="Arial"/>
        </w:rPr>
        <w:t>Currently, the ATSB functions to improve safety and public confidence in Australia’s transport system, except for roads, which impacts the daily lives and safety of the wider community. A heavy vehicle crash on a railway level crossing would potentially trigger an ATSB investigation, but one 10 metres down the road would not.</w:t>
      </w:r>
    </w:p>
    <w:p w:rsidR="00374146" w:rsidRDefault="00374146" w:rsidP="004A7CF4">
      <w:pPr>
        <w:suppressAutoHyphens/>
        <w:spacing w:after="0" w:line="240" w:lineRule="auto"/>
        <w:outlineLvl w:val="0"/>
        <w:rPr>
          <w:rFonts w:ascii="Arial" w:eastAsia="Calibri" w:hAnsi="Arial" w:cs="Arial"/>
          <w:lang w:eastAsia="ar-SA"/>
        </w:rPr>
      </w:pPr>
    </w:p>
    <w:p w:rsidR="00530F1B" w:rsidRDefault="00530F1B" w:rsidP="004A7CF4">
      <w:pPr>
        <w:suppressAutoHyphens/>
        <w:spacing w:after="0" w:line="240" w:lineRule="auto"/>
        <w:outlineLvl w:val="0"/>
        <w:rPr>
          <w:rFonts w:ascii="Arial" w:eastAsia="Calibri" w:hAnsi="Arial" w:cs="Arial"/>
          <w:lang w:eastAsia="ar-SA"/>
        </w:rPr>
      </w:pPr>
    </w:p>
    <w:p w:rsidR="00530F1B" w:rsidRPr="003C6B1F" w:rsidRDefault="00BD000A" w:rsidP="00530F1B">
      <w:pPr>
        <w:spacing w:after="0"/>
        <w:rPr>
          <w:rFonts w:ascii="Arial" w:eastAsia="Times New Roman" w:hAnsi="Arial" w:cs="Arial"/>
          <w:b/>
          <w:bCs/>
          <w:u w:val="single"/>
        </w:rPr>
      </w:pPr>
      <w:r>
        <w:rPr>
          <w:rFonts w:ascii="Arial" w:eastAsia="Times New Roman" w:hAnsi="Arial" w:cs="Arial"/>
          <w:b/>
          <w:bCs/>
          <w:u w:val="single"/>
        </w:rPr>
        <w:t>Recommendation 8</w:t>
      </w:r>
    </w:p>
    <w:p w:rsidR="00530F1B" w:rsidRPr="00E15583" w:rsidRDefault="00530F1B" w:rsidP="00530F1B">
      <w:pPr>
        <w:spacing w:after="0"/>
      </w:pPr>
      <w:r w:rsidRPr="0049707E">
        <w:rPr>
          <w:rFonts w:ascii="Arial" w:eastAsia="Calibri" w:hAnsi="Arial" w:cs="Arial"/>
        </w:rPr>
        <w:t xml:space="preserve">The </w:t>
      </w:r>
      <w:r>
        <w:rPr>
          <w:rFonts w:ascii="Arial" w:eastAsia="Calibri" w:hAnsi="Arial" w:cs="Arial"/>
        </w:rPr>
        <w:t xml:space="preserve">role of the </w:t>
      </w:r>
      <w:r w:rsidRPr="0049707E">
        <w:rPr>
          <w:rFonts w:ascii="Arial" w:eastAsia="Calibri" w:hAnsi="Arial" w:cs="Arial"/>
        </w:rPr>
        <w:t>Australian Transport Safety Bureau should be extended to provide independent, no-blame, safety investigations for road accidents involving heavy</w:t>
      </w:r>
      <w:r>
        <w:rPr>
          <w:rFonts w:ascii="Arial" w:eastAsia="Calibri" w:hAnsi="Arial" w:cs="Arial"/>
        </w:rPr>
        <w:t xml:space="preserve"> vehicles</w:t>
      </w:r>
      <w:r>
        <w:rPr>
          <w:rFonts w:ascii="Arial" w:hAnsi="Arial" w:cs="Arial"/>
        </w:rPr>
        <w:t>.</w:t>
      </w:r>
    </w:p>
    <w:p w:rsidR="00374146" w:rsidRDefault="00374146" w:rsidP="004A7CF4">
      <w:pPr>
        <w:suppressAutoHyphens/>
        <w:spacing w:after="0" w:line="240" w:lineRule="auto"/>
        <w:outlineLvl w:val="0"/>
        <w:rPr>
          <w:rFonts w:ascii="Arial" w:eastAsia="Calibri" w:hAnsi="Arial" w:cs="Arial"/>
          <w:lang w:eastAsia="ar-SA"/>
        </w:rPr>
      </w:pPr>
    </w:p>
    <w:p w:rsidR="00B654D0" w:rsidRDefault="00B654D0" w:rsidP="004A7CF4">
      <w:pPr>
        <w:suppressAutoHyphens/>
        <w:spacing w:after="0" w:line="240" w:lineRule="auto"/>
        <w:outlineLvl w:val="0"/>
        <w:rPr>
          <w:rFonts w:ascii="Arial" w:eastAsia="Calibri" w:hAnsi="Arial" w:cs="Arial"/>
          <w:lang w:eastAsia="ar-SA"/>
        </w:rPr>
      </w:pPr>
    </w:p>
    <w:p w:rsidR="001B2957" w:rsidRDefault="001B2957">
      <w:pPr>
        <w:rPr>
          <w:rFonts w:ascii="Arial" w:eastAsia="Calibri" w:hAnsi="Arial" w:cs="Arial"/>
          <w:b/>
          <w:i/>
          <w:lang w:eastAsia="ar-SA"/>
        </w:rPr>
      </w:pPr>
      <w:r>
        <w:rPr>
          <w:rFonts w:ascii="Arial" w:eastAsia="Calibri" w:hAnsi="Arial" w:cs="Arial"/>
          <w:b/>
          <w:i/>
          <w:lang w:eastAsia="ar-SA"/>
        </w:rPr>
        <w:br w:type="page"/>
      </w:r>
    </w:p>
    <w:p w:rsidR="004A7CF4" w:rsidRPr="003C6B1F" w:rsidRDefault="002B5262" w:rsidP="00B03697">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lastRenderedPageBreak/>
        <w:t>Independent road safety policy advice</w:t>
      </w:r>
    </w:p>
    <w:p w:rsidR="002B5262" w:rsidRDefault="002B5262" w:rsidP="002B5262">
      <w:pPr>
        <w:suppressAutoHyphens/>
        <w:spacing w:after="0" w:line="240" w:lineRule="auto"/>
        <w:outlineLvl w:val="0"/>
        <w:rPr>
          <w:rFonts w:ascii="Arial" w:eastAsia="Calibri" w:hAnsi="Arial" w:cs="Arial"/>
          <w:lang w:eastAsia="ar-SA"/>
        </w:rPr>
      </w:pPr>
    </w:p>
    <w:p w:rsidR="00D31B56" w:rsidRDefault="00D31B56" w:rsidP="00D31B56">
      <w:pPr>
        <w:rPr>
          <w:rFonts w:ascii="Arial" w:hAnsi="Arial" w:cs="Arial"/>
        </w:rPr>
      </w:pPr>
      <w:r>
        <w:rPr>
          <w:rFonts w:ascii="Arial" w:hAnsi="Arial" w:cs="Arial"/>
        </w:rPr>
        <w:t xml:space="preserve">In its submission to Treasury on the 2018-19 Budget, the ATA called for an independent, statutory agency at national level to provide independent policy advice on road safety to strengthen the national focus on improving road safety. </w:t>
      </w:r>
    </w:p>
    <w:p w:rsidR="00D31B56" w:rsidRDefault="00D31B56" w:rsidP="00D31B56">
      <w:pPr>
        <w:rPr>
          <w:rFonts w:ascii="Arial" w:hAnsi="Arial" w:cs="Arial"/>
        </w:rPr>
      </w:pPr>
      <w:r>
        <w:rPr>
          <w:rFonts w:ascii="Arial" w:hAnsi="Arial" w:cs="Arial"/>
        </w:rPr>
        <w:t>The ATA submission proposed that such an agency should:</w:t>
      </w:r>
    </w:p>
    <w:p w:rsidR="00D31B56" w:rsidRDefault="00D31B56" w:rsidP="00D31B56">
      <w:pPr>
        <w:pStyle w:val="ListParagraph"/>
        <w:numPr>
          <w:ilvl w:val="0"/>
          <w:numId w:val="10"/>
        </w:numPr>
        <w:rPr>
          <w:rFonts w:ascii="Arial" w:hAnsi="Arial" w:cs="Arial"/>
        </w:rPr>
      </w:pPr>
      <w:r>
        <w:rPr>
          <w:rFonts w:ascii="Arial" w:hAnsi="Arial" w:cs="Arial"/>
        </w:rPr>
        <w:t>Monitor and report against the National Road Safety Strategy (NRSS).</w:t>
      </w:r>
    </w:p>
    <w:p w:rsidR="00D31B56" w:rsidRDefault="00D31B56" w:rsidP="00D31B56">
      <w:pPr>
        <w:pStyle w:val="ListParagraph"/>
        <w:numPr>
          <w:ilvl w:val="0"/>
          <w:numId w:val="10"/>
        </w:numPr>
        <w:rPr>
          <w:rFonts w:ascii="Arial" w:hAnsi="Arial" w:cs="Arial"/>
        </w:rPr>
      </w:pPr>
      <w:r>
        <w:rPr>
          <w:rFonts w:ascii="Arial" w:hAnsi="Arial" w:cs="Arial"/>
        </w:rPr>
        <w:t>Be able to self-initiate policy reviews.</w:t>
      </w:r>
    </w:p>
    <w:p w:rsidR="00D31B56" w:rsidRDefault="00D31B56" w:rsidP="00D31B56">
      <w:pPr>
        <w:pStyle w:val="ListParagraph"/>
        <w:numPr>
          <w:ilvl w:val="0"/>
          <w:numId w:val="10"/>
        </w:numPr>
        <w:rPr>
          <w:rFonts w:ascii="Arial" w:hAnsi="Arial" w:cs="Arial"/>
        </w:rPr>
      </w:pPr>
      <w:r>
        <w:rPr>
          <w:rFonts w:ascii="Arial" w:hAnsi="Arial" w:cs="Arial"/>
        </w:rPr>
        <w:t>Have stable funding to administer practical, non-infrastructure safety measures such as educational and behavioural change projects.</w:t>
      </w:r>
    </w:p>
    <w:p w:rsidR="00D31B56" w:rsidRDefault="00D31B56" w:rsidP="00D31B56">
      <w:pPr>
        <w:rPr>
          <w:rFonts w:ascii="Arial" w:hAnsi="Arial" w:cs="Arial"/>
        </w:rPr>
      </w:pPr>
      <w:r>
        <w:rPr>
          <w:rFonts w:ascii="Arial" w:hAnsi="Arial" w:cs="Arial"/>
        </w:rPr>
        <w:t xml:space="preserve">The ATA 2018-19 Budget submission recommended that the Australian Government should strongly </w:t>
      </w:r>
      <w:r w:rsidRPr="00C141CD">
        <w:rPr>
          <w:rFonts w:ascii="Arial" w:hAnsi="Arial" w:cs="Arial"/>
          <w:b/>
        </w:rPr>
        <w:t>consider</w:t>
      </w:r>
      <w:r>
        <w:rPr>
          <w:rFonts w:ascii="Arial" w:hAnsi="Arial" w:cs="Arial"/>
        </w:rPr>
        <w:t xml:space="preserve"> the creation of a National Road Safety Commission (NRSC) to bring this into effect. </w:t>
      </w:r>
    </w:p>
    <w:p w:rsidR="00D31B56" w:rsidRDefault="00D31B56" w:rsidP="00D31B56">
      <w:pPr>
        <w:rPr>
          <w:rFonts w:ascii="Arial" w:hAnsi="Arial" w:cs="Arial"/>
        </w:rPr>
      </w:pPr>
      <w:r>
        <w:rPr>
          <w:rFonts w:ascii="Arial" w:hAnsi="Arial" w:cs="Arial"/>
        </w:rPr>
        <w:t>A NRSC would likely require:</w:t>
      </w:r>
    </w:p>
    <w:p w:rsidR="00D31B56" w:rsidRDefault="00D31B56" w:rsidP="00D31B56">
      <w:pPr>
        <w:pStyle w:val="ListParagraph"/>
        <w:numPr>
          <w:ilvl w:val="0"/>
          <w:numId w:val="11"/>
        </w:numPr>
        <w:rPr>
          <w:rFonts w:ascii="Arial" w:hAnsi="Arial" w:cs="Arial"/>
        </w:rPr>
      </w:pPr>
      <w:r>
        <w:rPr>
          <w:rFonts w:ascii="Arial" w:hAnsi="Arial" w:cs="Arial"/>
        </w:rPr>
        <w:t>Potential COAG agreement, especially with relation to establishing responsibility for monitoring the NRSS.</w:t>
      </w:r>
    </w:p>
    <w:p w:rsidR="00D31B56" w:rsidRDefault="00D31B56" w:rsidP="00D31B56">
      <w:pPr>
        <w:pStyle w:val="ListParagraph"/>
        <w:numPr>
          <w:ilvl w:val="0"/>
          <w:numId w:val="11"/>
        </w:numPr>
        <w:rPr>
          <w:rFonts w:ascii="Arial" w:hAnsi="Arial" w:cs="Arial"/>
        </w:rPr>
      </w:pPr>
      <w:r>
        <w:rPr>
          <w:rFonts w:ascii="Arial" w:hAnsi="Arial" w:cs="Arial"/>
        </w:rPr>
        <w:t>Establishing legislation through the Australian Parliament.</w:t>
      </w:r>
    </w:p>
    <w:p w:rsidR="00D31B56" w:rsidRDefault="00D31B56" w:rsidP="00D31B56">
      <w:pPr>
        <w:pStyle w:val="ListParagraph"/>
        <w:numPr>
          <w:ilvl w:val="0"/>
          <w:numId w:val="11"/>
        </w:numPr>
        <w:rPr>
          <w:rFonts w:ascii="Arial" w:hAnsi="Arial" w:cs="Arial"/>
        </w:rPr>
      </w:pPr>
      <w:r>
        <w:rPr>
          <w:rFonts w:ascii="Arial" w:hAnsi="Arial" w:cs="Arial"/>
        </w:rPr>
        <w:t>Appointment of an independent board, with suitably qualified directors.</w:t>
      </w:r>
    </w:p>
    <w:p w:rsidR="00D31B56" w:rsidRDefault="00D31B56" w:rsidP="00D31B56">
      <w:pPr>
        <w:pStyle w:val="ListParagraph"/>
        <w:numPr>
          <w:ilvl w:val="0"/>
          <w:numId w:val="11"/>
        </w:numPr>
        <w:rPr>
          <w:rFonts w:ascii="Arial" w:hAnsi="Arial" w:cs="Arial"/>
        </w:rPr>
      </w:pPr>
      <w:r>
        <w:rPr>
          <w:rFonts w:ascii="Arial" w:hAnsi="Arial" w:cs="Arial"/>
        </w:rPr>
        <w:t>Appointment of an appropriate CEO and staff.</w:t>
      </w:r>
    </w:p>
    <w:p w:rsidR="00D31B56" w:rsidRDefault="00D31B56" w:rsidP="00D31B56">
      <w:pPr>
        <w:pStyle w:val="ListParagraph"/>
        <w:numPr>
          <w:ilvl w:val="0"/>
          <w:numId w:val="11"/>
        </w:numPr>
        <w:rPr>
          <w:rFonts w:ascii="Arial" w:hAnsi="Arial" w:cs="Arial"/>
        </w:rPr>
      </w:pPr>
      <w:r>
        <w:rPr>
          <w:rFonts w:ascii="Arial" w:hAnsi="Arial" w:cs="Arial"/>
        </w:rPr>
        <w:t xml:space="preserve">Funding of agency costs, including salaries, office accommodation, and other operational costs. </w:t>
      </w:r>
    </w:p>
    <w:p w:rsidR="00D31B56" w:rsidRDefault="00D31B56" w:rsidP="00D31B56">
      <w:pPr>
        <w:rPr>
          <w:rFonts w:ascii="Arial" w:hAnsi="Arial" w:cs="Arial"/>
        </w:rPr>
      </w:pPr>
      <w:r>
        <w:rPr>
          <w:rFonts w:ascii="Arial" w:hAnsi="Arial" w:cs="Arial"/>
        </w:rPr>
        <w:t>The NRSC would potentially be modelled on the National Mental Health Commission (NMHC). The creation of the NMHC</w:t>
      </w:r>
      <w:r w:rsidRPr="00E659CB">
        <w:rPr>
          <w:rFonts w:ascii="Arial" w:hAnsi="Arial" w:cs="Arial"/>
        </w:rPr>
        <w:t xml:space="preserve"> in 2012 was to provide independent reports and advice to the community and government on of the effectiveness of mental health services and programmes across Federal, state and territory governments, and private and non-government sectors.</w:t>
      </w:r>
      <w:r>
        <w:rPr>
          <w:rFonts w:ascii="Arial" w:hAnsi="Arial" w:cs="Arial"/>
        </w:rPr>
        <w:t xml:space="preserve"> The NHMC is tasked with providing a leadership role to drive change. </w:t>
      </w:r>
    </w:p>
    <w:p w:rsidR="00D31B56" w:rsidRDefault="00D31B56" w:rsidP="00D31B56">
      <w:pPr>
        <w:rPr>
          <w:rFonts w:ascii="Arial" w:hAnsi="Arial" w:cs="Arial"/>
        </w:rPr>
      </w:pPr>
      <w:r>
        <w:rPr>
          <w:rFonts w:ascii="Arial" w:hAnsi="Arial" w:cs="Arial"/>
        </w:rPr>
        <w:t xml:space="preserve">The NHMC does not provide grants, funding or services, which differs from the ATA recommendation that a NRSC should provide stable funding for road safety projects. </w:t>
      </w:r>
    </w:p>
    <w:p w:rsidR="00D31B56" w:rsidRDefault="00D31B56" w:rsidP="00D31B56">
      <w:pPr>
        <w:rPr>
          <w:rFonts w:ascii="Arial" w:hAnsi="Arial" w:cs="Arial"/>
        </w:rPr>
      </w:pPr>
      <w:r>
        <w:rPr>
          <w:rFonts w:ascii="Arial" w:hAnsi="Arial" w:cs="Arial"/>
        </w:rPr>
        <w:t xml:space="preserve">A NRSC could provide strong focus for providing leadership to drive change on Australia’s roads. </w:t>
      </w:r>
    </w:p>
    <w:p w:rsidR="00236124" w:rsidRDefault="00236124" w:rsidP="00236124">
      <w:pPr>
        <w:suppressAutoHyphens/>
        <w:spacing w:after="0" w:line="240" w:lineRule="auto"/>
        <w:outlineLvl w:val="0"/>
        <w:rPr>
          <w:rFonts w:ascii="Arial" w:eastAsia="Calibri" w:hAnsi="Arial" w:cs="Arial"/>
          <w:lang w:eastAsia="ar-SA"/>
        </w:rPr>
      </w:pPr>
      <w:r>
        <w:rPr>
          <w:rFonts w:ascii="Arial" w:eastAsia="Calibri" w:hAnsi="Arial" w:cs="Arial"/>
          <w:lang w:eastAsia="ar-SA"/>
        </w:rPr>
        <w:t>Other options for re-establishing national leadership of road safety would include re-establishing the Federal Office of Road Safety (FORS) or returning the responsibility to the ATSB.</w:t>
      </w:r>
      <w:r w:rsidR="00E24292">
        <w:rPr>
          <w:rFonts w:ascii="Arial" w:eastAsia="Calibri" w:hAnsi="Arial" w:cs="Arial"/>
          <w:lang w:eastAsia="ar-SA"/>
        </w:rPr>
        <w:t xml:space="preserve"> </w:t>
      </w:r>
    </w:p>
    <w:p w:rsidR="00236124" w:rsidRDefault="00236124" w:rsidP="00236124">
      <w:pPr>
        <w:suppressAutoHyphens/>
        <w:spacing w:after="0" w:line="240" w:lineRule="auto"/>
        <w:outlineLvl w:val="0"/>
        <w:rPr>
          <w:rFonts w:ascii="Arial" w:eastAsia="Calibri" w:hAnsi="Arial" w:cs="Arial"/>
          <w:lang w:eastAsia="ar-SA"/>
        </w:rPr>
      </w:pPr>
    </w:p>
    <w:p w:rsidR="00D31B56" w:rsidRDefault="00236124" w:rsidP="00E24292">
      <w:pPr>
        <w:suppressAutoHyphens/>
        <w:spacing w:after="0" w:line="240" w:lineRule="auto"/>
        <w:outlineLvl w:val="0"/>
        <w:rPr>
          <w:rFonts w:ascii="Arial" w:hAnsi="Arial" w:cs="Arial"/>
        </w:rPr>
      </w:pPr>
      <w:r>
        <w:rPr>
          <w:rFonts w:ascii="Arial" w:eastAsia="Calibri" w:hAnsi="Arial" w:cs="Arial"/>
          <w:lang w:eastAsia="ar-SA"/>
        </w:rPr>
        <w:t>The ATA considers that the national body must be able to make independent reports on progress, which would rule out housing it within a department. Its function would be a diversion from the ATSB’s crash investigation responsibility and ethos.</w:t>
      </w:r>
      <w:r w:rsidR="00E24292">
        <w:rPr>
          <w:rFonts w:ascii="Arial" w:eastAsia="Calibri" w:hAnsi="Arial" w:cs="Arial"/>
          <w:lang w:eastAsia="ar-SA"/>
        </w:rPr>
        <w:t xml:space="preserve"> </w:t>
      </w:r>
      <w:r>
        <w:rPr>
          <w:rFonts w:ascii="Arial" w:hAnsi="Arial" w:cs="Arial"/>
        </w:rPr>
        <w:t>T</w:t>
      </w:r>
      <w:r w:rsidR="00D31B56">
        <w:rPr>
          <w:rFonts w:ascii="Arial" w:hAnsi="Arial" w:cs="Arial"/>
        </w:rPr>
        <w:t xml:space="preserve">he ATA </w:t>
      </w:r>
      <w:r>
        <w:rPr>
          <w:rFonts w:ascii="Arial" w:hAnsi="Arial" w:cs="Arial"/>
        </w:rPr>
        <w:t>does not support these options, maintaining</w:t>
      </w:r>
      <w:r w:rsidR="00DA42CC">
        <w:rPr>
          <w:rFonts w:ascii="Arial" w:hAnsi="Arial" w:cs="Arial"/>
        </w:rPr>
        <w:t xml:space="preserve"> </w:t>
      </w:r>
      <w:r w:rsidR="00D31B56">
        <w:rPr>
          <w:rFonts w:ascii="Arial" w:hAnsi="Arial" w:cs="Arial"/>
        </w:rPr>
        <w:t>that the preferred approach is the creation of a National Road Safety Commission (NRSC).</w:t>
      </w:r>
    </w:p>
    <w:p w:rsidR="00E24292" w:rsidRPr="00E24292" w:rsidRDefault="00E24292" w:rsidP="00E24292">
      <w:pPr>
        <w:suppressAutoHyphens/>
        <w:spacing w:after="0" w:line="240" w:lineRule="auto"/>
        <w:outlineLvl w:val="0"/>
        <w:rPr>
          <w:rFonts w:ascii="Arial" w:eastAsia="Calibri" w:hAnsi="Arial" w:cs="Arial"/>
          <w:lang w:eastAsia="ar-SA"/>
        </w:rPr>
      </w:pPr>
    </w:p>
    <w:p w:rsidR="002B5262" w:rsidRPr="003C6B1F" w:rsidRDefault="00BD000A" w:rsidP="002B5262">
      <w:pPr>
        <w:spacing w:after="0"/>
        <w:rPr>
          <w:rFonts w:ascii="Arial" w:hAnsi="Arial" w:cs="Arial"/>
          <w:b/>
          <w:u w:val="single"/>
        </w:rPr>
      </w:pPr>
      <w:r>
        <w:rPr>
          <w:rFonts w:ascii="Arial" w:hAnsi="Arial" w:cs="Arial"/>
          <w:b/>
          <w:u w:val="single"/>
        </w:rPr>
        <w:t>Recommendation 9</w:t>
      </w:r>
    </w:p>
    <w:p w:rsidR="002B5262" w:rsidRDefault="002B5262" w:rsidP="002B5262">
      <w:pPr>
        <w:spacing w:after="0" w:line="240" w:lineRule="auto"/>
        <w:rPr>
          <w:rFonts w:ascii="Arial" w:eastAsia="Times New Roman" w:hAnsi="Arial" w:cs="Arial"/>
          <w:bCs/>
        </w:rPr>
      </w:pPr>
      <w:r>
        <w:rPr>
          <w:rFonts w:ascii="Arial" w:eastAsia="Times New Roman" w:hAnsi="Arial" w:cs="Arial"/>
          <w:bCs/>
        </w:rPr>
        <w:t>Governments should strongly consider the creation of an independent, statutory National Road Safety Commission to provide independent road safety policy advice, policy reviews, monitor the National Road Safety Strategy, and provide funding of non-infrastructure projects for improving road safety.</w:t>
      </w:r>
    </w:p>
    <w:p w:rsidR="004011EB" w:rsidRPr="003C6B1F" w:rsidRDefault="007C2843" w:rsidP="00B03697">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lastRenderedPageBreak/>
        <w:t>Safety a</w:t>
      </w:r>
      <w:r w:rsidR="004011EB" w:rsidRPr="003C6B1F">
        <w:rPr>
          <w:rFonts w:ascii="Arial" w:eastAsia="Calibri" w:hAnsi="Arial" w:cs="Arial"/>
          <w:b/>
          <w:i/>
          <w:lang w:eastAsia="ar-SA"/>
        </w:rPr>
        <w:t xml:space="preserve">nalysis and </w:t>
      </w:r>
      <w:r w:rsidRPr="003C6B1F">
        <w:rPr>
          <w:rFonts w:ascii="Arial" w:eastAsia="Calibri" w:hAnsi="Arial" w:cs="Arial"/>
          <w:b/>
          <w:i/>
          <w:lang w:eastAsia="ar-SA"/>
        </w:rPr>
        <w:t>road i</w:t>
      </w:r>
      <w:r w:rsidR="004011EB" w:rsidRPr="003C6B1F">
        <w:rPr>
          <w:rFonts w:ascii="Arial" w:eastAsia="Calibri" w:hAnsi="Arial" w:cs="Arial"/>
          <w:b/>
          <w:i/>
          <w:lang w:eastAsia="ar-SA"/>
        </w:rPr>
        <w:t>nvestment</w:t>
      </w:r>
    </w:p>
    <w:p w:rsidR="006649A6" w:rsidRDefault="006649A6" w:rsidP="00707722">
      <w:pPr>
        <w:suppressAutoHyphens/>
        <w:spacing w:after="0" w:line="240" w:lineRule="auto"/>
        <w:outlineLvl w:val="0"/>
        <w:rPr>
          <w:rFonts w:ascii="Arial" w:eastAsia="Calibri" w:hAnsi="Arial" w:cs="Arial"/>
          <w:lang w:eastAsia="ar-SA"/>
        </w:rPr>
      </w:pPr>
    </w:p>
    <w:p w:rsidR="00285CB5" w:rsidRPr="00285CB5" w:rsidRDefault="00285CB5" w:rsidP="00285CB5">
      <w:pPr>
        <w:keepNext/>
        <w:suppressAutoHyphens/>
        <w:spacing w:after="0" w:line="240" w:lineRule="auto"/>
        <w:outlineLvl w:val="0"/>
        <w:rPr>
          <w:rStyle w:val="IntenseEmphasis"/>
        </w:rPr>
      </w:pPr>
      <w:r w:rsidRPr="00285CB5">
        <w:rPr>
          <w:rStyle w:val="IntenseEmphasis"/>
        </w:rPr>
        <w:t>UK Treasury approach</w:t>
      </w:r>
    </w:p>
    <w:p w:rsidR="00285CB5" w:rsidRDefault="00285CB5" w:rsidP="00285CB5">
      <w:pPr>
        <w:keepNext/>
        <w:suppressAutoHyphens/>
        <w:spacing w:after="0" w:line="240" w:lineRule="auto"/>
        <w:outlineLvl w:val="0"/>
        <w:rPr>
          <w:rFonts w:ascii="Arial" w:eastAsia="Calibri" w:hAnsi="Arial" w:cs="Arial"/>
          <w:lang w:eastAsia="ar-SA"/>
        </w:rPr>
      </w:pPr>
    </w:p>
    <w:p w:rsidR="00285CB5" w:rsidRDefault="00285CB5" w:rsidP="00285CB5">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In 2005, the UK Treasury issued guidance to UK Government policy makers about how to assess proposals that affect public safety. The guidance supplemented the Treasury Green Book, the UK equivalent of the </w:t>
      </w:r>
      <w:r w:rsidRPr="005A511A">
        <w:rPr>
          <w:rFonts w:ascii="Arial" w:eastAsia="Calibri" w:hAnsi="Arial" w:cs="Arial"/>
          <w:i/>
          <w:lang w:eastAsia="ar-SA"/>
        </w:rPr>
        <w:t>Australian Government Guide to Regulation</w:t>
      </w:r>
      <w:r>
        <w:rPr>
          <w:rFonts w:ascii="Arial" w:eastAsia="Calibri" w:hAnsi="Arial" w:cs="Arial"/>
          <w:lang w:eastAsia="ar-SA"/>
        </w:rPr>
        <w:t>.</w:t>
      </w:r>
    </w:p>
    <w:p w:rsidR="00285CB5" w:rsidRDefault="00285CB5" w:rsidP="00285CB5">
      <w:pPr>
        <w:suppressAutoHyphens/>
        <w:spacing w:after="0" w:line="240" w:lineRule="auto"/>
        <w:outlineLvl w:val="0"/>
        <w:rPr>
          <w:rFonts w:ascii="Arial" w:eastAsia="Calibri" w:hAnsi="Arial" w:cs="Arial"/>
          <w:lang w:eastAsia="ar-SA"/>
        </w:rPr>
      </w:pPr>
    </w:p>
    <w:p w:rsidR="00285CB5" w:rsidRDefault="00285CB5" w:rsidP="00285CB5">
      <w:pPr>
        <w:suppressAutoHyphens/>
        <w:spacing w:after="0" w:line="240" w:lineRule="auto"/>
        <w:outlineLvl w:val="0"/>
        <w:rPr>
          <w:rFonts w:ascii="Arial" w:eastAsia="Calibri" w:hAnsi="Arial" w:cs="Arial"/>
          <w:lang w:eastAsia="ar-SA"/>
        </w:rPr>
      </w:pPr>
      <w:r>
        <w:rPr>
          <w:rFonts w:ascii="Arial" w:eastAsia="Calibri" w:hAnsi="Arial" w:cs="Arial"/>
          <w:lang w:eastAsia="ar-SA"/>
        </w:rPr>
        <w:t>UK Government policy makers are advised to avoid, prevent or reduce high risks virtually whatever the cost implications. Very low risks should be mitigated further if the costs are justified. In the intermediate range, risks should be reduced as low as reasonably practicable.</w:t>
      </w:r>
      <w:r>
        <w:rPr>
          <w:rStyle w:val="FootnoteReference"/>
          <w:rFonts w:ascii="Arial" w:eastAsia="Calibri" w:hAnsi="Arial" w:cs="Arial"/>
          <w:lang w:eastAsia="ar-SA"/>
        </w:rPr>
        <w:footnoteReference w:id="11"/>
      </w:r>
    </w:p>
    <w:p w:rsidR="00285CB5" w:rsidRDefault="00285CB5" w:rsidP="00285CB5">
      <w:pPr>
        <w:suppressAutoHyphens/>
        <w:spacing w:after="0" w:line="240" w:lineRule="auto"/>
        <w:outlineLvl w:val="0"/>
        <w:rPr>
          <w:rFonts w:ascii="Arial" w:eastAsia="Calibri" w:hAnsi="Arial" w:cs="Arial"/>
          <w:lang w:eastAsia="ar-SA"/>
        </w:rPr>
      </w:pPr>
    </w:p>
    <w:p w:rsidR="00285CB5" w:rsidRDefault="00285CB5" w:rsidP="00285CB5">
      <w:pPr>
        <w:suppressAutoHyphens/>
        <w:spacing w:after="0" w:line="240" w:lineRule="auto"/>
        <w:outlineLvl w:val="0"/>
        <w:rPr>
          <w:rFonts w:ascii="Arial" w:eastAsia="Calibri" w:hAnsi="Arial" w:cs="Arial"/>
          <w:lang w:eastAsia="ar-SA"/>
        </w:rPr>
      </w:pPr>
      <w:r>
        <w:rPr>
          <w:rFonts w:ascii="Arial" w:eastAsia="Calibri" w:hAnsi="Arial" w:cs="Arial"/>
          <w:lang w:eastAsia="ar-SA"/>
        </w:rPr>
        <w:t>Table 5 summarises the UK Treasury’s practical interpretation of this framework, based on work done by the UK Health and Safety Executive.</w:t>
      </w:r>
      <w:r>
        <w:rPr>
          <w:rStyle w:val="FootnoteReference"/>
          <w:rFonts w:ascii="Arial" w:eastAsia="Calibri" w:hAnsi="Arial" w:cs="Arial"/>
          <w:lang w:eastAsia="ar-SA"/>
        </w:rPr>
        <w:footnoteReference w:id="12"/>
      </w:r>
      <w:r w:rsidRPr="00A278A8">
        <w:rPr>
          <w:rFonts w:ascii="Arial" w:eastAsia="Calibri" w:hAnsi="Arial" w:cs="Arial"/>
          <w:vertAlign w:val="superscript"/>
          <w:lang w:eastAsia="ar-SA"/>
        </w:rPr>
        <w:t>,</w:t>
      </w:r>
      <w:r>
        <w:rPr>
          <w:rStyle w:val="FootnoteReference"/>
          <w:rFonts w:ascii="Arial" w:eastAsia="Calibri" w:hAnsi="Arial" w:cs="Arial"/>
          <w:lang w:eastAsia="ar-SA"/>
        </w:rPr>
        <w:footnoteReference w:id="13"/>
      </w:r>
    </w:p>
    <w:p w:rsidR="00285CB5" w:rsidRDefault="00285CB5" w:rsidP="00285CB5">
      <w:pPr>
        <w:suppressAutoHyphens/>
        <w:spacing w:after="0" w:line="240" w:lineRule="auto"/>
        <w:outlineLvl w:val="0"/>
        <w:rPr>
          <w:rFonts w:ascii="Arial" w:eastAsia="Calibri" w:hAnsi="Arial" w:cs="Arial"/>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285CB5" w:rsidRPr="00BC239A" w:rsidTr="00236124">
        <w:tc>
          <w:tcPr>
            <w:tcW w:w="9016" w:type="dxa"/>
            <w:gridSpan w:val="4"/>
            <w:tcMar>
              <w:bottom w:w="113" w:type="dxa"/>
            </w:tcMar>
          </w:tcPr>
          <w:p w:rsidR="00285CB5" w:rsidRPr="00BC239A" w:rsidRDefault="00285CB5" w:rsidP="00236124">
            <w:pPr>
              <w:keepNext/>
              <w:suppressAutoHyphens/>
              <w:outlineLvl w:val="0"/>
              <w:rPr>
                <w:rFonts w:ascii="Arial" w:hAnsi="Arial" w:cs="Arial"/>
                <w:b/>
                <w:lang w:eastAsia="ar-SA"/>
              </w:rPr>
            </w:pPr>
            <w:r>
              <w:rPr>
                <w:rFonts w:ascii="Arial" w:hAnsi="Arial" w:cs="Arial"/>
                <w:b/>
                <w:lang w:eastAsia="ar-SA"/>
              </w:rPr>
              <w:t>Table 5</w:t>
            </w:r>
            <w:r w:rsidRPr="00BC239A">
              <w:rPr>
                <w:rFonts w:ascii="Arial" w:hAnsi="Arial" w:cs="Arial"/>
                <w:b/>
                <w:lang w:eastAsia="ar-SA"/>
              </w:rPr>
              <w:t>: HM Tre</w:t>
            </w:r>
            <w:r>
              <w:rPr>
                <w:rFonts w:ascii="Arial" w:hAnsi="Arial" w:cs="Arial"/>
                <w:b/>
                <w:lang w:eastAsia="ar-SA"/>
              </w:rPr>
              <w:t>asury risk tolerance categories</w:t>
            </w:r>
          </w:p>
        </w:tc>
      </w:tr>
      <w:tr w:rsidR="00285CB5" w:rsidTr="00236124">
        <w:tc>
          <w:tcPr>
            <w:tcW w:w="2254" w:type="dxa"/>
            <w:tcBorders>
              <w:top w:val="single" w:sz="4" w:space="0" w:color="auto"/>
              <w:bottom w:val="single" w:sz="4" w:space="0" w:color="auto"/>
            </w:tcBorders>
          </w:tcPr>
          <w:p w:rsidR="00285CB5" w:rsidRPr="00BC239A" w:rsidRDefault="00285CB5" w:rsidP="00236124">
            <w:pPr>
              <w:keepNext/>
              <w:suppressAutoHyphens/>
              <w:jc w:val="center"/>
              <w:outlineLvl w:val="0"/>
              <w:rPr>
                <w:rFonts w:ascii="Arial" w:hAnsi="Arial" w:cs="Arial"/>
                <w:b/>
                <w:lang w:eastAsia="ar-SA"/>
              </w:rPr>
            </w:pPr>
            <w:r w:rsidRPr="00BC239A">
              <w:rPr>
                <w:rFonts w:ascii="Arial" w:hAnsi="Arial" w:cs="Arial"/>
                <w:b/>
                <w:lang w:eastAsia="ar-SA"/>
              </w:rPr>
              <w:t>Risk category</w:t>
            </w:r>
          </w:p>
        </w:tc>
        <w:tc>
          <w:tcPr>
            <w:tcW w:w="2254" w:type="dxa"/>
            <w:tcBorders>
              <w:top w:val="single" w:sz="4" w:space="0" w:color="auto"/>
              <w:bottom w:val="single" w:sz="4" w:space="0" w:color="auto"/>
            </w:tcBorders>
          </w:tcPr>
          <w:p w:rsidR="00285CB5" w:rsidRPr="00BC239A" w:rsidRDefault="00285CB5" w:rsidP="00236124">
            <w:pPr>
              <w:keepNext/>
              <w:suppressAutoHyphens/>
              <w:jc w:val="center"/>
              <w:outlineLvl w:val="0"/>
              <w:rPr>
                <w:rFonts w:ascii="Arial" w:hAnsi="Arial" w:cs="Arial"/>
                <w:b/>
                <w:lang w:eastAsia="ar-SA"/>
              </w:rPr>
            </w:pPr>
            <w:r w:rsidRPr="00BC239A">
              <w:rPr>
                <w:rFonts w:ascii="Arial" w:hAnsi="Arial" w:cs="Arial"/>
                <w:b/>
                <w:lang w:eastAsia="ar-SA"/>
              </w:rPr>
              <w:t>Action required</w:t>
            </w:r>
          </w:p>
        </w:tc>
        <w:tc>
          <w:tcPr>
            <w:tcW w:w="2254" w:type="dxa"/>
            <w:tcBorders>
              <w:top w:val="single" w:sz="4" w:space="0" w:color="auto"/>
              <w:bottom w:val="single" w:sz="4" w:space="0" w:color="auto"/>
            </w:tcBorders>
          </w:tcPr>
          <w:p w:rsidR="00285CB5" w:rsidRPr="00BC239A" w:rsidRDefault="00285CB5" w:rsidP="00236124">
            <w:pPr>
              <w:keepNext/>
              <w:suppressAutoHyphens/>
              <w:jc w:val="center"/>
              <w:outlineLvl w:val="0"/>
              <w:rPr>
                <w:rFonts w:ascii="Arial" w:hAnsi="Arial" w:cs="Arial"/>
                <w:b/>
                <w:lang w:eastAsia="ar-SA"/>
              </w:rPr>
            </w:pPr>
            <w:r w:rsidRPr="00BC239A">
              <w:rPr>
                <w:rFonts w:ascii="Arial" w:hAnsi="Arial" w:cs="Arial"/>
                <w:b/>
                <w:lang w:eastAsia="ar-SA"/>
              </w:rPr>
              <w:t>Risk of death</w:t>
            </w:r>
          </w:p>
          <w:p w:rsidR="00285CB5" w:rsidRPr="00BC239A" w:rsidRDefault="00285CB5" w:rsidP="00236124">
            <w:pPr>
              <w:keepNext/>
              <w:suppressAutoHyphens/>
              <w:jc w:val="center"/>
              <w:outlineLvl w:val="0"/>
              <w:rPr>
                <w:rFonts w:ascii="Arial" w:hAnsi="Arial" w:cs="Arial"/>
                <w:b/>
                <w:lang w:eastAsia="ar-SA"/>
              </w:rPr>
            </w:pPr>
          </w:p>
        </w:tc>
        <w:tc>
          <w:tcPr>
            <w:tcW w:w="2254" w:type="dxa"/>
            <w:tcBorders>
              <w:top w:val="single" w:sz="4" w:space="0" w:color="auto"/>
              <w:bottom w:val="single" w:sz="4" w:space="0" w:color="auto"/>
            </w:tcBorders>
          </w:tcPr>
          <w:p w:rsidR="00285CB5" w:rsidRPr="001C2EBD" w:rsidRDefault="00285CB5" w:rsidP="00236124">
            <w:pPr>
              <w:keepNext/>
              <w:suppressAutoHyphens/>
              <w:outlineLvl w:val="0"/>
              <w:rPr>
                <w:rFonts w:ascii="Arial" w:hAnsi="Arial" w:cs="Arial"/>
                <w:lang w:eastAsia="ar-SA"/>
              </w:rPr>
            </w:pPr>
          </w:p>
        </w:tc>
      </w:tr>
      <w:tr w:rsidR="00285CB5" w:rsidTr="00236124">
        <w:tc>
          <w:tcPr>
            <w:tcW w:w="2254" w:type="dxa"/>
            <w:tcBorders>
              <w:top w:val="single" w:sz="4" w:space="0" w:color="auto"/>
            </w:tcBorders>
          </w:tcPr>
          <w:p w:rsidR="00285CB5" w:rsidRPr="001C2EBD" w:rsidRDefault="00285CB5" w:rsidP="00236124">
            <w:pPr>
              <w:keepNext/>
              <w:suppressAutoHyphens/>
              <w:outlineLvl w:val="0"/>
              <w:rPr>
                <w:rFonts w:ascii="Arial" w:hAnsi="Arial" w:cs="Arial"/>
                <w:lang w:eastAsia="ar-SA"/>
              </w:rPr>
            </w:pPr>
            <w:r w:rsidRPr="001C2EBD">
              <w:rPr>
                <w:rFonts w:ascii="Arial" w:hAnsi="Arial" w:cs="Arial"/>
                <w:lang w:eastAsia="ar-SA"/>
              </w:rPr>
              <w:t>Intolerable</w:t>
            </w:r>
          </w:p>
        </w:tc>
        <w:tc>
          <w:tcPr>
            <w:tcW w:w="2254" w:type="dxa"/>
            <w:tcBorders>
              <w:top w:val="single" w:sz="4" w:space="0" w:color="auto"/>
            </w:tcBorders>
          </w:tcPr>
          <w:p w:rsidR="00285CB5" w:rsidRDefault="00285CB5" w:rsidP="00236124">
            <w:pPr>
              <w:keepNext/>
              <w:suppressAutoHyphens/>
              <w:outlineLvl w:val="0"/>
              <w:rPr>
                <w:rFonts w:ascii="Arial" w:hAnsi="Arial" w:cs="Arial"/>
                <w:lang w:eastAsia="ar-SA"/>
              </w:rPr>
            </w:pPr>
            <w:r w:rsidRPr="001C2EBD">
              <w:rPr>
                <w:rFonts w:ascii="Arial" w:hAnsi="Arial" w:cs="Arial"/>
                <w:lang w:eastAsia="ar-SA"/>
              </w:rPr>
              <w:t>Extremely relu</w:t>
            </w:r>
            <w:r>
              <w:rPr>
                <w:rFonts w:ascii="Arial" w:hAnsi="Arial" w:cs="Arial"/>
                <w:lang w:eastAsia="ar-SA"/>
              </w:rPr>
              <w:t>ctance to accept any argument for not doing more</w:t>
            </w:r>
          </w:p>
          <w:p w:rsidR="00285CB5" w:rsidRPr="001C2EBD" w:rsidRDefault="00285CB5" w:rsidP="00236124">
            <w:pPr>
              <w:keepNext/>
              <w:suppressAutoHyphens/>
              <w:outlineLvl w:val="0"/>
              <w:rPr>
                <w:rFonts w:ascii="Arial" w:hAnsi="Arial" w:cs="Arial"/>
                <w:lang w:eastAsia="ar-SA"/>
              </w:rPr>
            </w:pPr>
          </w:p>
        </w:tc>
        <w:tc>
          <w:tcPr>
            <w:tcW w:w="2254" w:type="dxa"/>
            <w:tcBorders>
              <w:top w:val="single" w:sz="4" w:space="0" w:color="auto"/>
            </w:tcBorders>
          </w:tcPr>
          <w:p w:rsidR="00285CB5" w:rsidRDefault="00285CB5" w:rsidP="00236124">
            <w:pPr>
              <w:keepNext/>
              <w:suppressAutoHyphens/>
              <w:outlineLvl w:val="0"/>
              <w:rPr>
                <w:rFonts w:ascii="Arial" w:hAnsi="Arial" w:cs="Arial"/>
                <w:lang w:eastAsia="ar-SA"/>
              </w:rPr>
            </w:pPr>
            <w:r>
              <w:rPr>
                <w:rFonts w:ascii="Arial" w:hAnsi="Arial" w:cs="Arial"/>
                <w:lang w:eastAsia="ar-SA"/>
              </w:rPr>
              <w:t>Workers: 1 in 1000 per year</w:t>
            </w:r>
          </w:p>
          <w:p w:rsidR="00285CB5" w:rsidRPr="001C2EBD" w:rsidRDefault="00285CB5" w:rsidP="00236124">
            <w:pPr>
              <w:keepNext/>
              <w:suppressAutoHyphens/>
              <w:outlineLvl w:val="0"/>
              <w:rPr>
                <w:rFonts w:ascii="Arial" w:hAnsi="Arial" w:cs="Arial"/>
                <w:lang w:eastAsia="ar-SA"/>
              </w:rPr>
            </w:pPr>
            <w:r>
              <w:rPr>
                <w:rFonts w:ascii="Arial" w:hAnsi="Arial" w:cs="Arial"/>
                <w:lang w:eastAsia="ar-SA"/>
              </w:rPr>
              <w:t>General public: 1 in 10,000 per year</w:t>
            </w:r>
          </w:p>
        </w:tc>
        <w:tc>
          <w:tcPr>
            <w:tcW w:w="2254" w:type="dxa"/>
            <w:tcBorders>
              <w:top w:val="single" w:sz="4" w:space="0" w:color="auto"/>
            </w:tcBorders>
          </w:tcPr>
          <w:p w:rsidR="00285CB5" w:rsidRPr="001C2EBD" w:rsidRDefault="00285CB5" w:rsidP="00236124">
            <w:pPr>
              <w:keepNext/>
              <w:suppressAutoHyphens/>
              <w:outlineLvl w:val="0"/>
              <w:rPr>
                <w:rFonts w:ascii="Arial" w:hAnsi="Arial" w:cs="Arial"/>
                <w:lang w:eastAsia="ar-SA"/>
              </w:rPr>
            </w:pPr>
          </w:p>
        </w:tc>
      </w:tr>
      <w:tr w:rsidR="00285CB5" w:rsidTr="00236124">
        <w:tc>
          <w:tcPr>
            <w:tcW w:w="2254" w:type="dxa"/>
          </w:tcPr>
          <w:p w:rsidR="00285CB5" w:rsidRPr="001C2EBD" w:rsidRDefault="00285CB5" w:rsidP="00236124">
            <w:pPr>
              <w:keepNext/>
              <w:suppressAutoHyphens/>
              <w:outlineLvl w:val="0"/>
              <w:rPr>
                <w:rFonts w:ascii="Arial" w:hAnsi="Arial" w:cs="Arial"/>
                <w:lang w:eastAsia="ar-SA"/>
              </w:rPr>
            </w:pPr>
            <w:r>
              <w:rPr>
                <w:rFonts w:ascii="Arial" w:hAnsi="Arial" w:cs="Arial"/>
                <w:lang w:eastAsia="ar-SA"/>
              </w:rPr>
              <w:t xml:space="preserve">Tolerable </w:t>
            </w:r>
            <w:r w:rsidRPr="00BC239A">
              <w:rPr>
                <w:rFonts w:ascii="Arial" w:hAnsi="Arial" w:cs="Arial"/>
                <w:lang w:eastAsia="ar-SA"/>
              </w:rPr>
              <w:t>if as low as reasonably practicable</w:t>
            </w:r>
          </w:p>
        </w:tc>
        <w:tc>
          <w:tcPr>
            <w:tcW w:w="2254" w:type="dxa"/>
          </w:tcPr>
          <w:p w:rsidR="00285CB5" w:rsidRDefault="00285CB5" w:rsidP="00236124">
            <w:pPr>
              <w:keepNext/>
              <w:suppressAutoHyphens/>
              <w:outlineLvl w:val="0"/>
              <w:rPr>
                <w:rFonts w:ascii="Arial" w:hAnsi="Arial" w:cs="Arial"/>
                <w:lang w:eastAsia="ar-SA"/>
              </w:rPr>
            </w:pPr>
            <w:r>
              <w:rPr>
                <w:rFonts w:ascii="Arial" w:hAnsi="Arial" w:cs="Arial"/>
                <w:lang w:eastAsia="ar-SA"/>
              </w:rPr>
              <w:t>Case specific ALARP demonstration required</w:t>
            </w:r>
          </w:p>
          <w:p w:rsidR="00285CB5" w:rsidRPr="001C2EBD" w:rsidRDefault="00285CB5" w:rsidP="00236124">
            <w:pPr>
              <w:keepNext/>
              <w:suppressAutoHyphens/>
              <w:outlineLvl w:val="0"/>
              <w:rPr>
                <w:rFonts w:ascii="Arial" w:hAnsi="Arial" w:cs="Arial"/>
                <w:lang w:eastAsia="ar-SA"/>
              </w:rPr>
            </w:pPr>
          </w:p>
        </w:tc>
        <w:tc>
          <w:tcPr>
            <w:tcW w:w="2254" w:type="dxa"/>
          </w:tcPr>
          <w:p w:rsidR="00285CB5" w:rsidRPr="001C2EBD" w:rsidRDefault="00285CB5" w:rsidP="00236124">
            <w:pPr>
              <w:keepNext/>
              <w:suppressAutoHyphens/>
              <w:outlineLvl w:val="0"/>
              <w:rPr>
                <w:rFonts w:ascii="Arial" w:hAnsi="Arial" w:cs="Arial"/>
                <w:lang w:eastAsia="ar-SA"/>
              </w:rPr>
            </w:pPr>
            <w:r>
              <w:rPr>
                <w:rFonts w:ascii="Arial" w:hAnsi="Arial" w:cs="Arial"/>
                <w:lang w:eastAsia="ar-SA"/>
              </w:rPr>
              <w:t>Risk level between ‘intolerable’ and ‘broadly acceptable’</w:t>
            </w:r>
          </w:p>
        </w:tc>
        <w:tc>
          <w:tcPr>
            <w:tcW w:w="2254" w:type="dxa"/>
          </w:tcPr>
          <w:p w:rsidR="00285CB5" w:rsidRPr="001C2EBD" w:rsidRDefault="00285CB5" w:rsidP="00236124">
            <w:pPr>
              <w:keepNext/>
              <w:suppressAutoHyphens/>
              <w:outlineLvl w:val="0"/>
              <w:rPr>
                <w:rFonts w:ascii="Arial" w:hAnsi="Arial" w:cs="Arial"/>
                <w:lang w:eastAsia="ar-SA"/>
              </w:rPr>
            </w:pPr>
          </w:p>
        </w:tc>
      </w:tr>
      <w:tr w:rsidR="00285CB5" w:rsidTr="00236124">
        <w:tc>
          <w:tcPr>
            <w:tcW w:w="2254" w:type="dxa"/>
            <w:tcBorders>
              <w:bottom w:val="single" w:sz="4" w:space="0" w:color="auto"/>
            </w:tcBorders>
          </w:tcPr>
          <w:p w:rsidR="00285CB5" w:rsidRPr="001C2EBD" w:rsidRDefault="00285CB5" w:rsidP="00236124">
            <w:pPr>
              <w:keepNext/>
              <w:suppressAutoHyphens/>
              <w:outlineLvl w:val="0"/>
              <w:rPr>
                <w:rFonts w:ascii="Arial" w:hAnsi="Arial" w:cs="Arial"/>
                <w:lang w:eastAsia="ar-SA"/>
              </w:rPr>
            </w:pPr>
            <w:r>
              <w:rPr>
                <w:rFonts w:ascii="Arial" w:hAnsi="Arial" w:cs="Arial"/>
                <w:lang w:eastAsia="ar-SA"/>
              </w:rPr>
              <w:t>Broadly acceptable</w:t>
            </w:r>
          </w:p>
        </w:tc>
        <w:tc>
          <w:tcPr>
            <w:tcW w:w="2254" w:type="dxa"/>
            <w:tcBorders>
              <w:bottom w:val="single" w:sz="4" w:space="0" w:color="auto"/>
            </w:tcBorders>
          </w:tcPr>
          <w:p w:rsidR="00285CB5" w:rsidRDefault="00285CB5" w:rsidP="00236124">
            <w:pPr>
              <w:keepNext/>
              <w:suppressAutoHyphens/>
              <w:outlineLvl w:val="0"/>
              <w:rPr>
                <w:rFonts w:ascii="Arial" w:hAnsi="Arial" w:cs="Arial"/>
                <w:lang w:eastAsia="ar-SA"/>
              </w:rPr>
            </w:pPr>
            <w:r>
              <w:rPr>
                <w:rFonts w:ascii="Arial" w:hAnsi="Arial" w:cs="Arial"/>
                <w:lang w:eastAsia="ar-SA"/>
              </w:rPr>
              <w:t>No case specific demonstration required</w:t>
            </w:r>
          </w:p>
          <w:p w:rsidR="00285CB5" w:rsidRPr="001C2EBD" w:rsidRDefault="00285CB5" w:rsidP="00236124">
            <w:pPr>
              <w:keepNext/>
              <w:suppressAutoHyphens/>
              <w:outlineLvl w:val="0"/>
              <w:rPr>
                <w:rFonts w:ascii="Arial" w:hAnsi="Arial" w:cs="Arial"/>
                <w:lang w:eastAsia="ar-SA"/>
              </w:rPr>
            </w:pPr>
          </w:p>
        </w:tc>
        <w:tc>
          <w:tcPr>
            <w:tcW w:w="2254" w:type="dxa"/>
            <w:tcBorders>
              <w:bottom w:val="single" w:sz="4" w:space="0" w:color="auto"/>
            </w:tcBorders>
          </w:tcPr>
          <w:p w:rsidR="00285CB5" w:rsidRPr="001C2EBD" w:rsidRDefault="00285CB5" w:rsidP="00236124">
            <w:pPr>
              <w:keepNext/>
              <w:suppressAutoHyphens/>
              <w:outlineLvl w:val="0"/>
              <w:rPr>
                <w:rFonts w:ascii="Arial" w:hAnsi="Arial" w:cs="Arial"/>
                <w:lang w:eastAsia="ar-SA"/>
              </w:rPr>
            </w:pPr>
            <w:r>
              <w:rPr>
                <w:rFonts w:ascii="Arial" w:hAnsi="Arial" w:cs="Arial"/>
                <w:lang w:eastAsia="ar-SA"/>
              </w:rPr>
              <w:t>Workers and general public: 1 in 1,000,000 per year</w:t>
            </w:r>
          </w:p>
        </w:tc>
        <w:tc>
          <w:tcPr>
            <w:tcW w:w="2254" w:type="dxa"/>
            <w:tcBorders>
              <w:bottom w:val="single" w:sz="4" w:space="0" w:color="auto"/>
            </w:tcBorders>
          </w:tcPr>
          <w:p w:rsidR="00285CB5" w:rsidRPr="001C2EBD" w:rsidRDefault="00285CB5" w:rsidP="00236124">
            <w:pPr>
              <w:keepNext/>
              <w:suppressAutoHyphens/>
              <w:outlineLvl w:val="0"/>
              <w:rPr>
                <w:rFonts w:ascii="Arial" w:hAnsi="Arial" w:cs="Arial"/>
                <w:lang w:eastAsia="ar-SA"/>
              </w:rPr>
            </w:pPr>
          </w:p>
        </w:tc>
      </w:tr>
      <w:tr w:rsidR="00285CB5" w:rsidTr="00236124">
        <w:tc>
          <w:tcPr>
            <w:tcW w:w="9016" w:type="dxa"/>
            <w:gridSpan w:val="4"/>
          </w:tcPr>
          <w:p w:rsidR="00285CB5" w:rsidRPr="00BC239A" w:rsidRDefault="00285CB5" w:rsidP="00236124">
            <w:pPr>
              <w:keepNext/>
              <w:suppressAutoHyphens/>
              <w:outlineLvl w:val="0"/>
              <w:rPr>
                <w:rFonts w:ascii="Arial" w:hAnsi="Arial" w:cs="Arial"/>
                <w:sz w:val="18"/>
                <w:szCs w:val="18"/>
                <w:lang w:eastAsia="ar-SA"/>
              </w:rPr>
            </w:pPr>
            <w:r w:rsidRPr="00BC239A">
              <w:rPr>
                <w:rFonts w:ascii="Arial" w:hAnsi="Arial" w:cs="Arial"/>
                <w:sz w:val="18"/>
                <w:szCs w:val="18"/>
                <w:lang w:eastAsia="ar-SA"/>
              </w:rPr>
              <w:t>Sources:</w:t>
            </w:r>
            <w:r>
              <w:rPr>
                <w:rFonts w:ascii="Arial" w:hAnsi="Arial" w:cs="Arial"/>
                <w:sz w:val="18"/>
                <w:szCs w:val="18"/>
                <w:lang w:eastAsia="ar-SA"/>
              </w:rPr>
              <w:t xml:space="preserve"> HM Treasury, HSE. </w:t>
            </w:r>
          </w:p>
        </w:tc>
      </w:tr>
    </w:tbl>
    <w:p w:rsidR="00285CB5" w:rsidRDefault="00285CB5" w:rsidP="00E706CB">
      <w:pPr>
        <w:suppressAutoHyphens/>
        <w:spacing w:after="0" w:line="240" w:lineRule="auto"/>
        <w:outlineLvl w:val="0"/>
        <w:rPr>
          <w:rFonts w:ascii="Arial" w:eastAsia="Calibri" w:hAnsi="Arial" w:cs="Arial"/>
          <w:lang w:eastAsia="ar-SA"/>
        </w:rPr>
      </w:pPr>
    </w:p>
    <w:p w:rsidR="00DA42CC" w:rsidRDefault="001B2957" w:rsidP="00E706CB">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In line with UK practice the Office of Best Practice Regulation (OBPR) should issue supplementary guidance material about how to conduct regulatory impact statements involving public safety. The guidance should require </w:t>
      </w:r>
      <w:r w:rsidR="002057BF">
        <w:rPr>
          <w:rFonts w:ascii="Arial" w:eastAsia="Calibri" w:hAnsi="Arial" w:cs="Arial"/>
          <w:lang w:eastAsia="ar-SA"/>
        </w:rPr>
        <w:t xml:space="preserve">that recommended policies be based on a so far as is reasonably practical (SFAIRP)/ as low as reasonably practical (ALARP) analysis as well as a conventional benefit cost analysis using willingness to pay values.  </w:t>
      </w:r>
    </w:p>
    <w:p w:rsidR="001B2957" w:rsidRDefault="001B2957" w:rsidP="00E706CB">
      <w:pPr>
        <w:suppressAutoHyphens/>
        <w:spacing w:after="0" w:line="240" w:lineRule="auto"/>
        <w:outlineLvl w:val="0"/>
        <w:rPr>
          <w:rFonts w:ascii="Arial" w:eastAsia="Calibri" w:hAnsi="Arial" w:cs="Arial"/>
          <w:lang w:eastAsia="ar-SA"/>
        </w:rPr>
      </w:pPr>
    </w:p>
    <w:p w:rsidR="00F73B99" w:rsidRPr="00B03697" w:rsidRDefault="00F73B99" w:rsidP="00F73B99">
      <w:pPr>
        <w:suppressAutoHyphens/>
        <w:spacing w:after="0" w:line="240" w:lineRule="auto"/>
        <w:outlineLvl w:val="0"/>
        <w:rPr>
          <w:rStyle w:val="IntenseEmphasis"/>
        </w:rPr>
      </w:pPr>
      <w:r w:rsidRPr="00B03697">
        <w:rPr>
          <w:rStyle w:val="IntenseEmphasis"/>
        </w:rPr>
        <w:t>Infrastructure projects</w:t>
      </w:r>
    </w:p>
    <w:p w:rsidR="00F73B99" w:rsidRPr="00F73B99" w:rsidRDefault="00F73B99" w:rsidP="00F73B99">
      <w:pPr>
        <w:suppressAutoHyphens/>
        <w:spacing w:after="0" w:line="240" w:lineRule="auto"/>
        <w:outlineLvl w:val="0"/>
        <w:rPr>
          <w:rFonts w:ascii="Arial" w:hAnsi="Arial" w:cs="Arial"/>
          <w:i/>
        </w:rPr>
      </w:pPr>
    </w:p>
    <w:p w:rsidR="00F73B99" w:rsidRDefault="00F73B99" w:rsidP="00F73B99">
      <w:pPr>
        <w:tabs>
          <w:tab w:val="left" w:pos="992"/>
        </w:tabs>
        <w:rPr>
          <w:rFonts w:ascii="Arial" w:hAnsi="Arial" w:cs="Arial"/>
        </w:rPr>
      </w:pPr>
      <w:r>
        <w:rPr>
          <w:rFonts w:ascii="Arial" w:hAnsi="Arial" w:cs="Arial"/>
        </w:rPr>
        <w:t xml:space="preserve">Investing in better roads is also critical for improving road safety. </w:t>
      </w:r>
      <w:proofErr w:type="spellStart"/>
      <w:r>
        <w:rPr>
          <w:rFonts w:ascii="Arial" w:hAnsi="Arial" w:cs="Arial"/>
        </w:rPr>
        <w:t>Austroads</w:t>
      </w:r>
      <w:proofErr w:type="spellEnd"/>
      <w:r>
        <w:rPr>
          <w:rFonts w:ascii="Arial" w:hAnsi="Arial" w:cs="Arial"/>
        </w:rPr>
        <w:t xml:space="preserve"> has reported that “in-depth crash studies have also shown that the road is a causation factor in about 30% of all crashes, while it is known to be a factor in the severity outcome of 100% of crashes.”</w:t>
      </w:r>
      <w:r>
        <w:rPr>
          <w:rStyle w:val="FootnoteReference"/>
          <w:rFonts w:ascii="Arial" w:hAnsi="Arial"/>
        </w:rPr>
        <w:footnoteReference w:id="14"/>
      </w:r>
      <w:r>
        <w:rPr>
          <w:rFonts w:ascii="Arial" w:hAnsi="Arial" w:cs="Arial"/>
        </w:rPr>
        <w:t xml:space="preserve"> Safe roads are also central to the National Road Safety Strategy and the safe system approach that has been adopted by the Australian, state and territory governments. With the right, targeted, road investments there is the real prospect for “a substantial reduction in </w:t>
      </w:r>
      <w:r>
        <w:rPr>
          <w:rFonts w:ascii="Arial" w:hAnsi="Arial" w:cs="Arial"/>
        </w:rPr>
        <w:lastRenderedPageBreak/>
        <w:t>serious casualties due to run-off-road, head-on and intersection crashes” as a result of improved design and construction of roads.</w:t>
      </w:r>
      <w:r>
        <w:rPr>
          <w:rStyle w:val="FootnoteReference"/>
          <w:rFonts w:ascii="Arial" w:hAnsi="Arial"/>
        </w:rPr>
        <w:footnoteReference w:id="15"/>
      </w:r>
    </w:p>
    <w:p w:rsidR="00F73B99" w:rsidRDefault="00F73B99" w:rsidP="00F73B99">
      <w:pPr>
        <w:tabs>
          <w:tab w:val="left" w:pos="992"/>
        </w:tabs>
        <w:rPr>
          <w:rFonts w:ascii="Arial" w:hAnsi="Arial" w:cs="Arial"/>
        </w:rPr>
      </w:pPr>
      <w:r>
        <w:rPr>
          <w:rFonts w:ascii="Arial" w:hAnsi="Arial" w:cs="Arial"/>
        </w:rPr>
        <w:t>The Australian Road Assessment Program (</w:t>
      </w:r>
      <w:proofErr w:type="spellStart"/>
      <w:r>
        <w:rPr>
          <w:rFonts w:ascii="Arial" w:hAnsi="Arial" w:cs="Arial"/>
        </w:rPr>
        <w:t>AusRAP</w:t>
      </w:r>
      <w:proofErr w:type="spellEnd"/>
      <w:r>
        <w:rPr>
          <w:rFonts w:ascii="Arial" w:hAnsi="Arial" w:cs="Arial"/>
        </w:rPr>
        <w:t>) has previously examined almost 22,000 kilometres of national highway, and awarded star ratings (between 1 (low) to 5 (high)) based on their level of safety. Their 2013 assessment reported that the national highways had the following star ratings in NSW</w:t>
      </w:r>
      <w:r>
        <w:rPr>
          <w:rStyle w:val="FootnoteReference"/>
          <w:rFonts w:ascii="Arial" w:hAnsi="Arial"/>
        </w:rPr>
        <w:footnoteReference w:id="16"/>
      </w:r>
      <w:r>
        <w:rPr>
          <w:rFonts w:ascii="Arial" w:hAnsi="Arial" w:cs="Arial"/>
        </w:rPr>
        <w:t>:</w:t>
      </w:r>
    </w:p>
    <w:tbl>
      <w:tblPr>
        <w:tblStyle w:val="TableGrid"/>
        <w:tblW w:w="0" w:type="auto"/>
        <w:tblInd w:w="142" w:type="dxa"/>
        <w:tblLook w:val="04A0" w:firstRow="1" w:lastRow="0" w:firstColumn="1" w:lastColumn="0" w:noHBand="0" w:noVBand="1"/>
      </w:tblPr>
      <w:tblGrid>
        <w:gridCol w:w="2174"/>
        <w:gridCol w:w="6710"/>
      </w:tblGrid>
      <w:tr w:rsidR="00F73B99" w:rsidTr="00E15583">
        <w:tc>
          <w:tcPr>
            <w:tcW w:w="2174" w:type="dxa"/>
            <w:tcBorders>
              <w:left w:val="nil"/>
              <w:bottom w:val="single" w:sz="4" w:space="0" w:color="auto"/>
              <w:right w:val="nil"/>
            </w:tcBorders>
          </w:tcPr>
          <w:p w:rsidR="00F73B99" w:rsidRDefault="00F73B99" w:rsidP="00E15583">
            <w:pPr>
              <w:tabs>
                <w:tab w:val="left" w:pos="992"/>
              </w:tabs>
              <w:jc w:val="right"/>
              <w:rPr>
                <w:rFonts w:ascii="Arial" w:hAnsi="Arial" w:cs="Arial"/>
              </w:rPr>
            </w:pPr>
            <w:r>
              <w:rPr>
                <w:rFonts w:ascii="Arial" w:hAnsi="Arial" w:cs="Arial"/>
              </w:rPr>
              <w:t>Star Rating</w:t>
            </w:r>
          </w:p>
        </w:tc>
        <w:tc>
          <w:tcPr>
            <w:tcW w:w="6710" w:type="dxa"/>
            <w:tcBorders>
              <w:left w:val="nil"/>
              <w:bottom w:val="single" w:sz="4" w:space="0" w:color="auto"/>
              <w:right w:val="nil"/>
            </w:tcBorders>
          </w:tcPr>
          <w:p w:rsidR="00F73B99" w:rsidRDefault="00F73B99" w:rsidP="00E15583">
            <w:pPr>
              <w:tabs>
                <w:tab w:val="left" w:pos="992"/>
              </w:tabs>
              <w:jc w:val="right"/>
              <w:rPr>
                <w:rFonts w:ascii="Arial" w:hAnsi="Arial" w:cs="Arial"/>
              </w:rPr>
            </w:pPr>
            <w:r>
              <w:rPr>
                <w:rFonts w:ascii="Arial" w:hAnsi="Arial" w:cs="Arial"/>
              </w:rPr>
              <w:t>Proportion of national highways (per cent)</w:t>
            </w:r>
          </w:p>
        </w:tc>
      </w:tr>
      <w:tr w:rsidR="00F73B99" w:rsidTr="00E15583">
        <w:tc>
          <w:tcPr>
            <w:tcW w:w="2174" w:type="dxa"/>
            <w:tcBorders>
              <w:top w:val="single" w:sz="4" w:space="0" w:color="auto"/>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 xml:space="preserve">1 </w:t>
            </w:r>
          </w:p>
        </w:tc>
        <w:tc>
          <w:tcPr>
            <w:tcW w:w="6710" w:type="dxa"/>
            <w:tcBorders>
              <w:top w:val="single" w:sz="4" w:space="0" w:color="auto"/>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9</w:t>
            </w:r>
          </w:p>
        </w:tc>
      </w:tr>
      <w:tr w:rsidR="00F73B99" w:rsidTr="00E15583">
        <w:tc>
          <w:tcPr>
            <w:tcW w:w="2174"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 xml:space="preserve">2 </w:t>
            </w:r>
          </w:p>
        </w:tc>
        <w:tc>
          <w:tcPr>
            <w:tcW w:w="6710"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42</w:t>
            </w:r>
          </w:p>
        </w:tc>
      </w:tr>
      <w:tr w:rsidR="00F73B99" w:rsidTr="00E15583">
        <w:tc>
          <w:tcPr>
            <w:tcW w:w="2174"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3</w:t>
            </w:r>
          </w:p>
        </w:tc>
        <w:tc>
          <w:tcPr>
            <w:tcW w:w="6710"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46</w:t>
            </w:r>
          </w:p>
        </w:tc>
      </w:tr>
      <w:tr w:rsidR="00F73B99" w:rsidTr="00E15583">
        <w:tc>
          <w:tcPr>
            <w:tcW w:w="2174"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4</w:t>
            </w:r>
          </w:p>
        </w:tc>
        <w:tc>
          <w:tcPr>
            <w:tcW w:w="6710"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2</w:t>
            </w:r>
          </w:p>
        </w:tc>
      </w:tr>
      <w:tr w:rsidR="00F73B99" w:rsidTr="00E15583">
        <w:tc>
          <w:tcPr>
            <w:tcW w:w="2174" w:type="dxa"/>
            <w:tcBorders>
              <w:top w:val="nil"/>
              <w:left w:val="nil"/>
              <w:right w:val="nil"/>
            </w:tcBorders>
          </w:tcPr>
          <w:p w:rsidR="00F73B99" w:rsidRDefault="00F73B99" w:rsidP="00E15583">
            <w:pPr>
              <w:tabs>
                <w:tab w:val="left" w:pos="992"/>
              </w:tabs>
              <w:jc w:val="right"/>
              <w:rPr>
                <w:rFonts w:ascii="Arial" w:hAnsi="Arial" w:cs="Arial"/>
              </w:rPr>
            </w:pPr>
            <w:r>
              <w:rPr>
                <w:rFonts w:ascii="Arial" w:hAnsi="Arial" w:cs="Arial"/>
              </w:rPr>
              <w:t>5</w:t>
            </w:r>
          </w:p>
        </w:tc>
        <w:tc>
          <w:tcPr>
            <w:tcW w:w="6710" w:type="dxa"/>
            <w:tcBorders>
              <w:top w:val="nil"/>
              <w:left w:val="nil"/>
              <w:right w:val="nil"/>
            </w:tcBorders>
          </w:tcPr>
          <w:p w:rsidR="00F73B99" w:rsidRDefault="00F73B99" w:rsidP="00E15583">
            <w:pPr>
              <w:tabs>
                <w:tab w:val="left" w:pos="992"/>
              </w:tabs>
              <w:jc w:val="right"/>
              <w:rPr>
                <w:rFonts w:ascii="Arial" w:hAnsi="Arial" w:cs="Arial"/>
              </w:rPr>
            </w:pPr>
            <w:r>
              <w:rPr>
                <w:rFonts w:ascii="Arial" w:hAnsi="Arial" w:cs="Arial"/>
              </w:rPr>
              <w:t>0</w:t>
            </w:r>
          </w:p>
        </w:tc>
      </w:tr>
    </w:tbl>
    <w:p w:rsidR="00F73B99" w:rsidRDefault="00F73B99" w:rsidP="00F73B99">
      <w:pPr>
        <w:tabs>
          <w:tab w:val="left" w:pos="992"/>
        </w:tabs>
        <w:rPr>
          <w:rFonts w:ascii="Arial" w:hAnsi="Arial" w:cs="Arial"/>
        </w:rPr>
      </w:pPr>
    </w:p>
    <w:p w:rsidR="00F73B99" w:rsidRDefault="00F73B99" w:rsidP="00F73B99">
      <w:pPr>
        <w:tabs>
          <w:tab w:val="left" w:pos="992"/>
        </w:tabs>
        <w:rPr>
          <w:rFonts w:ascii="Arial" w:hAnsi="Arial" w:cs="Arial"/>
        </w:rPr>
      </w:pPr>
      <w:r>
        <w:rPr>
          <w:rFonts w:ascii="Arial" w:hAnsi="Arial" w:cs="Arial"/>
        </w:rPr>
        <w:t>The evaluation also included safety upgrade proposals estimated at $1.9 billion in NSW, which would improve the star ratings of the national highways to be:</w:t>
      </w:r>
    </w:p>
    <w:tbl>
      <w:tblPr>
        <w:tblStyle w:val="TableGrid"/>
        <w:tblW w:w="0" w:type="auto"/>
        <w:tblInd w:w="142" w:type="dxa"/>
        <w:tblLook w:val="04A0" w:firstRow="1" w:lastRow="0" w:firstColumn="1" w:lastColumn="0" w:noHBand="0" w:noVBand="1"/>
      </w:tblPr>
      <w:tblGrid>
        <w:gridCol w:w="2156"/>
        <w:gridCol w:w="3492"/>
        <w:gridCol w:w="3236"/>
      </w:tblGrid>
      <w:tr w:rsidR="00F73B99" w:rsidTr="00E15583">
        <w:tc>
          <w:tcPr>
            <w:tcW w:w="2156" w:type="dxa"/>
            <w:tcBorders>
              <w:left w:val="nil"/>
              <w:bottom w:val="single" w:sz="4" w:space="0" w:color="auto"/>
              <w:right w:val="nil"/>
            </w:tcBorders>
          </w:tcPr>
          <w:p w:rsidR="00F73B99" w:rsidRDefault="00F73B99" w:rsidP="00E15583">
            <w:pPr>
              <w:tabs>
                <w:tab w:val="left" w:pos="992"/>
              </w:tabs>
              <w:jc w:val="right"/>
              <w:rPr>
                <w:rFonts w:ascii="Arial" w:hAnsi="Arial" w:cs="Arial"/>
              </w:rPr>
            </w:pPr>
            <w:r>
              <w:rPr>
                <w:rFonts w:ascii="Arial" w:hAnsi="Arial" w:cs="Arial"/>
              </w:rPr>
              <w:t>Star Rating</w:t>
            </w:r>
          </w:p>
        </w:tc>
        <w:tc>
          <w:tcPr>
            <w:tcW w:w="3492" w:type="dxa"/>
            <w:tcBorders>
              <w:left w:val="nil"/>
              <w:bottom w:val="single" w:sz="4" w:space="0" w:color="auto"/>
              <w:right w:val="nil"/>
            </w:tcBorders>
          </w:tcPr>
          <w:p w:rsidR="00F73B99" w:rsidRDefault="00F73B99" w:rsidP="00E15583">
            <w:pPr>
              <w:tabs>
                <w:tab w:val="left" w:pos="992"/>
              </w:tabs>
              <w:jc w:val="right"/>
              <w:rPr>
                <w:rFonts w:ascii="Arial" w:hAnsi="Arial" w:cs="Arial"/>
              </w:rPr>
            </w:pPr>
            <w:r>
              <w:rPr>
                <w:rFonts w:ascii="Arial" w:hAnsi="Arial" w:cs="Arial"/>
              </w:rPr>
              <w:t>Proportion of national highways (per cent)</w:t>
            </w:r>
          </w:p>
        </w:tc>
        <w:tc>
          <w:tcPr>
            <w:tcW w:w="3236" w:type="dxa"/>
            <w:tcBorders>
              <w:left w:val="nil"/>
              <w:bottom w:val="single" w:sz="4" w:space="0" w:color="auto"/>
              <w:right w:val="nil"/>
            </w:tcBorders>
          </w:tcPr>
          <w:p w:rsidR="00F73B99" w:rsidRDefault="00F73B99" w:rsidP="00E15583">
            <w:pPr>
              <w:tabs>
                <w:tab w:val="left" w:pos="992"/>
              </w:tabs>
              <w:jc w:val="right"/>
              <w:rPr>
                <w:rFonts w:ascii="Arial" w:hAnsi="Arial" w:cs="Arial"/>
              </w:rPr>
            </w:pPr>
            <w:r>
              <w:rPr>
                <w:rFonts w:ascii="Arial" w:hAnsi="Arial" w:cs="Arial"/>
              </w:rPr>
              <w:t>Change in percentage</w:t>
            </w:r>
          </w:p>
        </w:tc>
      </w:tr>
      <w:tr w:rsidR="00F73B99" w:rsidTr="00E15583">
        <w:tc>
          <w:tcPr>
            <w:tcW w:w="2156" w:type="dxa"/>
            <w:tcBorders>
              <w:top w:val="single" w:sz="4" w:space="0" w:color="auto"/>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1</w:t>
            </w:r>
          </w:p>
        </w:tc>
        <w:tc>
          <w:tcPr>
            <w:tcW w:w="3492" w:type="dxa"/>
            <w:tcBorders>
              <w:top w:val="single" w:sz="4" w:space="0" w:color="auto"/>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0</w:t>
            </w:r>
          </w:p>
        </w:tc>
        <w:tc>
          <w:tcPr>
            <w:tcW w:w="3236" w:type="dxa"/>
            <w:tcBorders>
              <w:top w:val="single" w:sz="4" w:space="0" w:color="auto"/>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Reduction of 9</w:t>
            </w:r>
          </w:p>
        </w:tc>
      </w:tr>
      <w:tr w:rsidR="00F73B99" w:rsidTr="00E15583">
        <w:tc>
          <w:tcPr>
            <w:tcW w:w="2156"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2</w:t>
            </w:r>
          </w:p>
        </w:tc>
        <w:tc>
          <w:tcPr>
            <w:tcW w:w="3492"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2</w:t>
            </w:r>
          </w:p>
        </w:tc>
        <w:tc>
          <w:tcPr>
            <w:tcW w:w="3236"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Reduction of 40</w:t>
            </w:r>
          </w:p>
        </w:tc>
      </w:tr>
      <w:tr w:rsidR="00F73B99" w:rsidTr="00E15583">
        <w:tc>
          <w:tcPr>
            <w:tcW w:w="2156"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3</w:t>
            </w:r>
          </w:p>
        </w:tc>
        <w:tc>
          <w:tcPr>
            <w:tcW w:w="3492"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54</w:t>
            </w:r>
          </w:p>
        </w:tc>
        <w:tc>
          <w:tcPr>
            <w:tcW w:w="3236"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Increase of 8</w:t>
            </w:r>
          </w:p>
        </w:tc>
      </w:tr>
      <w:tr w:rsidR="00F73B99" w:rsidTr="00E15583">
        <w:tc>
          <w:tcPr>
            <w:tcW w:w="2156"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4</w:t>
            </w:r>
          </w:p>
        </w:tc>
        <w:tc>
          <w:tcPr>
            <w:tcW w:w="3492"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26</w:t>
            </w:r>
          </w:p>
        </w:tc>
        <w:tc>
          <w:tcPr>
            <w:tcW w:w="3236" w:type="dxa"/>
            <w:tcBorders>
              <w:top w:val="nil"/>
              <w:left w:val="nil"/>
              <w:bottom w:val="nil"/>
              <w:right w:val="nil"/>
            </w:tcBorders>
          </w:tcPr>
          <w:p w:rsidR="00F73B99" w:rsidRDefault="00F73B99" w:rsidP="00E15583">
            <w:pPr>
              <w:tabs>
                <w:tab w:val="left" w:pos="992"/>
              </w:tabs>
              <w:jc w:val="right"/>
              <w:rPr>
                <w:rFonts w:ascii="Arial" w:hAnsi="Arial" w:cs="Arial"/>
              </w:rPr>
            </w:pPr>
            <w:r>
              <w:rPr>
                <w:rFonts w:ascii="Arial" w:hAnsi="Arial" w:cs="Arial"/>
              </w:rPr>
              <w:t>Increase of 24</w:t>
            </w:r>
          </w:p>
        </w:tc>
      </w:tr>
      <w:tr w:rsidR="00F73B99" w:rsidTr="00E15583">
        <w:tc>
          <w:tcPr>
            <w:tcW w:w="2156" w:type="dxa"/>
            <w:tcBorders>
              <w:top w:val="nil"/>
              <w:left w:val="nil"/>
              <w:right w:val="nil"/>
            </w:tcBorders>
          </w:tcPr>
          <w:p w:rsidR="00F73B99" w:rsidRDefault="00F73B99" w:rsidP="00E15583">
            <w:pPr>
              <w:tabs>
                <w:tab w:val="left" w:pos="992"/>
              </w:tabs>
              <w:jc w:val="right"/>
              <w:rPr>
                <w:rFonts w:ascii="Arial" w:hAnsi="Arial" w:cs="Arial"/>
              </w:rPr>
            </w:pPr>
            <w:r>
              <w:rPr>
                <w:rFonts w:ascii="Arial" w:hAnsi="Arial" w:cs="Arial"/>
              </w:rPr>
              <w:t>5</w:t>
            </w:r>
          </w:p>
        </w:tc>
        <w:tc>
          <w:tcPr>
            <w:tcW w:w="3492" w:type="dxa"/>
            <w:tcBorders>
              <w:top w:val="nil"/>
              <w:left w:val="nil"/>
              <w:right w:val="nil"/>
            </w:tcBorders>
          </w:tcPr>
          <w:p w:rsidR="00F73B99" w:rsidRDefault="00F73B99" w:rsidP="00E15583">
            <w:pPr>
              <w:tabs>
                <w:tab w:val="left" w:pos="992"/>
              </w:tabs>
              <w:jc w:val="right"/>
              <w:rPr>
                <w:rFonts w:ascii="Arial" w:hAnsi="Arial" w:cs="Arial"/>
              </w:rPr>
            </w:pPr>
            <w:r>
              <w:rPr>
                <w:rFonts w:ascii="Arial" w:hAnsi="Arial" w:cs="Arial"/>
              </w:rPr>
              <w:t>17</w:t>
            </w:r>
          </w:p>
        </w:tc>
        <w:tc>
          <w:tcPr>
            <w:tcW w:w="3236" w:type="dxa"/>
            <w:tcBorders>
              <w:top w:val="nil"/>
              <w:left w:val="nil"/>
              <w:right w:val="nil"/>
            </w:tcBorders>
          </w:tcPr>
          <w:p w:rsidR="00F73B99" w:rsidRDefault="00F73B99" w:rsidP="00E15583">
            <w:pPr>
              <w:tabs>
                <w:tab w:val="left" w:pos="992"/>
              </w:tabs>
              <w:jc w:val="right"/>
              <w:rPr>
                <w:rFonts w:ascii="Arial" w:hAnsi="Arial" w:cs="Arial"/>
              </w:rPr>
            </w:pPr>
            <w:r>
              <w:rPr>
                <w:rFonts w:ascii="Arial" w:hAnsi="Arial" w:cs="Arial"/>
              </w:rPr>
              <w:t>Increase of 17</w:t>
            </w:r>
          </w:p>
        </w:tc>
      </w:tr>
    </w:tbl>
    <w:p w:rsidR="00F73B99" w:rsidRDefault="00F73B99" w:rsidP="00F73B99">
      <w:pPr>
        <w:tabs>
          <w:tab w:val="left" w:pos="992"/>
        </w:tabs>
        <w:rPr>
          <w:rFonts w:ascii="Arial" w:hAnsi="Arial" w:cs="Arial"/>
        </w:rPr>
      </w:pPr>
    </w:p>
    <w:p w:rsidR="00F73B99" w:rsidRDefault="00F73B99" w:rsidP="00F73B99">
      <w:pPr>
        <w:tabs>
          <w:tab w:val="left" w:pos="992"/>
        </w:tabs>
        <w:rPr>
          <w:rFonts w:ascii="Arial" w:hAnsi="Arial" w:cs="Arial"/>
        </w:rPr>
      </w:pPr>
      <w:r>
        <w:rPr>
          <w:rFonts w:ascii="Arial" w:hAnsi="Arial" w:cs="Arial"/>
        </w:rPr>
        <w:t xml:space="preserve">Whilst this assessment does not capture the impact of infrastructure investments since 2013, it also does not capture the safety standard of the extensive local and state road networks. </w:t>
      </w:r>
    </w:p>
    <w:p w:rsidR="00F73B99" w:rsidRDefault="00F73B99" w:rsidP="00F73B99">
      <w:pPr>
        <w:tabs>
          <w:tab w:val="left" w:pos="992"/>
        </w:tabs>
        <w:rPr>
          <w:rFonts w:ascii="Arial" w:hAnsi="Arial" w:cs="Arial"/>
        </w:rPr>
      </w:pPr>
      <w:r>
        <w:rPr>
          <w:rFonts w:ascii="Arial" w:hAnsi="Arial" w:cs="Arial"/>
        </w:rPr>
        <w:t xml:space="preserve">In addition to the ratings used by </w:t>
      </w:r>
      <w:proofErr w:type="spellStart"/>
      <w:r>
        <w:rPr>
          <w:rFonts w:ascii="Arial" w:hAnsi="Arial" w:cs="Arial"/>
        </w:rPr>
        <w:t>AusRAP</w:t>
      </w:r>
      <w:proofErr w:type="spellEnd"/>
      <w:r>
        <w:rPr>
          <w:rFonts w:ascii="Arial" w:hAnsi="Arial" w:cs="Arial"/>
        </w:rPr>
        <w:t xml:space="preserve"> and their proposed safety countermeasures, strong safety standards on our highways should also include the provision of sufficient rest areas, especially for heavy vehicles. </w:t>
      </w:r>
    </w:p>
    <w:p w:rsidR="00F73B99" w:rsidRDefault="00F73B99" w:rsidP="002057BF">
      <w:pPr>
        <w:tabs>
          <w:tab w:val="left" w:pos="992"/>
        </w:tabs>
        <w:spacing w:after="120"/>
        <w:rPr>
          <w:rFonts w:ascii="Arial" w:hAnsi="Arial" w:cs="Arial"/>
        </w:rPr>
      </w:pPr>
      <w:r>
        <w:rPr>
          <w:rFonts w:ascii="Arial" w:hAnsi="Arial" w:cs="Arial"/>
        </w:rPr>
        <w:t xml:space="preserve">The goal of a safe road network and eliminating road trauma will remain hard to achieve as long as such large proportions of the Australian road network have a low safety star rating and standard. </w:t>
      </w:r>
    </w:p>
    <w:p w:rsidR="004011EB" w:rsidRDefault="004011EB" w:rsidP="00707722">
      <w:pPr>
        <w:suppressAutoHyphens/>
        <w:spacing w:after="0" w:line="240" w:lineRule="auto"/>
        <w:outlineLvl w:val="0"/>
        <w:rPr>
          <w:rFonts w:ascii="Arial" w:eastAsia="Calibri" w:hAnsi="Arial" w:cs="Arial"/>
          <w:lang w:eastAsia="ar-SA"/>
        </w:rPr>
      </w:pPr>
    </w:p>
    <w:p w:rsidR="004011EB" w:rsidRPr="003C6B1F" w:rsidRDefault="002057BF" w:rsidP="004011EB">
      <w:pPr>
        <w:spacing w:after="0"/>
        <w:rPr>
          <w:rFonts w:ascii="Arial" w:eastAsia="Times New Roman" w:hAnsi="Arial" w:cs="Arial"/>
          <w:b/>
          <w:bCs/>
          <w:u w:val="single"/>
        </w:rPr>
      </w:pPr>
      <w:r>
        <w:rPr>
          <w:rFonts w:ascii="Arial" w:eastAsia="Times New Roman" w:hAnsi="Arial" w:cs="Arial"/>
          <w:b/>
          <w:bCs/>
          <w:u w:val="single"/>
        </w:rPr>
        <w:t>Recommendation 10</w:t>
      </w:r>
    </w:p>
    <w:p w:rsidR="002057BF" w:rsidRPr="00A16D61" w:rsidRDefault="00A16D61" w:rsidP="004011EB">
      <w:pPr>
        <w:spacing w:after="0"/>
        <w:rPr>
          <w:rFonts w:ascii="Arial" w:eastAsia="Times New Roman" w:hAnsi="Arial" w:cs="Arial"/>
          <w:bCs/>
        </w:rPr>
      </w:pPr>
      <w:r w:rsidRPr="00A16D61">
        <w:rPr>
          <w:rFonts w:ascii="Arial" w:eastAsia="Times New Roman" w:hAnsi="Arial" w:cs="Arial"/>
          <w:bCs/>
        </w:rPr>
        <w:t>That the Australian Government’s Office of Best Practice Regulation issues supplementary guidance material for regulatory impact statements involving public safety, requiring recommended policies to be based on a SFAIRP analysis as well as a BCA using willingness to pay values.</w:t>
      </w:r>
    </w:p>
    <w:p w:rsidR="002057BF" w:rsidRDefault="002057BF" w:rsidP="004011EB">
      <w:pPr>
        <w:spacing w:after="0"/>
        <w:rPr>
          <w:rFonts w:ascii="Arial" w:eastAsia="Times New Roman" w:hAnsi="Arial" w:cs="Arial"/>
          <w:b/>
          <w:bCs/>
        </w:rPr>
      </w:pPr>
    </w:p>
    <w:p w:rsidR="004011EB" w:rsidRPr="003C6B1F" w:rsidRDefault="002057BF" w:rsidP="004011EB">
      <w:pPr>
        <w:suppressAutoHyphens/>
        <w:spacing w:after="0" w:line="240" w:lineRule="auto"/>
        <w:outlineLvl w:val="0"/>
        <w:rPr>
          <w:rFonts w:ascii="Arial" w:hAnsi="Arial" w:cs="Arial"/>
          <w:u w:val="single"/>
        </w:rPr>
      </w:pPr>
      <w:r>
        <w:rPr>
          <w:rFonts w:ascii="Arial" w:hAnsi="Arial" w:cs="Arial"/>
          <w:b/>
          <w:u w:val="single"/>
        </w:rPr>
        <w:t>Recommendation 11</w:t>
      </w:r>
    </w:p>
    <w:p w:rsidR="004011EB" w:rsidRDefault="004011EB" w:rsidP="004011EB">
      <w:pPr>
        <w:suppressAutoHyphens/>
        <w:spacing w:line="240" w:lineRule="auto"/>
        <w:outlineLvl w:val="0"/>
        <w:rPr>
          <w:rFonts w:ascii="Arial" w:hAnsi="Arial" w:cs="Arial"/>
        </w:rPr>
      </w:pPr>
      <w:r w:rsidRPr="00707722">
        <w:rPr>
          <w:rFonts w:ascii="Arial" w:hAnsi="Arial" w:cs="Arial"/>
        </w:rPr>
        <w:t>Road investment should be targeted at improving the safety outcomes of the road network, guided by road crash investigation findings and the need to upgrade road safety standards.</w:t>
      </w:r>
    </w:p>
    <w:p w:rsidR="002057BF" w:rsidRDefault="002057BF" w:rsidP="004011EB">
      <w:pPr>
        <w:suppressAutoHyphens/>
        <w:spacing w:after="0" w:line="240" w:lineRule="auto"/>
        <w:outlineLvl w:val="0"/>
        <w:rPr>
          <w:rFonts w:ascii="Arial" w:hAnsi="Arial" w:cs="Arial"/>
          <w:b/>
          <w:u w:val="single"/>
        </w:rPr>
      </w:pPr>
    </w:p>
    <w:p w:rsidR="002057BF" w:rsidRDefault="002057BF" w:rsidP="004011EB">
      <w:pPr>
        <w:suppressAutoHyphens/>
        <w:spacing w:after="0" w:line="240" w:lineRule="auto"/>
        <w:outlineLvl w:val="0"/>
        <w:rPr>
          <w:rFonts w:ascii="Arial" w:hAnsi="Arial" w:cs="Arial"/>
          <w:b/>
          <w:u w:val="single"/>
        </w:rPr>
      </w:pPr>
    </w:p>
    <w:p w:rsidR="00A16D61" w:rsidRDefault="00A16D61" w:rsidP="004011EB">
      <w:pPr>
        <w:suppressAutoHyphens/>
        <w:spacing w:after="0" w:line="240" w:lineRule="auto"/>
        <w:outlineLvl w:val="0"/>
        <w:rPr>
          <w:rFonts w:ascii="Arial" w:hAnsi="Arial" w:cs="Arial"/>
          <w:b/>
          <w:u w:val="single"/>
        </w:rPr>
      </w:pPr>
    </w:p>
    <w:p w:rsidR="004011EB" w:rsidRPr="003C6B1F" w:rsidRDefault="002057BF" w:rsidP="004011EB">
      <w:pPr>
        <w:suppressAutoHyphens/>
        <w:spacing w:after="0" w:line="240" w:lineRule="auto"/>
        <w:outlineLvl w:val="0"/>
        <w:rPr>
          <w:rFonts w:ascii="Arial" w:hAnsi="Arial" w:cs="Arial"/>
          <w:u w:val="single"/>
        </w:rPr>
      </w:pPr>
      <w:r>
        <w:rPr>
          <w:rFonts w:ascii="Arial" w:hAnsi="Arial" w:cs="Arial"/>
          <w:b/>
          <w:u w:val="single"/>
        </w:rPr>
        <w:lastRenderedPageBreak/>
        <w:t>Recommendation 12</w:t>
      </w:r>
    </w:p>
    <w:p w:rsidR="004011EB" w:rsidRPr="00707722" w:rsidRDefault="004011EB" w:rsidP="004011EB">
      <w:pPr>
        <w:tabs>
          <w:tab w:val="left" w:pos="992"/>
        </w:tabs>
        <w:rPr>
          <w:rFonts w:ascii="Arial" w:hAnsi="Arial" w:cs="Arial"/>
        </w:rPr>
      </w:pPr>
      <w:r w:rsidRPr="00707722">
        <w:rPr>
          <w:rFonts w:ascii="Arial" w:hAnsi="Arial" w:cs="Arial"/>
        </w:rPr>
        <w:t xml:space="preserve">The Government should commence a proper review and consideration of establishing an independent and hypothecated road fund, to improve the effective targeting of building productive road infrastructure. </w:t>
      </w:r>
    </w:p>
    <w:p w:rsidR="004011EB" w:rsidRDefault="004011EB" w:rsidP="00707722">
      <w:pPr>
        <w:suppressAutoHyphens/>
        <w:spacing w:after="0" w:line="240" w:lineRule="auto"/>
        <w:outlineLvl w:val="0"/>
        <w:rPr>
          <w:rFonts w:ascii="Arial" w:eastAsia="Calibri" w:hAnsi="Arial" w:cs="Arial"/>
          <w:lang w:eastAsia="ar-SA"/>
        </w:rPr>
      </w:pPr>
    </w:p>
    <w:p w:rsidR="004011EB" w:rsidRDefault="004011EB" w:rsidP="004011EB">
      <w:pPr>
        <w:suppressAutoHyphens/>
        <w:spacing w:after="0" w:line="240" w:lineRule="auto"/>
        <w:outlineLvl w:val="0"/>
        <w:rPr>
          <w:rFonts w:ascii="Arial" w:eastAsia="Calibri" w:hAnsi="Arial" w:cs="Arial"/>
          <w:lang w:eastAsia="ar-SA"/>
        </w:rPr>
      </w:pPr>
    </w:p>
    <w:p w:rsidR="004011EB" w:rsidRPr="003C6B1F" w:rsidRDefault="004D00B4" w:rsidP="00B03697">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 xml:space="preserve">Fatigue </w:t>
      </w:r>
      <w:r w:rsidR="008A63A8" w:rsidRPr="003C6B1F">
        <w:rPr>
          <w:rFonts w:ascii="Arial" w:eastAsia="Calibri" w:hAnsi="Arial" w:cs="Arial"/>
          <w:b/>
          <w:i/>
          <w:lang w:eastAsia="ar-SA"/>
        </w:rPr>
        <w:t>management</w:t>
      </w:r>
    </w:p>
    <w:p w:rsidR="008A63A8" w:rsidRPr="00860B7C" w:rsidRDefault="008A63A8" w:rsidP="008A63A8">
      <w:pPr>
        <w:suppressAutoHyphens/>
        <w:spacing w:after="0" w:line="240" w:lineRule="auto"/>
        <w:outlineLvl w:val="0"/>
        <w:rPr>
          <w:rFonts w:ascii="Arial" w:eastAsia="Times New Roman" w:hAnsi="Arial" w:cs="Arial"/>
          <w:b/>
          <w:lang w:eastAsia="en-AU"/>
        </w:rPr>
      </w:pPr>
    </w:p>
    <w:p w:rsidR="008A63A8" w:rsidRDefault="008A63A8" w:rsidP="008A63A8">
      <w:pPr>
        <w:suppressAutoHyphens/>
        <w:spacing w:after="0" w:line="240" w:lineRule="auto"/>
        <w:outlineLvl w:val="0"/>
        <w:rPr>
          <w:rFonts w:ascii="Arial" w:hAnsi="Arial" w:cs="Arial"/>
        </w:rPr>
      </w:pPr>
      <w:r w:rsidRPr="000515EC">
        <w:rPr>
          <w:rFonts w:ascii="Arial" w:eastAsia="Calibri" w:hAnsi="Arial" w:cs="Arial"/>
          <w:lang w:eastAsia="ar-SA"/>
        </w:rPr>
        <w:t>The most recent NTI Major Accident Investigation Report by NTARC says that we have seen no improvement in the fatigue result since 2009</w:t>
      </w:r>
      <w:r>
        <w:rPr>
          <w:rStyle w:val="FootnoteReference"/>
          <w:rFonts w:ascii="Arial" w:eastAsia="Calibri" w:hAnsi="Arial" w:cs="Arial"/>
          <w:lang w:eastAsia="ar-SA"/>
        </w:rPr>
        <w:footnoteReference w:id="17"/>
      </w:r>
      <w:r w:rsidRPr="000515EC">
        <w:rPr>
          <w:rFonts w:ascii="Arial" w:eastAsia="Calibri" w:hAnsi="Arial" w:cs="Arial"/>
          <w:lang w:eastAsia="ar-SA"/>
        </w:rPr>
        <w:t>.</w:t>
      </w:r>
      <w:r>
        <w:rPr>
          <w:rFonts w:ascii="Arial" w:eastAsia="Calibri" w:hAnsi="Arial" w:cs="Arial"/>
          <w:lang w:eastAsia="ar-SA"/>
        </w:rPr>
        <w:t xml:space="preserve"> </w:t>
      </w:r>
      <w:r w:rsidRPr="000515EC">
        <w:rPr>
          <w:rFonts w:ascii="Arial" w:eastAsia="Calibri" w:hAnsi="Arial" w:cs="Arial"/>
          <w:lang w:eastAsia="ar-SA"/>
        </w:rPr>
        <w:t xml:space="preserve">The </w:t>
      </w:r>
      <w:r>
        <w:rPr>
          <w:rFonts w:ascii="Arial" w:eastAsia="Calibri" w:hAnsi="Arial" w:cs="Arial"/>
          <w:lang w:eastAsia="ar-SA"/>
        </w:rPr>
        <w:t xml:space="preserve">report </w:t>
      </w:r>
      <w:r w:rsidRPr="000515EC">
        <w:rPr>
          <w:rFonts w:ascii="Arial" w:eastAsia="Calibri" w:hAnsi="Arial" w:cs="Arial"/>
          <w:lang w:eastAsia="ar-SA"/>
        </w:rPr>
        <w:t>questions the effectiveness of prescriptive driver hours when compared to the benefi</w:t>
      </w:r>
      <w:r>
        <w:rPr>
          <w:rFonts w:ascii="Arial" w:eastAsia="Calibri" w:hAnsi="Arial" w:cs="Arial"/>
          <w:lang w:eastAsia="ar-SA"/>
        </w:rPr>
        <w:t>ts of astute driver management that includes a focus on driver fitness for duty</w:t>
      </w:r>
      <w:r w:rsidRPr="000515EC">
        <w:rPr>
          <w:rFonts w:ascii="Arial" w:eastAsia="Calibri" w:hAnsi="Arial" w:cs="Arial"/>
          <w:lang w:eastAsia="ar-SA"/>
        </w:rPr>
        <w:t>.</w:t>
      </w:r>
      <w:r w:rsidRPr="00EF067B">
        <w:rPr>
          <w:rFonts w:ascii="Arial" w:hAnsi="Arial" w:cs="Arial"/>
        </w:rPr>
        <w:t xml:space="preserve"> </w:t>
      </w:r>
      <w:r w:rsidRPr="000515EC">
        <w:rPr>
          <w:rFonts w:ascii="Arial" w:hAnsi="Arial" w:cs="Arial"/>
        </w:rPr>
        <w:t xml:space="preserve">Our current system of fatigue management does not properly incorporate </w:t>
      </w:r>
      <w:r>
        <w:rPr>
          <w:rFonts w:ascii="Arial" w:hAnsi="Arial" w:cs="Arial"/>
        </w:rPr>
        <w:t xml:space="preserve">what is known about the </w:t>
      </w:r>
      <w:r w:rsidRPr="000515EC">
        <w:rPr>
          <w:rFonts w:ascii="Arial" w:hAnsi="Arial" w:cs="Arial"/>
        </w:rPr>
        <w:t>science</w:t>
      </w:r>
      <w:r>
        <w:rPr>
          <w:rFonts w:ascii="Arial" w:hAnsi="Arial" w:cs="Arial"/>
        </w:rPr>
        <w:t xml:space="preserve"> of sleep. Fatigue must be considered as a biological condition and all drivers as individuals.</w:t>
      </w:r>
    </w:p>
    <w:p w:rsidR="008A63A8" w:rsidRPr="000515EC" w:rsidRDefault="008A63A8" w:rsidP="008A63A8">
      <w:pPr>
        <w:suppressAutoHyphens/>
        <w:spacing w:after="0" w:line="240" w:lineRule="auto"/>
        <w:outlineLvl w:val="0"/>
        <w:rPr>
          <w:rFonts w:ascii="Arial" w:eastAsia="Calibri" w:hAnsi="Arial" w:cs="Arial"/>
          <w:lang w:eastAsia="ar-SA"/>
        </w:rPr>
      </w:pPr>
    </w:p>
    <w:p w:rsidR="008A63A8" w:rsidRDefault="008A63A8" w:rsidP="008A63A8">
      <w:pPr>
        <w:suppressAutoHyphens/>
        <w:spacing w:after="0" w:line="240" w:lineRule="auto"/>
        <w:outlineLvl w:val="0"/>
        <w:rPr>
          <w:rFonts w:ascii="Arial" w:hAnsi="Arial" w:cs="Arial"/>
        </w:rPr>
      </w:pPr>
      <w:r>
        <w:rPr>
          <w:rFonts w:ascii="Arial" w:hAnsi="Arial" w:cs="Arial"/>
        </w:rPr>
        <w:t>The perception that fatigue crashes occur because of long distance driving is simply not reflected in statistical analysis.</w:t>
      </w:r>
      <w:r w:rsidRPr="00EF067B">
        <w:rPr>
          <w:rFonts w:ascii="Arial" w:hAnsi="Arial" w:cs="Arial"/>
        </w:rPr>
        <w:t xml:space="preserve"> </w:t>
      </w:r>
      <w:r>
        <w:rPr>
          <w:rFonts w:ascii="Arial" w:eastAsia="Calibri" w:hAnsi="Arial" w:cs="Arial"/>
          <w:lang w:eastAsia="ar-SA"/>
        </w:rPr>
        <w:t xml:space="preserve">NTARC crash data demonstrates that </w:t>
      </w:r>
      <w:r>
        <w:rPr>
          <w:rFonts w:ascii="Arial" w:hAnsi="Arial" w:cs="Arial"/>
        </w:rPr>
        <w:t>o</w:t>
      </w:r>
      <w:r w:rsidRPr="000515EC">
        <w:rPr>
          <w:rFonts w:ascii="Arial" w:hAnsi="Arial" w:cs="Arial"/>
        </w:rPr>
        <w:t>utward journeys</w:t>
      </w:r>
      <w:r>
        <w:rPr>
          <w:rFonts w:ascii="Arial" w:hAnsi="Arial" w:cs="Arial"/>
        </w:rPr>
        <w:t xml:space="preserve"> from the home base (within 500 km) </w:t>
      </w:r>
      <w:r w:rsidRPr="000515EC">
        <w:rPr>
          <w:rFonts w:ascii="Arial" w:hAnsi="Arial" w:cs="Arial"/>
        </w:rPr>
        <w:t>contri</w:t>
      </w:r>
      <w:r>
        <w:rPr>
          <w:rFonts w:ascii="Arial" w:hAnsi="Arial" w:cs="Arial"/>
        </w:rPr>
        <w:t>bute</w:t>
      </w:r>
      <w:r w:rsidRPr="000515EC">
        <w:rPr>
          <w:rFonts w:ascii="Arial" w:hAnsi="Arial" w:cs="Arial"/>
        </w:rPr>
        <w:t xml:space="preserve"> to two out of three reported large losses. </w:t>
      </w:r>
      <w:r>
        <w:rPr>
          <w:rFonts w:ascii="Arial" w:hAnsi="Arial" w:cs="Arial"/>
        </w:rPr>
        <w:t xml:space="preserve">Most of these </w:t>
      </w:r>
      <w:r w:rsidRPr="000515EC">
        <w:rPr>
          <w:rFonts w:ascii="Arial" w:hAnsi="Arial" w:cs="Arial"/>
        </w:rPr>
        <w:t xml:space="preserve">incidents </w:t>
      </w:r>
      <w:r>
        <w:rPr>
          <w:rFonts w:ascii="Arial" w:hAnsi="Arial" w:cs="Arial"/>
        </w:rPr>
        <w:t xml:space="preserve">occur on </w:t>
      </w:r>
      <w:r w:rsidRPr="000515EC">
        <w:rPr>
          <w:rFonts w:ascii="Arial" w:hAnsi="Arial" w:cs="Arial"/>
        </w:rPr>
        <w:t xml:space="preserve">Mondays </w:t>
      </w:r>
      <w:r>
        <w:rPr>
          <w:rFonts w:ascii="Arial" w:hAnsi="Arial" w:cs="Arial"/>
        </w:rPr>
        <w:t xml:space="preserve">and </w:t>
      </w:r>
      <w:r w:rsidRPr="000515EC">
        <w:rPr>
          <w:rFonts w:ascii="Arial" w:hAnsi="Arial" w:cs="Arial"/>
        </w:rPr>
        <w:t>Tuesday</w:t>
      </w:r>
      <w:r>
        <w:rPr>
          <w:rFonts w:ascii="Arial" w:hAnsi="Arial" w:cs="Arial"/>
        </w:rPr>
        <w:t>s</w:t>
      </w:r>
      <w:r w:rsidRPr="000515EC">
        <w:rPr>
          <w:rFonts w:ascii="Arial" w:hAnsi="Arial" w:cs="Arial"/>
        </w:rPr>
        <w:t xml:space="preserve"> </w:t>
      </w:r>
      <w:r>
        <w:rPr>
          <w:rFonts w:ascii="Arial" w:hAnsi="Arial" w:cs="Arial"/>
        </w:rPr>
        <w:t>(</w:t>
      </w:r>
      <w:r w:rsidRPr="000515EC">
        <w:rPr>
          <w:rFonts w:ascii="Arial" w:hAnsi="Arial" w:cs="Arial"/>
        </w:rPr>
        <w:t>41.1% of major incidents</w:t>
      </w:r>
      <w:r>
        <w:rPr>
          <w:rFonts w:ascii="Arial" w:hAnsi="Arial" w:cs="Arial"/>
        </w:rPr>
        <w:t>)</w:t>
      </w:r>
      <w:r w:rsidRPr="000515EC">
        <w:rPr>
          <w:rFonts w:ascii="Arial" w:hAnsi="Arial" w:cs="Arial"/>
        </w:rPr>
        <w:t>.</w:t>
      </w:r>
      <w:r>
        <w:rPr>
          <w:rFonts w:ascii="Arial" w:hAnsi="Arial" w:cs="Arial"/>
        </w:rPr>
        <w:t xml:space="preserve"> </w:t>
      </w:r>
    </w:p>
    <w:p w:rsidR="008A63A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Pr>
          <w:rFonts w:ascii="Arial" w:hAnsi="Arial" w:cs="Arial"/>
        </w:rPr>
        <w:t xml:space="preserve">This raises a clear need for fatigue management systems to incorporate more comprehensive driver management including monitoring of an individual driver’s fitness for duty. </w:t>
      </w:r>
    </w:p>
    <w:p w:rsidR="000712F9" w:rsidRDefault="000712F9" w:rsidP="008A63A8">
      <w:pPr>
        <w:suppressAutoHyphens/>
        <w:spacing w:after="0" w:line="240" w:lineRule="auto"/>
        <w:outlineLvl w:val="0"/>
        <w:rPr>
          <w:rFonts w:ascii="Arial" w:hAnsi="Arial" w:cs="Arial"/>
        </w:rPr>
      </w:pPr>
    </w:p>
    <w:p w:rsidR="00251127" w:rsidRDefault="006C0CAB" w:rsidP="008A63A8">
      <w:pPr>
        <w:suppressAutoHyphens/>
        <w:spacing w:after="0" w:line="240" w:lineRule="auto"/>
        <w:outlineLvl w:val="0"/>
        <w:rPr>
          <w:rFonts w:ascii="Arial" w:hAnsi="Arial" w:cs="Arial"/>
        </w:rPr>
      </w:pPr>
      <w:r>
        <w:rPr>
          <w:rFonts w:ascii="Arial" w:hAnsi="Arial" w:cs="Arial"/>
        </w:rPr>
        <w:t xml:space="preserve">NTARC crash data also demonstrates that the state with the lowest heavy vehicle fatigue crash rates in Australia at only 6.75% </w:t>
      </w:r>
      <w:r w:rsidR="00EC0174">
        <w:rPr>
          <w:rFonts w:ascii="Arial" w:hAnsi="Arial" w:cs="Arial"/>
        </w:rPr>
        <w:t xml:space="preserve">is Western Australia (WA). In WA and the Northern Territory (NT) legislation identifies heavy vehicle driver fatigue as a work place hazard. </w:t>
      </w:r>
    </w:p>
    <w:p w:rsidR="00251127" w:rsidRDefault="00251127" w:rsidP="008A63A8">
      <w:pPr>
        <w:suppressAutoHyphens/>
        <w:spacing w:after="0" w:line="240" w:lineRule="auto"/>
        <w:outlineLvl w:val="0"/>
        <w:rPr>
          <w:rFonts w:ascii="Arial" w:hAnsi="Arial" w:cs="Arial"/>
        </w:rPr>
      </w:pPr>
    </w:p>
    <w:p w:rsidR="000712F9" w:rsidRPr="00251127" w:rsidRDefault="00EC0174" w:rsidP="00251127">
      <w:pPr>
        <w:suppressAutoHyphens/>
        <w:spacing w:after="0" w:line="240" w:lineRule="auto"/>
        <w:outlineLvl w:val="0"/>
        <w:rPr>
          <w:rFonts w:ascii="Arial" w:hAnsi="Arial" w:cs="Arial"/>
        </w:rPr>
      </w:pPr>
      <w:r>
        <w:rPr>
          <w:rFonts w:ascii="Arial" w:hAnsi="Arial" w:cs="Arial"/>
        </w:rPr>
        <w:t xml:space="preserve">The </w:t>
      </w:r>
      <w:r w:rsidR="00251127">
        <w:rPr>
          <w:rFonts w:ascii="Arial" w:hAnsi="Arial" w:cs="Arial"/>
        </w:rPr>
        <w:t xml:space="preserve">WA </w:t>
      </w:r>
      <w:r w:rsidRPr="00EC0174">
        <w:rPr>
          <w:rFonts w:ascii="Arial" w:hAnsi="Arial" w:cs="Arial"/>
          <w:i/>
        </w:rPr>
        <w:t>Occupational Safety and Health Act 1984</w:t>
      </w:r>
      <w:r>
        <w:rPr>
          <w:rFonts w:ascii="Arial" w:hAnsi="Arial" w:cs="Arial"/>
        </w:rPr>
        <w:t xml:space="preserve"> (the Act) </w:t>
      </w:r>
      <w:r w:rsidR="00251127" w:rsidRPr="00251127">
        <w:rPr>
          <w:rFonts w:ascii="Arial" w:hAnsi="Arial" w:cs="Arial"/>
        </w:rPr>
        <w:t>places certain duties on employers, employees, self-employed people, manufacturers, designers,</w:t>
      </w:r>
      <w:r w:rsidR="00251127">
        <w:rPr>
          <w:rFonts w:ascii="Arial" w:hAnsi="Arial" w:cs="Arial"/>
        </w:rPr>
        <w:t xml:space="preserve"> </w:t>
      </w:r>
      <w:r w:rsidR="00251127" w:rsidRPr="00251127">
        <w:rPr>
          <w:rFonts w:ascii="Arial" w:hAnsi="Arial" w:cs="Arial"/>
        </w:rPr>
        <w:t>importers and suppliers.</w:t>
      </w:r>
      <w:r w:rsidR="00251127">
        <w:rPr>
          <w:rFonts w:ascii="Arial" w:hAnsi="Arial" w:cs="Arial"/>
        </w:rPr>
        <w:t xml:space="preserve"> </w:t>
      </w:r>
      <w:r w:rsidR="00251127" w:rsidRPr="00251127">
        <w:rPr>
          <w:rFonts w:ascii="Arial" w:hAnsi="Arial" w:cs="Arial"/>
        </w:rPr>
        <w:t>It also places emphasis on the prevention of accidents and injury.</w:t>
      </w:r>
      <w:r w:rsidR="00251127">
        <w:rPr>
          <w:rFonts w:ascii="Arial" w:hAnsi="Arial" w:cs="Arial"/>
        </w:rPr>
        <w:t xml:space="preserve"> T</w:t>
      </w:r>
      <w:r w:rsidR="00251127" w:rsidRPr="00251127">
        <w:rPr>
          <w:rFonts w:ascii="Arial" w:hAnsi="Arial" w:cs="Arial"/>
        </w:rPr>
        <w:t xml:space="preserve">he legislation is supported by regulations, together with a lower tier </w:t>
      </w:r>
      <w:r w:rsidR="00251127">
        <w:rPr>
          <w:rFonts w:ascii="Arial" w:hAnsi="Arial" w:cs="Arial"/>
        </w:rPr>
        <w:t xml:space="preserve">non-statutory </w:t>
      </w:r>
      <w:r w:rsidR="00251127" w:rsidRPr="00251127">
        <w:rPr>
          <w:rFonts w:ascii="Arial" w:hAnsi="Arial" w:cs="Arial"/>
          <w:i/>
        </w:rPr>
        <w:t>Code of Practice – Fatigue management for commercial vehicle drivers 2004</w:t>
      </w:r>
      <w:r w:rsidR="003D2F70">
        <w:rPr>
          <w:rStyle w:val="FootnoteReference"/>
          <w:rFonts w:ascii="Arial" w:hAnsi="Arial" w:cs="Arial"/>
          <w:i/>
        </w:rPr>
        <w:footnoteReference w:id="18"/>
      </w:r>
      <w:r w:rsidR="00251127" w:rsidRPr="00251127">
        <w:rPr>
          <w:rFonts w:ascii="Arial" w:hAnsi="Arial" w:cs="Arial"/>
          <w:i/>
        </w:rPr>
        <w:t>.</w:t>
      </w:r>
      <w:r w:rsidR="00251127">
        <w:rPr>
          <w:rFonts w:ascii="Arial" w:hAnsi="Arial" w:cs="Arial"/>
        </w:rPr>
        <w:t xml:space="preserve"> </w:t>
      </w:r>
      <w:r w:rsidR="00B8360C">
        <w:rPr>
          <w:rFonts w:ascii="Arial" w:hAnsi="Arial" w:cs="Arial"/>
        </w:rPr>
        <w:t>Under the Act heavy vehicle driver fatigue is identified as a work place hazard, which gives greater scope of power to address other issues related to the fatigue state such as quality of rest, rest area availability, and the fitness of drivers for duty.</w:t>
      </w:r>
      <w:r w:rsidR="00FB231B" w:rsidRPr="00FB231B">
        <w:rPr>
          <w:rFonts w:ascii="Arial" w:hAnsi="Arial" w:cs="Arial"/>
        </w:rPr>
        <w:t xml:space="preserve"> </w:t>
      </w:r>
      <w:r w:rsidR="00FB231B">
        <w:rPr>
          <w:rFonts w:ascii="Arial" w:hAnsi="Arial" w:cs="Arial"/>
        </w:rPr>
        <w:t xml:space="preserve">The Heavy Vehicle National Law (HVNL) is currently more limited in dealing with contributing factors outside of driving hours, although the introduction of general safety duties under the </w:t>
      </w:r>
      <w:r w:rsidR="00FB231B">
        <w:rPr>
          <w:rFonts w:ascii="Arial" w:hAnsi="Arial" w:cs="Arial"/>
          <w:i/>
          <w:iCs/>
        </w:rPr>
        <w:t>Heavy Vehicle National Law and Other Legislation Amendment Act 2016</w:t>
      </w:r>
      <w:r w:rsidR="00FB231B">
        <w:rPr>
          <w:rFonts w:ascii="Arial" w:hAnsi="Arial" w:cs="Arial"/>
        </w:rPr>
        <w:t xml:space="preserve"> (Qld) for all chain</w:t>
      </w:r>
      <w:r w:rsidR="00FB231B">
        <w:rPr>
          <w:rFonts w:ascii="Arial" w:hAnsi="Arial" w:cs="Arial"/>
        </w:rPr>
        <w:t xml:space="preserve"> participants will address this</w:t>
      </w:r>
      <w:r w:rsidR="00B8360C">
        <w:rPr>
          <w:rFonts w:ascii="Arial" w:hAnsi="Arial" w:cs="Arial"/>
        </w:rPr>
        <w:t>.</w:t>
      </w:r>
    </w:p>
    <w:p w:rsidR="008A63A8" w:rsidRDefault="008A63A8" w:rsidP="008A63A8">
      <w:pPr>
        <w:suppressAutoHyphens/>
        <w:spacing w:after="0" w:line="240" w:lineRule="auto"/>
        <w:outlineLvl w:val="0"/>
        <w:rPr>
          <w:rFonts w:ascii="Arial" w:hAnsi="Arial" w:cs="Arial"/>
        </w:rPr>
      </w:pPr>
    </w:p>
    <w:p w:rsidR="008A63A8" w:rsidRDefault="002C72EB" w:rsidP="008A63A8">
      <w:pPr>
        <w:suppressAutoHyphens/>
        <w:spacing w:after="0" w:line="240" w:lineRule="auto"/>
        <w:outlineLvl w:val="0"/>
        <w:rPr>
          <w:rFonts w:ascii="Arial" w:eastAsia="Times New Roman" w:hAnsi="Arial" w:cs="Arial"/>
          <w:lang w:eastAsia="en-AU"/>
        </w:rPr>
      </w:pPr>
      <w:r>
        <w:rPr>
          <w:rFonts w:ascii="Arial" w:eastAsia="Times New Roman" w:hAnsi="Arial" w:cs="Arial"/>
          <w:lang w:eastAsia="en-AU"/>
        </w:rPr>
        <w:t xml:space="preserve">The HVNL </w:t>
      </w:r>
      <w:r w:rsidR="008A63A8">
        <w:rPr>
          <w:rFonts w:ascii="Arial" w:eastAsia="Times New Roman" w:hAnsi="Arial" w:cs="Arial"/>
          <w:lang w:eastAsia="en-AU"/>
        </w:rPr>
        <w:t>relies on the enforcement of prescriptive and complex work and rest hours that are difficult for drivers to comply with. Compliance is problematic not only because of difficulties in interpretation of the laws by drivers, but also because of a lack of infrastructure to support the laws, including a lack of heavy vehicle driver rest areas. The lack of any flexibility in the prescribed work and rest hours means that compliance is difficult to achieve.</w:t>
      </w:r>
    </w:p>
    <w:p w:rsidR="008A63A8" w:rsidRDefault="008A63A8" w:rsidP="008A63A8">
      <w:pPr>
        <w:suppressAutoHyphens/>
        <w:spacing w:after="0" w:line="240" w:lineRule="auto"/>
        <w:outlineLvl w:val="0"/>
        <w:rPr>
          <w:rFonts w:ascii="Arial" w:eastAsia="Times New Roman" w:hAnsi="Arial" w:cs="Arial"/>
          <w:lang w:eastAsia="en-AU"/>
        </w:rPr>
      </w:pPr>
    </w:p>
    <w:p w:rsidR="008A63A8" w:rsidRDefault="008A63A8" w:rsidP="008A63A8">
      <w:pPr>
        <w:suppressAutoHyphens/>
        <w:spacing w:after="0" w:line="240" w:lineRule="auto"/>
        <w:outlineLvl w:val="0"/>
        <w:rPr>
          <w:rFonts w:ascii="Arial" w:hAnsi="Arial" w:cs="Arial"/>
        </w:rPr>
      </w:pPr>
      <w:r>
        <w:rPr>
          <w:rFonts w:ascii="Arial" w:hAnsi="Arial" w:cs="Arial"/>
        </w:rPr>
        <w:t>Last year t</w:t>
      </w:r>
      <w:r w:rsidRPr="005E1666">
        <w:rPr>
          <w:rFonts w:ascii="Arial" w:hAnsi="Arial" w:cs="Arial"/>
        </w:rPr>
        <w:t xml:space="preserve">he Cooperative Research Centre for Alertness, Safety and Productivity (Alertness CRC), in partnership with the National Transport Commission (NTC), </w:t>
      </w:r>
      <w:r>
        <w:rPr>
          <w:rFonts w:ascii="Arial" w:hAnsi="Arial" w:cs="Arial"/>
        </w:rPr>
        <w:t xml:space="preserve">began </w:t>
      </w:r>
      <w:r w:rsidRPr="005E1666">
        <w:rPr>
          <w:rFonts w:ascii="Arial" w:hAnsi="Arial" w:cs="Arial"/>
        </w:rPr>
        <w:t xml:space="preserve">field research to analyse the impacts of the Heavy Vehicle National Law (HVNL) on work and rest hours on heavy vehicle driver fatigue. The research will use alertness and sleep monitoring devices, </w:t>
      </w:r>
      <w:r w:rsidRPr="005E1666">
        <w:rPr>
          <w:rFonts w:ascii="Arial" w:hAnsi="Arial" w:cs="Arial"/>
        </w:rPr>
        <w:lastRenderedPageBreak/>
        <w:t>as well as driving impairment indicators, to measure sleeping patterns, driver drowsiness and driving performance both on the road during real-world work shifts and off the road in a laboratory setting</w:t>
      </w:r>
      <w:r>
        <w:rPr>
          <w:rFonts w:ascii="Arial" w:hAnsi="Arial" w:cs="Arial"/>
        </w:rPr>
        <w:t>.</w:t>
      </w:r>
    </w:p>
    <w:p w:rsidR="008A63A8" w:rsidRDefault="008A63A8" w:rsidP="008A63A8">
      <w:pPr>
        <w:suppressAutoHyphens/>
        <w:spacing w:after="0" w:line="240" w:lineRule="auto"/>
        <w:outlineLvl w:val="0"/>
        <w:rPr>
          <w:rFonts w:ascii="Arial" w:hAnsi="Arial" w:cs="Arial"/>
        </w:rPr>
      </w:pPr>
    </w:p>
    <w:p w:rsidR="008A63A8" w:rsidRPr="005E1666" w:rsidRDefault="008A63A8" w:rsidP="008A63A8">
      <w:pPr>
        <w:suppressAutoHyphens/>
        <w:spacing w:after="0" w:line="240" w:lineRule="auto"/>
        <w:outlineLvl w:val="0"/>
        <w:rPr>
          <w:rFonts w:ascii="Arial" w:eastAsia="Times New Roman" w:hAnsi="Arial" w:cs="Arial"/>
          <w:b/>
          <w:i/>
          <w:lang w:eastAsia="en-AU"/>
        </w:rPr>
      </w:pPr>
      <w:r>
        <w:rPr>
          <w:rFonts w:ascii="Arial" w:hAnsi="Arial" w:cs="Arial"/>
        </w:rPr>
        <w:t xml:space="preserve">The research will </w:t>
      </w:r>
      <w:r w:rsidRPr="005E1666">
        <w:rPr>
          <w:rFonts w:ascii="Arial" w:hAnsi="Arial" w:cs="Arial"/>
        </w:rPr>
        <w:t>objectively measure drivers’ alertness across a work schedule, to monitor driving impairment indicators, and to measure the quality and quantity of drivers’ sleep during minimum rest periods, so enabling us to provide quality data and evidenced guidance in support of any future reforms.</w:t>
      </w:r>
    </w:p>
    <w:p w:rsidR="008A63A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Pr>
          <w:rFonts w:ascii="Arial" w:hAnsi="Arial" w:cs="Arial"/>
        </w:rPr>
        <w:t>This research should also inform any future reforms of the HVNL fatigue laws and further development or adoption of technologies.</w:t>
      </w:r>
    </w:p>
    <w:p w:rsidR="008A63A8" w:rsidRDefault="008A63A8" w:rsidP="008A63A8">
      <w:pPr>
        <w:suppressAutoHyphens/>
        <w:spacing w:after="0" w:line="240" w:lineRule="auto"/>
        <w:outlineLvl w:val="0"/>
        <w:rPr>
          <w:rFonts w:ascii="Arial" w:hAnsi="Arial" w:cs="Arial"/>
        </w:rPr>
      </w:pPr>
    </w:p>
    <w:p w:rsidR="007F4EBF" w:rsidRDefault="007F4EBF" w:rsidP="008A63A8">
      <w:pPr>
        <w:suppressAutoHyphens/>
        <w:spacing w:after="0" w:line="240" w:lineRule="auto"/>
        <w:outlineLvl w:val="0"/>
        <w:rPr>
          <w:rFonts w:ascii="Arial" w:hAnsi="Arial" w:cs="Arial"/>
          <w:b/>
          <w:u w:val="single"/>
        </w:rPr>
      </w:pPr>
      <w:r w:rsidRPr="00264EE2">
        <w:rPr>
          <w:rFonts w:ascii="Arial" w:hAnsi="Arial" w:cs="Arial"/>
          <w:b/>
          <w:u w:val="single"/>
        </w:rPr>
        <w:t xml:space="preserve">Recommendation </w:t>
      </w:r>
      <w:r w:rsidR="000225AF">
        <w:rPr>
          <w:rFonts w:ascii="Arial" w:hAnsi="Arial" w:cs="Arial"/>
          <w:b/>
          <w:u w:val="single"/>
        </w:rPr>
        <w:t>13</w:t>
      </w:r>
    </w:p>
    <w:p w:rsidR="00264EE2" w:rsidRPr="00264EE2" w:rsidRDefault="001D6019" w:rsidP="008A63A8">
      <w:pPr>
        <w:suppressAutoHyphens/>
        <w:spacing w:after="0" w:line="240" w:lineRule="auto"/>
        <w:outlineLvl w:val="0"/>
        <w:rPr>
          <w:rFonts w:ascii="Arial" w:hAnsi="Arial" w:cs="Arial"/>
        </w:rPr>
      </w:pPr>
      <w:r>
        <w:rPr>
          <w:rFonts w:ascii="Arial" w:hAnsi="Arial" w:cs="Arial"/>
        </w:rPr>
        <w:t>Governments should undertake research to investigate why Western Australia’s more flexible fatigue laws are delivering better fatigue outcomes.</w:t>
      </w:r>
    </w:p>
    <w:p w:rsidR="00897B16" w:rsidRDefault="00897B16" w:rsidP="008A63A8">
      <w:pPr>
        <w:suppressAutoHyphens/>
        <w:spacing w:after="0" w:line="240" w:lineRule="auto"/>
        <w:outlineLvl w:val="0"/>
        <w:rPr>
          <w:rFonts w:ascii="Arial" w:hAnsi="Arial" w:cs="Arial"/>
        </w:rPr>
      </w:pPr>
    </w:p>
    <w:p w:rsidR="00B03697" w:rsidRPr="003C6B1F" w:rsidRDefault="00B03697" w:rsidP="008A63A8">
      <w:pPr>
        <w:suppressAutoHyphens/>
        <w:spacing w:after="0" w:line="240" w:lineRule="auto"/>
        <w:outlineLvl w:val="0"/>
        <w:rPr>
          <w:rFonts w:ascii="Arial" w:hAnsi="Arial" w:cs="Arial"/>
          <w:b/>
          <w:u w:val="single"/>
        </w:rPr>
      </w:pPr>
      <w:r w:rsidRPr="003C6B1F">
        <w:rPr>
          <w:rFonts w:ascii="Arial" w:hAnsi="Arial" w:cs="Arial"/>
          <w:b/>
          <w:u w:val="single"/>
        </w:rPr>
        <w:t>Recommendation</w:t>
      </w:r>
      <w:r w:rsidR="000225AF">
        <w:rPr>
          <w:rFonts w:ascii="Arial" w:hAnsi="Arial" w:cs="Arial"/>
          <w:b/>
          <w:u w:val="single"/>
        </w:rPr>
        <w:t xml:space="preserve"> 14</w:t>
      </w:r>
    </w:p>
    <w:p w:rsidR="00B03697" w:rsidRDefault="00B03697" w:rsidP="008A63A8">
      <w:pPr>
        <w:suppressAutoHyphens/>
        <w:spacing w:after="0" w:line="240" w:lineRule="auto"/>
        <w:outlineLvl w:val="0"/>
        <w:rPr>
          <w:rFonts w:ascii="Arial" w:hAnsi="Arial" w:cs="Arial"/>
        </w:rPr>
      </w:pPr>
      <w:r>
        <w:rPr>
          <w:rFonts w:ascii="Arial" w:hAnsi="Arial" w:cs="Arial"/>
        </w:rPr>
        <w:t>Governments should amend fatigue</w:t>
      </w:r>
      <w:r w:rsidR="00897B16">
        <w:rPr>
          <w:rFonts w:ascii="Arial" w:hAnsi="Arial" w:cs="Arial"/>
        </w:rPr>
        <w:t xml:space="preserve"> laws to include flexibility and </w:t>
      </w:r>
      <w:r>
        <w:rPr>
          <w:rFonts w:ascii="Arial" w:hAnsi="Arial" w:cs="Arial"/>
        </w:rPr>
        <w:t xml:space="preserve">realistic </w:t>
      </w:r>
      <w:r w:rsidR="00897B16">
        <w:rPr>
          <w:rFonts w:ascii="Arial" w:hAnsi="Arial" w:cs="Arial"/>
        </w:rPr>
        <w:t xml:space="preserve">compliance </w:t>
      </w:r>
      <w:r>
        <w:rPr>
          <w:rFonts w:ascii="Arial" w:hAnsi="Arial" w:cs="Arial"/>
        </w:rPr>
        <w:t>tolerances.</w:t>
      </w:r>
    </w:p>
    <w:p w:rsidR="00B03697" w:rsidRDefault="00B03697" w:rsidP="008A63A8">
      <w:pPr>
        <w:suppressAutoHyphens/>
        <w:spacing w:after="0" w:line="240" w:lineRule="auto"/>
        <w:outlineLvl w:val="0"/>
        <w:rPr>
          <w:rFonts w:ascii="Arial" w:hAnsi="Arial" w:cs="Arial"/>
        </w:rPr>
      </w:pPr>
    </w:p>
    <w:p w:rsidR="00B03697" w:rsidRPr="003C6B1F" w:rsidRDefault="000225AF" w:rsidP="008A63A8">
      <w:pPr>
        <w:suppressAutoHyphens/>
        <w:spacing w:after="0" w:line="240" w:lineRule="auto"/>
        <w:outlineLvl w:val="0"/>
        <w:rPr>
          <w:rFonts w:ascii="Arial" w:hAnsi="Arial" w:cs="Arial"/>
          <w:b/>
          <w:u w:val="single"/>
        </w:rPr>
      </w:pPr>
      <w:r>
        <w:rPr>
          <w:rFonts w:ascii="Arial" w:hAnsi="Arial" w:cs="Arial"/>
          <w:b/>
          <w:u w:val="single"/>
        </w:rPr>
        <w:t>Recommendation 15</w:t>
      </w:r>
    </w:p>
    <w:p w:rsidR="00B03697" w:rsidRDefault="00897B16" w:rsidP="008A63A8">
      <w:pPr>
        <w:suppressAutoHyphens/>
        <w:spacing w:after="0" w:line="240" w:lineRule="auto"/>
        <w:outlineLvl w:val="0"/>
        <w:rPr>
          <w:rFonts w:ascii="Arial" w:hAnsi="Arial" w:cs="Arial"/>
        </w:rPr>
      </w:pPr>
      <w:r>
        <w:rPr>
          <w:rFonts w:ascii="Arial" w:hAnsi="Arial" w:cs="Arial"/>
        </w:rPr>
        <w:t>Governments must take action to increase the quantity, capacity and quality of driver rest areas.</w:t>
      </w:r>
    </w:p>
    <w:p w:rsidR="004011EB" w:rsidRDefault="004011EB" w:rsidP="004011EB">
      <w:pPr>
        <w:suppressAutoHyphens/>
        <w:spacing w:after="0" w:line="240" w:lineRule="auto"/>
        <w:outlineLvl w:val="0"/>
        <w:rPr>
          <w:rFonts w:ascii="Arial" w:eastAsia="Calibri" w:hAnsi="Arial" w:cs="Arial"/>
          <w:lang w:eastAsia="ar-SA"/>
        </w:rPr>
      </w:pPr>
    </w:p>
    <w:p w:rsidR="003C6B1F" w:rsidRDefault="003C6B1F" w:rsidP="004011EB">
      <w:pPr>
        <w:suppressAutoHyphens/>
        <w:spacing w:after="0" w:line="240" w:lineRule="auto"/>
        <w:outlineLvl w:val="0"/>
        <w:rPr>
          <w:rFonts w:ascii="Arial" w:eastAsia="Calibri" w:hAnsi="Arial" w:cs="Arial"/>
          <w:lang w:eastAsia="ar-SA"/>
        </w:rPr>
      </w:pPr>
    </w:p>
    <w:p w:rsidR="004011EB" w:rsidRPr="003C6B1F" w:rsidRDefault="00E706CB" w:rsidP="00BE03A6">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Automated vehicle technologies</w:t>
      </w:r>
    </w:p>
    <w:p w:rsidR="00E706CB" w:rsidRDefault="00E706CB" w:rsidP="00E706CB">
      <w:pPr>
        <w:suppressAutoHyphens/>
        <w:spacing w:after="0" w:line="240" w:lineRule="auto"/>
        <w:outlineLvl w:val="0"/>
        <w:rPr>
          <w:rFonts w:ascii="Arial" w:eastAsia="Calibri" w:hAnsi="Arial" w:cs="Arial"/>
          <w:lang w:eastAsia="ar-SA"/>
        </w:rPr>
      </w:pPr>
    </w:p>
    <w:p w:rsidR="008A63A8" w:rsidRPr="00E95480" w:rsidRDefault="008A63A8" w:rsidP="008A63A8">
      <w:pPr>
        <w:suppressAutoHyphens/>
        <w:spacing w:after="0" w:line="240" w:lineRule="auto"/>
        <w:outlineLvl w:val="0"/>
        <w:rPr>
          <w:rFonts w:ascii="Arial" w:hAnsi="Arial" w:cs="Arial"/>
        </w:rPr>
      </w:pPr>
      <w:r w:rsidRPr="001D4A1F">
        <w:rPr>
          <w:rFonts w:ascii="Arial" w:hAnsi="Arial" w:cs="Arial"/>
        </w:rPr>
        <w:t xml:space="preserve">The National Transport Commission (NTC) is working on a number of reforms to prepare Australia for automated vehicles. </w:t>
      </w:r>
      <w:r>
        <w:rPr>
          <w:rFonts w:ascii="Arial" w:hAnsi="Arial" w:cs="Arial"/>
        </w:rPr>
        <w:t>The ATA has provided</w:t>
      </w:r>
      <w:r w:rsidRPr="001D4A1F">
        <w:rPr>
          <w:rFonts w:ascii="Arial" w:hAnsi="Arial" w:cs="Arial"/>
        </w:rPr>
        <w:t xml:space="preserve"> input into </w:t>
      </w:r>
      <w:r>
        <w:rPr>
          <w:rFonts w:ascii="Arial" w:hAnsi="Arial" w:cs="Arial"/>
        </w:rPr>
        <w:t>through</w:t>
      </w:r>
      <w:r w:rsidRPr="001D4A1F">
        <w:rPr>
          <w:rFonts w:ascii="Arial" w:hAnsi="Arial" w:cs="Arial"/>
        </w:rPr>
        <w:t xml:space="preserve"> submissions t</w:t>
      </w:r>
      <w:r>
        <w:rPr>
          <w:rFonts w:ascii="Arial" w:hAnsi="Arial" w:cs="Arial"/>
        </w:rPr>
        <w:t xml:space="preserve">o </w:t>
      </w:r>
      <w:r w:rsidRPr="001D4A1F">
        <w:rPr>
          <w:rFonts w:ascii="Arial" w:hAnsi="Arial" w:cs="Arial"/>
        </w:rPr>
        <w:t>NTC discussion papers and industry consultation forums.</w:t>
      </w:r>
      <w:r>
        <w:rPr>
          <w:rFonts w:ascii="Arial" w:hAnsi="Arial" w:cs="Arial"/>
        </w:rPr>
        <w:t xml:space="preserve"> Most recently the ATA has responded to the NTC regarding </w:t>
      </w:r>
      <w:hyperlink r:id="rId8" w:history="1">
        <w:r>
          <w:rPr>
            <w:rStyle w:val="Hyperlink"/>
            <w:rFonts w:ascii="Arial" w:hAnsi="Arial" w:cs="Arial"/>
            <w:color w:val="auto"/>
            <w:u w:val="none"/>
          </w:rPr>
          <w:t>c</w:t>
        </w:r>
        <w:r w:rsidRPr="00E95480">
          <w:rPr>
            <w:rStyle w:val="Hyperlink"/>
            <w:rFonts w:ascii="Arial" w:hAnsi="Arial" w:cs="Arial"/>
            <w:color w:val="auto"/>
            <w:u w:val="none"/>
          </w:rPr>
          <w:t>larifying control of automated vehicles</w:t>
        </w:r>
      </w:hyperlink>
      <w:r>
        <w:rPr>
          <w:rStyle w:val="FootnoteReference"/>
          <w:rFonts w:ascii="Arial" w:hAnsi="Arial" w:cs="Arial"/>
        </w:rPr>
        <w:footnoteReference w:id="19"/>
      </w:r>
      <w:r>
        <w:rPr>
          <w:rFonts w:ascii="Arial" w:hAnsi="Arial" w:cs="Arial"/>
        </w:rPr>
        <w:t xml:space="preserve">, </w:t>
      </w:r>
      <w:hyperlink r:id="rId9" w:history="1">
        <w:r>
          <w:rPr>
            <w:rStyle w:val="Hyperlink"/>
            <w:rFonts w:ascii="Arial" w:hAnsi="Arial" w:cs="Arial"/>
            <w:color w:val="auto"/>
            <w:u w:val="none"/>
          </w:rPr>
          <w:t>r</w:t>
        </w:r>
        <w:r w:rsidRPr="00E95480">
          <w:rPr>
            <w:rStyle w:val="Hyperlink"/>
            <w:rFonts w:ascii="Arial" w:hAnsi="Arial" w:cs="Arial"/>
            <w:color w:val="auto"/>
            <w:u w:val="none"/>
          </w:rPr>
          <w:t>egulatory options to assure automated vehicle safety in Australia</w:t>
        </w:r>
      </w:hyperlink>
      <w:r>
        <w:rPr>
          <w:rStyle w:val="FootnoteReference"/>
          <w:rFonts w:ascii="Arial" w:hAnsi="Arial" w:cs="Arial"/>
        </w:rPr>
        <w:footnoteReference w:id="20"/>
      </w:r>
      <w:r>
        <w:rPr>
          <w:rFonts w:ascii="Arial" w:hAnsi="Arial" w:cs="Arial"/>
        </w:rPr>
        <w:t xml:space="preserve"> and changing driving laws to support automated vehicles</w:t>
      </w:r>
      <w:r>
        <w:rPr>
          <w:rStyle w:val="FootnoteReference"/>
          <w:rFonts w:ascii="Arial" w:hAnsi="Arial" w:cs="Arial"/>
        </w:rPr>
        <w:footnoteReference w:id="21"/>
      </w:r>
      <w:r w:rsidRPr="00E95480">
        <w:rPr>
          <w:rFonts w:ascii="Arial" w:hAnsi="Arial" w:cs="Arial"/>
        </w:rPr>
        <w:t>.</w:t>
      </w:r>
    </w:p>
    <w:p w:rsidR="008A63A8" w:rsidRPr="00E95480" w:rsidRDefault="008A63A8" w:rsidP="008A63A8">
      <w:pPr>
        <w:suppressAutoHyphens/>
        <w:spacing w:after="0" w:line="240" w:lineRule="auto"/>
        <w:outlineLvl w:val="0"/>
        <w:rPr>
          <w:rFonts w:ascii="Arial" w:eastAsia="Calibri" w:hAnsi="Arial" w:cs="Arial"/>
          <w:lang w:eastAsia="ar-SA"/>
        </w:rPr>
      </w:pPr>
    </w:p>
    <w:p w:rsidR="008A63A8" w:rsidRDefault="008A63A8" w:rsidP="008A63A8">
      <w:pPr>
        <w:suppressAutoHyphens/>
        <w:spacing w:after="0" w:line="240" w:lineRule="auto"/>
        <w:outlineLvl w:val="0"/>
        <w:rPr>
          <w:rFonts w:ascii="Arial" w:hAnsi="Arial" w:cs="Arial"/>
        </w:rPr>
      </w:pPr>
      <w:r w:rsidRPr="008832C8">
        <w:rPr>
          <w:rFonts w:ascii="Arial" w:hAnsi="Arial" w:cs="Arial"/>
        </w:rPr>
        <w:t>Automated heavy vehicles have the potential to greatly reduce road crashes and</w:t>
      </w:r>
      <w:r>
        <w:rPr>
          <w:rFonts w:ascii="Arial" w:hAnsi="Arial" w:cs="Arial"/>
        </w:rPr>
        <w:t xml:space="preserve"> </w:t>
      </w:r>
      <w:r w:rsidRPr="008832C8">
        <w:rPr>
          <w:rFonts w:ascii="Arial" w:hAnsi="Arial" w:cs="Arial"/>
        </w:rPr>
        <w:t>increase productivity. However, the introduction of these vehicles is complex and multi</w:t>
      </w:r>
      <w:r>
        <w:rPr>
          <w:rFonts w:ascii="Arial" w:hAnsi="Arial" w:cs="Arial"/>
        </w:rPr>
        <w:t>-</w:t>
      </w:r>
      <w:r w:rsidRPr="008832C8">
        <w:rPr>
          <w:rFonts w:ascii="Arial" w:hAnsi="Arial" w:cs="Arial"/>
        </w:rPr>
        <w:t>layered.</w:t>
      </w:r>
    </w:p>
    <w:p w:rsidR="008A63A8" w:rsidRPr="008832C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sidRPr="008832C8">
        <w:rPr>
          <w:rFonts w:ascii="Arial" w:hAnsi="Arial" w:cs="Arial"/>
        </w:rPr>
        <w:t>This is breaking technology that is yet to be fully trialled, there is no hard data to</w:t>
      </w:r>
      <w:r>
        <w:rPr>
          <w:rFonts w:ascii="Arial" w:hAnsi="Arial" w:cs="Arial"/>
        </w:rPr>
        <w:t xml:space="preserve"> </w:t>
      </w:r>
      <w:r w:rsidRPr="008832C8">
        <w:rPr>
          <w:rFonts w:ascii="Arial" w:hAnsi="Arial" w:cs="Arial"/>
        </w:rPr>
        <w:t>inform decisions and still many unknowns with regard to legislation, laws and timelines.</w:t>
      </w:r>
    </w:p>
    <w:p w:rsidR="008A63A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sidRPr="001D4A1F">
        <w:rPr>
          <w:rFonts w:ascii="Arial" w:hAnsi="Arial" w:cs="Arial"/>
        </w:rPr>
        <w:t>The ultimate outcome of the introduction of automated vehicles should be a safer road system. Therefore, go</w:t>
      </w:r>
      <w:r>
        <w:rPr>
          <w:rFonts w:ascii="Arial" w:hAnsi="Arial" w:cs="Arial"/>
        </w:rPr>
        <w:t xml:space="preserve">vernment should be aiming for </w:t>
      </w:r>
      <w:r w:rsidRPr="001D4A1F">
        <w:rPr>
          <w:rFonts w:ascii="Arial" w:hAnsi="Arial" w:cs="Arial"/>
        </w:rPr>
        <w:t>safety outcome</w:t>
      </w:r>
      <w:r>
        <w:rPr>
          <w:rFonts w:ascii="Arial" w:hAnsi="Arial" w:cs="Arial"/>
        </w:rPr>
        <w:t>s that are</w:t>
      </w:r>
      <w:r w:rsidRPr="001D4A1F">
        <w:rPr>
          <w:rFonts w:ascii="Arial" w:hAnsi="Arial" w:cs="Arial"/>
        </w:rPr>
        <w:t xml:space="preserve"> significantly safer than conventional vehicles and drivers.</w:t>
      </w:r>
    </w:p>
    <w:p w:rsidR="008A63A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Pr>
          <w:rFonts w:ascii="Arial" w:hAnsi="Arial" w:cs="Arial"/>
        </w:rPr>
        <w:t xml:space="preserve">The safe transition to increased automation is of vital importance. </w:t>
      </w:r>
      <w:r w:rsidRPr="008832C8">
        <w:rPr>
          <w:rFonts w:ascii="Arial" w:hAnsi="Arial" w:cs="Arial"/>
        </w:rPr>
        <w:t>A robust safety assurance system along with legislation and laws to</w:t>
      </w:r>
      <w:r>
        <w:rPr>
          <w:rFonts w:ascii="Arial" w:hAnsi="Arial" w:cs="Arial"/>
        </w:rPr>
        <w:t xml:space="preserve"> </w:t>
      </w:r>
      <w:r w:rsidRPr="008832C8">
        <w:rPr>
          <w:rFonts w:ascii="Arial" w:hAnsi="Arial" w:cs="Arial"/>
        </w:rPr>
        <w:t>support the use and ongoing compliance of automated vehicles, Automated Driving</w:t>
      </w:r>
      <w:r>
        <w:rPr>
          <w:rFonts w:ascii="Arial" w:hAnsi="Arial" w:cs="Arial"/>
        </w:rPr>
        <w:t xml:space="preserve"> </w:t>
      </w:r>
      <w:r w:rsidRPr="008832C8">
        <w:rPr>
          <w:rFonts w:ascii="Arial" w:hAnsi="Arial" w:cs="Arial"/>
        </w:rPr>
        <w:t>System Entities (ADSEs) and their users is essential.</w:t>
      </w:r>
    </w:p>
    <w:p w:rsidR="008A63A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sidRPr="008832C8">
        <w:rPr>
          <w:rFonts w:ascii="Arial" w:hAnsi="Arial" w:cs="Arial"/>
        </w:rPr>
        <w:lastRenderedPageBreak/>
        <w:t>This is a critical point if the objective is to improve the safety of the road system, as opposed</w:t>
      </w:r>
      <w:r>
        <w:rPr>
          <w:rFonts w:ascii="Arial" w:hAnsi="Arial" w:cs="Arial"/>
        </w:rPr>
        <w:t xml:space="preserve"> </w:t>
      </w:r>
      <w:r w:rsidRPr="008832C8">
        <w:rPr>
          <w:rFonts w:ascii="Arial" w:hAnsi="Arial" w:cs="Arial"/>
        </w:rPr>
        <w:t>to introduce a new technology. Where automated technologies can reduce the risk caused</w:t>
      </w:r>
      <w:r>
        <w:rPr>
          <w:rFonts w:ascii="Arial" w:hAnsi="Arial" w:cs="Arial"/>
        </w:rPr>
        <w:t xml:space="preserve"> </w:t>
      </w:r>
      <w:r w:rsidRPr="008832C8">
        <w:rPr>
          <w:rFonts w:ascii="Arial" w:hAnsi="Arial" w:cs="Arial"/>
        </w:rPr>
        <w:t>by human drivers, such as with emergency braking or lane departure warnings, they should</w:t>
      </w:r>
      <w:r>
        <w:rPr>
          <w:rFonts w:ascii="Arial" w:hAnsi="Arial" w:cs="Arial"/>
        </w:rPr>
        <w:t xml:space="preserve"> </w:t>
      </w:r>
      <w:r w:rsidRPr="008832C8">
        <w:rPr>
          <w:rFonts w:ascii="Arial" w:hAnsi="Arial" w:cs="Arial"/>
        </w:rPr>
        <w:t>be encouraged. But automated driving systems should not be pursued if they increase</w:t>
      </w:r>
      <w:r>
        <w:rPr>
          <w:rFonts w:ascii="Arial" w:hAnsi="Arial" w:cs="Arial"/>
        </w:rPr>
        <w:t xml:space="preserve"> </w:t>
      </w:r>
      <w:r w:rsidRPr="008832C8">
        <w:rPr>
          <w:rFonts w:ascii="Arial" w:hAnsi="Arial" w:cs="Arial"/>
        </w:rPr>
        <w:t>fatigue related crashes. The ability of the human driver to remain unfatigued, when not</w:t>
      </w:r>
      <w:r>
        <w:rPr>
          <w:rFonts w:ascii="Arial" w:hAnsi="Arial" w:cs="Arial"/>
        </w:rPr>
        <w:t xml:space="preserve"> </w:t>
      </w:r>
      <w:r w:rsidRPr="008832C8">
        <w:rPr>
          <w:rFonts w:ascii="Arial" w:hAnsi="Arial" w:cs="Arial"/>
        </w:rPr>
        <w:t>engaged with the driving task, has not been demonstrated.</w:t>
      </w:r>
    </w:p>
    <w:p w:rsidR="008A63A8" w:rsidRPr="008832C8" w:rsidRDefault="008A63A8" w:rsidP="008A63A8">
      <w:pPr>
        <w:suppressAutoHyphens/>
        <w:spacing w:after="0" w:line="240" w:lineRule="auto"/>
        <w:outlineLvl w:val="0"/>
        <w:rPr>
          <w:rFonts w:ascii="Arial" w:hAnsi="Arial" w:cs="Arial"/>
        </w:rPr>
      </w:pPr>
    </w:p>
    <w:p w:rsidR="008A63A8" w:rsidRPr="008832C8" w:rsidRDefault="008A63A8" w:rsidP="008A63A8">
      <w:pPr>
        <w:suppressAutoHyphens/>
        <w:spacing w:after="0" w:line="240" w:lineRule="auto"/>
        <w:outlineLvl w:val="0"/>
        <w:rPr>
          <w:rFonts w:ascii="Arial" w:hAnsi="Arial" w:cs="Arial"/>
        </w:rPr>
      </w:pPr>
      <w:r w:rsidRPr="008832C8">
        <w:rPr>
          <w:rFonts w:ascii="Arial" w:hAnsi="Arial" w:cs="Arial"/>
        </w:rPr>
        <w:t>There is already increasing concern in the community and industry about rising distraction</w:t>
      </w:r>
      <w:r>
        <w:rPr>
          <w:rFonts w:ascii="Arial" w:hAnsi="Arial" w:cs="Arial"/>
        </w:rPr>
        <w:t xml:space="preserve"> </w:t>
      </w:r>
      <w:r w:rsidRPr="008832C8">
        <w:rPr>
          <w:rFonts w:ascii="Arial" w:hAnsi="Arial" w:cs="Arial"/>
        </w:rPr>
        <w:t>for drivers and its ability to contribute to road crashes. It is extremely unlikely that human</w:t>
      </w:r>
      <w:r>
        <w:rPr>
          <w:rFonts w:ascii="Arial" w:hAnsi="Arial" w:cs="Arial"/>
        </w:rPr>
        <w:t xml:space="preserve"> </w:t>
      </w:r>
      <w:r w:rsidRPr="008832C8">
        <w:rPr>
          <w:rFonts w:ascii="Arial" w:hAnsi="Arial" w:cs="Arial"/>
        </w:rPr>
        <w:t>drivers would not face increased risks of distraction with a vehicle engaged in a conditional</w:t>
      </w:r>
      <w:r>
        <w:rPr>
          <w:rFonts w:ascii="Arial" w:hAnsi="Arial" w:cs="Arial"/>
        </w:rPr>
        <w:t xml:space="preserve"> </w:t>
      </w:r>
      <w:r w:rsidRPr="008832C8">
        <w:rPr>
          <w:rFonts w:ascii="Arial" w:hAnsi="Arial" w:cs="Arial"/>
        </w:rPr>
        <w:t>automated driving task, again limiting the ability of the human driver to assume proper</w:t>
      </w:r>
      <w:r>
        <w:rPr>
          <w:rFonts w:ascii="Arial" w:hAnsi="Arial" w:cs="Arial"/>
        </w:rPr>
        <w:t xml:space="preserve"> </w:t>
      </w:r>
      <w:r w:rsidRPr="008832C8">
        <w:rPr>
          <w:rFonts w:ascii="Arial" w:hAnsi="Arial" w:cs="Arial"/>
        </w:rPr>
        <w:t>control of the vehicle. For professional drivers, the prospect of reduced job interest and</w:t>
      </w:r>
      <w:r>
        <w:rPr>
          <w:rFonts w:ascii="Arial" w:hAnsi="Arial" w:cs="Arial"/>
        </w:rPr>
        <w:t xml:space="preserve"> </w:t>
      </w:r>
      <w:r w:rsidRPr="008832C8">
        <w:rPr>
          <w:rFonts w:ascii="Arial" w:hAnsi="Arial" w:cs="Arial"/>
        </w:rPr>
        <w:t>increased boredom whilst a vehicle is engaged in a conditional automation driving task also</w:t>
      </w:r>
      <w:r>
        <w:rPr>
          <w:rFonts w:ascii="Arial" w:hAnsi="Arial" w:cs="Arial"/>
        </w:rPr>
        <w:t xml:space="preserve"> </w:t>
      </w:r>
      <w:r w:rsidRPr="008832C8">
        <w:rPr>
          <w:rFonts w:ascii="Arial" w:hAnsi="Arial" w:cs="Arial"/>
        </w:rPr>
        <w:t>raises serious questions about distraction and possible increased risks of fatigue.</w:t>
      </w:r>
    </w:p>
    <w:p w:rsidR="008A63A8" w:rsidRPr="008832C8" w:rsidRDefault="008A63A8" w:rsidP="008A63A8">
      <w:pPr>
        <w:suppressAutoHyphens/>
        <w:spacing w:after="0" w:line="240" w:lineRule="auto"/>
        <w:outlineLvl w:val="0"/>
        <w:rPr>
          <w:rFonts w:ascii="Arial" w:hAnsi="Arial" w:cs="Arial"/>
        </w:rPr>
      </w:pPr>
    </w:p>
    <w:p w:rsidR="008A63A8" w:rsidRDefault="008A63A8" w:rsidP="008A63A8">
      <w:pPr>
        <w:suppressAutoHyphens/>
        <w:spacing w:after="0" w:line="240" w:lineRule="auto"/>
        <w:outlineLvl w:val="0"/>
        <w:rPr>
          <w:rFonts w:ascii="Arial" w:hAnsi="Arial" w:cs="Arial"/>
        </w:rPr>
      </w:pPr>
      <w:r w:rsidRPr="008832C8">
        <w:rPr>
          <w:rFonts w:ascii="Arial" w:hAnsi="Arial" w:cs="Arial"/>
        </w:rPr>
        <w:t>The ATA is also concerned about the potential loss of driving skills. The less a skill is utilised</w:t>
      </w:r>
      <w:r>
        <w:rPr>
          <w:rFonts w:ascii="Arial" w:hAnsi="Arial" w:cs="Arial"/>
        </w:rPr>
        <w:t xml:space="preserve"> </w:t>
      </w:r>
      <w:r w:rsidRPr="008832C8">
        <w:rPr>
          <w:rFonts w:ascii="Arial" w:hAnsi="Arial" w:cs="Arial"/>
        </w:rPr>
        <w:t>the more likely it is to disappear. There is a need to consider how to maintain driving skills,</w:t>
      </w:r>
      <w:r>
        <w:rPr>
          <w:rFonts w:ascii="Arial" w:hAnsi="Arial" w:cs="Arial"/>
        </w:rPr>
        <w:t xml:space="preserve"> </w:t>
      </w:r>
      <w:r w:rsidRPr="008832C8">
        <w:rPr>
          <w:rFonts w:ascii="Arial" w:hAnsi="Arial" w:cs="Arial"/>
        </w:rPr>
        <w:t>where human drivers remain ultimately in control of a vehicle, if conditional automation</w:t>
      </w:r>
      <w:r>
        <w:rPr>
          <w:rFonts w:ascii="Arial" w:hAnsi="Arial" w:cs="Arial"/>
        </w:rPr>
        <w:t xml:space="preserve"> </w:t>
      </w:r>
      <w:r w:rsidRPr="008832C8">
        <w:rPr>
          <w:rFonts w:ascii="Arial" w:hAnsi="Arial" w:cs="Arial"/>
        </w:rPr>
        <w:t>driving systems are likely to reduce the utilisation and practice of these skills. There are</w:t>
      </w:r>
      <w:r>
        <w:rPr>
          <w:rFonts w:ascii="Arial" w:hAnsi="Arial" w:cs="Arial"/>
        </w:rPr>
        <w:t xml:space="preserve"> </w:t>
      </w:r>
      <w:r w:rsidRPr="008832C8">
        <w:rPr>
          <w:rFonts w:ascii="Arial" w:hAnsi="Arial" w:cs="Arial"/>
        </w:rPr>
        <w:t>already significant concerns in the community, and amongst driving trainers and industry,</w:t>
      </w:r>
      <w:r>
        <w:rPr>
          <w:rFonts w:ascii="Arial" w:hAnsi="Arial" w:cs="Arial"/>
        </w:rPr>
        <w:t xml:space="preserve"> </w:t>
      </w:r>
      <w:r w:rsidRPr="008832C8">
        <w:rPr>
          <w:rFonts w:ascii="Arial" w:hAnsi="Arial" w:cs="Arial"/>
        </w:rPr>
        <w:t>about the loss of quality driving skills.</w:t>
      </w:r>
    </w:p>
    <w:p w:rsidR="00E706CB" w:rsidRDefault="00E706CB" w:rsidP="00E706CB">
      <w:pPr>
        <w:suppressAutoHyphens/>
        <w:spacing w:after="0" w:line="240" w:lineRule="auto"/>
        <w:outlineLvl w:val="0"/>
        <w:rPr>
          <w:rFonts w:ascii="Arial" w:eastAsia="Calibri" w:hAnsi="Arial" w:cs="Arial"/>
          <w:lang w:eastAsia="ar-SA"/>
        </w:rPr>
      </w:pPr>
    </w:p>
    <w:p w:rsidR="004011EB" w:rsidRDefault="004011EB" w:rsidP="00600F92">
      <w:pPr>
        <w:suppressAutoHyphens/>
        <w:spacing w:after="0" w:line="240" w:lineRule="auto"/>
        <w:outlineLvl w:val="0"/>
        <w:rPr>
          <w:rFonts w:ascii="Arial" w:eastAsia="Calibri" w:hAnsi="Arial" w:cs="Arial"/>
          <w:lang w:eastAsia="ar-SA"/>
        </w:rPr>
      </w:pPr>
    </w:p>
    <w:p w:rsidR="00E706CB" w:rsidRPr="003C6B1F" w:rsidRDefault="000225AF" w:rsidP="00600F92">
      <w:pPr>
        <w:suppressAutoHyphens/>
        <w:spacing w:after="0" w:line="240" w:lineRule="auto"/>
        <w:outlineLvl w:val="0"/>
        <w:rPr>
          <w:rFonts w:ascii="Arial" w:hAnsi="Arial" w:cs="Arial"/>
          <w:u w:val="single"/>
        </w:rPr>
      </w:pPr>
      <w:r>
        <w:rPr>
          <w:rFonts w:ascii="Arial" w:hAnsi="Arial" w:cs="Arial"/>
          <w:b/>
          <w:u w:val="single"/>
        </w:rPr>
        <w:t>Recommendation 16</w:t>
      </w:r>
    </w:p>
    <w:p w:rsidR="00D20197" w:rsidRPr="00BD000A" w:rsidRDefault="00E706CB" w:rsidP="00BD000A">
      <w:pPr>
        <w:suppressAutoHyphens/>
        <w:spacing w:after="0" w:line="240" w:lineRule="auto"/>
        <w:outlineLvl w:val="0"/>
        <w:rPr>
          <w:rFonts w:ascii="Arial" w:hAnsi="Arial" w:cs="Arial"/>
        </w:rPr>
      </w:pPr>
      <w:r>
        <w:rPr>
          <w:rFonts w:ascii="Arial" w:hAnsi="Arial" w:cs="Arial"/>
        </w:rPr>
        <w:t xml:space="preserve">Governments ensure that the introduction of automated vehicle technologies only occurs when they can deliver significantly safer outcomes for road users. </w:t>
      </w:r>
    </w:p>
    <w:p w:rsidR="00600F92" w:rsidRDefault="00600F92" w:rsidP="00600F92">
      <w:pPr>
        <w:suppressAutoHyphens/>
        <w:spacing w:after="0" w:line="240" w:lineRule="auto"/>
        <w:outlineLvl w:val="0"/>
        <w:rPr>
          <w:rFonts w:ascii="Arial" w:eastAsia="Calibri" w:hAnsi="Arial" w:cs="Arial"/>
          <w:lang w:eastAsia="ar-SA"/>
        </w:rPr>
      </w:pPr>
    </w:p>
    <w:p w:rsidR="00E706CB" w:rsidRPr="003C6B1F" w:rsidRDefault="00E706CB" w:rsidP="00600F92">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Education and safety communication</w:t>
      </w:r>
    </w:p>
    <w:p w:rsidR="00E706CB" w:rsidRPr="003C6B1F" w:rsidRDefault="00E706CB" w:rsidP="00E706CB">
      <w:pPr>
        <w:suppressAutoHyphens/>
        <w:spacing w:after="0" w:line="240" w:lineRule="auto"/>
        <w:outlineLvl w:val="0"/>
        <w:rPr>
          <w:rFonts w:ascii="Arial" w:eastAsia="Calibri" w:hAnsi="Arial" w:cs="Arial"/>
          <w:b/>
          <w:lang w:eastAsia="ar-SA"/>
        </w:rPr>
      </w:pPr>
    </w:p>
    <w:p w:rsidR="00B2294C" w:rsidRPr="00BE03A6" w:rsidRDefault="00B2294C" w:rsidP="00E706CB">
      <w:pPr>
        <w:suppressAutoHyphens/>
        <w:spacing w:after="0" w:line="240" w:lineRule="auto"/>
        <w:outlineLvl w:val="0"/>
        <w:rPr>
          <w:rStyle w:val="IntenseEmphasis"/>
          <w:i w:val="0"/>
        </w:rPr>
      </w:pPr>
      <w:r w:rsidRPr="00BE03A6">
        <w:rPr>
          <w:rStyle w:val="IntenseEmphasis"/>
          <w:i w:val="0"/>
        </w:rPr>
        <w:t>Education of light vehicle drivers</w:t>
      </w:r>
    </w:p>
    <w:p w:rsidR="00B2294C" w:rsidRDefault="00B2294C" w:rsidP="00E706CB">
      <w:pPr>
        <w:suppressAutoHyphens/>
        <w:spacing w:after="0" w:line="240" w:lineRule="auto"/>
        <w:outlineLvl w:val="0"/>
        <w:rPr>
          <w:rFonts w:ascii="Arial" w:eastAsia="Calibri" w:hAnsi="Arial" w:cs="Arial"/>
          <w:lang w:eastAsia="ar-SA"/>
        </w:rPr>
      </w:pPr>
    </w:p>
    <w:p w:rsidR="00B2294C" w:rsidRDefault="00B2294C" w:rsidP="00B2294C">
      <w:pPr>
        <w:suppressAutoHyphens/>
        <w:spacing w:after="0" w:line="240" w:lineRule="auto"/>
        <w:outlineLvl w:val="0"/>
        <w:rPr>
          <w:rFonts w:ascii="Arial" w:hAnsi="Arial" w:cs="Arial"/>
        </w:rPr>
      </w:pPr>
      <w:r>
        <w:rPr>
          <w:rFonts w:ascii="Arial" w:hAnsi="Arial" w:cs="Arial"/>
        </w:rPr>
        <w:t>Road safety statistics show that in over 80%</w:t>
      </w:r>
      <w:r>
        <w:rPr>
          <w:rStyle w:val="FootnoteReference"/>
          <w:rFonts w:ascii="Arial" w:hAnsi="Arial" w:cs="Arial"/>
        </w:rPr>
        <w:footnoteReference w:id="22"/>
      </w:r>
      <w:r>
        <w:rPr>
          <w:rFonts w:ascii="Arial" w:hAnsi="Arial" w:cs="Arial"/>
        </w:rPr>
        <w:t xml:space="preserve"> of fatal multi-vehicle crashes involving heavy vehicles the fault is not assigned to the heavy vehicle. Despite these statistics, l</w:t>
      </w:r>
      <w:r w:rsidRPr="00CD0E85">
        <w:rPr>
          <w:rFonts w:ascii="Arial" w:hAnsi="Arial" w:cs="Arial"/>
        </w:rPr>
        <w:t>earning to share the road with trucks is not a significant consideration in Australi</w:t>
      </w:r>
      <w:r>
        <w:rPr>
          <w:rFonts w:ascii="Arial" w:hAnsi="Arial" w:cs="Arial"/>
        </w:rPr>
        <w:t>an light vehicle driver education</w:t>
      </w:r>
      <w:r w:rsidRPr="00CD0E85">
        <w:rPr>
          <w:rFonts w:ascii="Arial" w:hAnsi="Arial" w:cs="Arial"/>
        </w:rPr>
        <w:t>.</w:t>
      </w:r>
    </w:p>
    <w:p w:rsidR="00B2294C" w:rsidRDefault="00B2294C" w:rsidP="00B2294C">
      <w:pPr>
        <w:suppressAutoHyphens/>
        <w:spacing w:after="0" w:line="240" w:lineRule="auto"/>
        <w:outlineLvl w:val="0"/>
        <w:rPr>
          <w:rFonts w:ascii="Arial" w:hAnsi="Arial" w:cs="Arial"/>
        </w:rPr>
      </w:pPr>
    </w:p>
    <w:p w:rsidR="00B2294C" w:rsidRPr="00A56D2A" w:rsidRDefault="0045459B" w:rsidP="00A56D2A">
      <w:pPr>
        <w:suppressAutoHyphens/>
        <w:spacing w:after="0" w:line="240" w:lineRule="auto"/>
        <w:outlineLvl w:val="0"/>
        <w:rPr>
          <w:rFonts w:ascii="Arial" w:hAnsi="Arial" w:cs="Arial"/>
        </w:rPr>
      </w:pPr>
      <w:r>
        <w:rPr>
          <w:rFonts w:ascii="Arial" w:hAnsi="Arial" w:cs="Arial"/>
        </w:rPr>
        <w:t>L</w:t>
      </w:r>
      <w:r w:rsidR="00B2294C">
        <w:rPr>
          <w:rFonts w:ascii="Arial" w:hAnsi="Arial" w:cs="Arial"/>
        </w:rPr>
        <w:t>earner information and test material currently available to learners that specifically relates to sharing the r</w:t>
      </w:r>
      <w:r w:rsidR="00A56D2A">
        <w:rPr>
          <w:rFonts w:ascii="Arial" w:hAnsi="Arial" w:cs="Arial"/>
        </w:rPr>
        <w:t xml:space="preserve">oad with heavy vehicles. In NSW for example </w:t>
      </w:r>
      <w:r w:rsidR="00B2294C" w:rsidRPr="00A56D2A">
        <w:rPr>
          <w:rFonts w:ascii="Arial" w:hAnsi="Arial" w:cs="Arial"/>
        </w:rPr>
        <w:t xml:space="preserve">RMS </w:t>
      </w:r>
      <w:r w:rsidR="00A56D2A">
        <w:rPr>
          <w:rFonts w:ascii="Arial" w:hAnsi="Arial" w:cs="Arial"/>
        </w:rPr>
        <w:t xml:space="preserve">the </w:t>
      </w:r>
      <w:r w:rsidR="00B2294C" w:rsidRPr="00A56D2A">
        <w:rPr>
          <w:rFonts w:ascii="Arial" w:hAnsi="Arial" w:cs="Arial"/>
        </w:rPr>
        <w:t>Road user’s handbook</w:t>
      </w:r>
      <w:r w:rsidR="00B2294C">
        <w:rPr>
          <w:rStyle w:val="FootnoteReference"/>
          <w:rFonts w:ascii="Arial" w:hAnsi="Arial" w:cs="Arial"/>
        </w:rPr>
        <w:footnoteReference w:id="23"/>
      </w:r>
      <w:r w:rsidR="00B2294C" w:rsidRPr="00A56D2A">
        <w:rPr>
          <w:rFonts w:ascii="Arial" w:hAnsi="Arial" w:cs="Arial"/>
        </w:rPr>
        <w:t xml:space="preserve"> includes a section titled “Sharing the road with trucks and buses” (58), which outlines a number of safety points including heavy vehicle stopping distances, the extra lane width required through roundabouts and diagram explaining the sign “Do not overtake turning vehicle.”</w:t>
      </w:r>
    </w:p>
    <w:p w:rsidR="00A56D2A" w:rsidRDefault="00A56D2A" w:rsidP="00A56D2A">
      <w:pPr>
        <w:autoSpaceDE w:val="0"/>
        <w:autoSpaceDN w:val="0"/>
        <w:adjustRightInd w:val="0"/>
        <w:spacing w:after="0" w:line="240" w:lineRule="auto"/>
        <w:rPr>
          <w:rFonts w:ascii="Arial" w:hAnsi="Arial" w:cs="Arial"/>
        </w:rPr>
      </w:pPr>
    </w:p>
    <w:p w:rsidR="0045459B" w:rsidRPr="00A56D2A" w:rsidRDefault="0045459B" w:rsidP="00A56D2A">
      <w:pPr>
        <w:autoSpaceDE w:val="0"/>
        <w:autoSpaceDN w:val="0"/>
        <w:adjustRightInd w:val="0"/>
        <w:spacing w:after="0" w:line="240" w:lineRule="auto"/>
        <w:rPr>
          <w:rFonts w:ascii="Arial" w:hAnsi="Arial" w:cs="Arial"/>
        </w:rPr>
      </w:pPr>
      <w:r w:rsidRPr="00A56D2A">
        <w:rPr>
          <w:rFonts w:ascii="Arial" w:hAnsi="Arial" w:cs="Arial"/>
        </w:rPr>
        <w:t>VicRoads provides a Learner driver handbook</w:t>
      </w:r>
      <w:r>
        <w:rPr>
          <w:rStyle w:val="FootnoteReference"/>
          <w:rFonts w:ascii="Arial" w:hAnsi="Arial" w:cs="Arial"/>
        </w:rPr>
        <w:footnoteReference w:id="24"/>
      </w:r>
      <w:r w:rsidRPr="00A56D2A">
        <w:rPr>
          <w:rFonts w:ascii="Arial" w:hAnsi="Arial" w:cs="Arial"/>
          <w:sz w:val="14"/>
          <w:szCs w:val="14"/>
        </w:rPr>
        <w:t xml:space="preserve"> </w:t>
      </w:r>
      <w:r w:rsidRPr="00A56D2A">
        <w:rPr>
          <w:rFonts w:ascii="Arial" w:hAnsi="Arial" w:cs="Arial"/>
        </w:rPr>
        <w:t>which provides drivers with safety information regarding heavy vehicle blind spots, stopping distance, oversize vehicles. It explains the “Do not overtake turning vehicle” sign but does not use appropriate diagrams. It does not explain the danger of failing to heed this rule.</w:t>
      </w:r>
    </w:p>
    <w:p w:rsidR="00A56D2A" w:rsidRDefault="00A56D2A" w:rsidP="0045459B">
      <w:pPr>
        <w:autoSpaceDE w:val="0"/>
        <w:autoSpaceDN w:val="0"/>
        <w:adjustRightInd w:val="0"/>
        <w:spacing w:after="0" w:line="240" w:lineRule="auto"/>
        <w:rPr>
          <w:rFonts w:ascii="Arial" w:hAnsi="Arial" w:cs="Arial"/>
        </w:rPr>
      </w:pPr>
    </w:p>
    <w:p w:rsidR="0045459B" w:rsidRPr="00A56D2A" w:rsidRDefault="0045459B" w:rsidP="00A56D2A">
      <w:pPr>
        <w:autoSpaceDE w:val="0"/>
        <w:autoSpaceDN w:val="0"/>
        <w:adjustRightInd w:val="0"/>
        <w:spacing w:after="0" w:line="240" w:lineRule="auto"/>
        <w:rPr>
          <w:rFonts w:ascii="Arial" w:hAnsi="Arial" w:cs="Arial"/>
        </w:rPr>
      </w:pPr>
      <w:r w:rsidRPr="00A56D2A">
        <w:rPr>
          <w:rFonts w:ascii="Arial" w:hAnsi="Arial" w:cs="Arial"/>
        </w:rPr>
        <w:lastRenderedPageBreak/>
        <w:t>The Queensland Government publishes a “Driver Handbook”</w:t>
      </w:r>
      <w:r>
        <w:rPr>
          <w:rStyle w:val="FootnoteReference"/>
          <w:rFonts w:ascii="Arial" w:hAnsi="Arial" w:cs="Arial"/>
        </w:rPr>
        <w:footnoteReference w:id="25"/>
      </w:r>
      <w:r w:rsidRPr="00A56D2A">
        <w:rPr>
          <w:rFonts w:ascii="Arial" w:hAnsi="Arial" w:cs="Arial"/>
          <w:sz w:val="14"/>
          <w:szCs w:val="14"/>
        </w:rPr>
        <w:t xml:space="preserve"> </w:t>
      </w:r>
      <w:r w:rsidRPr="00A56D2A">
        <w:rPr>
          <w:rFonts w:ascii="Arial" w:hAnsi="Arial" w:cs="Arial"/>
        </w:rPr>
        <w:t>that briefly covers safe following distances, overtaking, and additionally displays a diagram explaining the “Do not overtake turning vehicle” sign.</w:t>
      </w:r>
      <w:r w:rsidR="00A56D2A">
        <w:rPr>
          <w:rFonts w:ascii="Arial" w:hAnsi="Arial" w:cs="Arial"/>
        </w:rPr>
        <w:t xml:space="preserve"> Further examples can be found at </w:t>
      </w:r>
      <w:r w:rsidR="00A56D2A" w:rsidRPr="00A56D2A">
        <w:rPr>
          <w:rFonts w:ascii="Arial" w:hAnsi="Arial" w:cs="Arial"/>
          <w:i/>
        </w:rPr>
        <w:t>Appendix 1.</w:t>
      </w:r>
    </w:p>
    <w:p w:rsidR="00B2294C" w:rsidRDefault="00B2294C" w:rsidP="00B2294C">
      <w:pPr>
        <w:suppressAutoHyphens/>
        <w:spacing w:after="0" w:line="240" w:lineRule="auto"/>
        <w:outlineLvl w:val="0"/>
        <w:rPr>
          <w:rFonts w:ascii="Arial" w:hAnsi="Arial" w:cs="Arial"/>
        </w:rPr>
      </w:pPr>
    </w:p>
    <w:p w:rsidR="00B2294C" w:rsidRPr="001937BD" w:rsidRDefault="00B2294C" w:rsidP="00B2294C">
      <w:pPr>
        <w:autoSpaceDE w:val="0"/>
        <w:autoSpaceDN w:val="0"/>
        <w:adjustRightInd w:val="0"/>
        <w:spacing w:after="0" w:line="240" w:lineRule="auto"/>
        <w:rPr>
          <w:rFonts w:ascii="Arial" w:hAnsi="Arial" w:cs="Arial"/>
        </w:rPr>
      </w:pPr>
      <w:r w:rsidRPr="001937BD">
        <w:rPr>
          <w:rFonts w:ascii="Arial" w:hAnsi="Arial" w:cs="Arial"/>
        </w:rPr>
        <w:t xml:space="preserve">In 2014, the US National Surface Transportation Safety </w:t>
      </w:r>
      <w:proofErr w:type="spellStart"/>
      <w:r w:rsidRPr="001937BD">
        <w:rPr>
          <w:rFonts w:ascii="Arial" w:hAnsi="Arial" w:cs="Arial"/>
        </w:rPr>
        <w:t>Center</w:t>
      </w:r>
      <w:proofErr w:type="spellEnd"/>
      <w:r w:rsidRPr="001937BD">
        <w:rPr>
          <w:rFonts w:ascii="Arial" w:hAnsi="Arial" w:cs="Arial"/>
        </w:rPr>
        <w:t xml:space="preserve"> for Excellence (NSTSCE)</w:t>
      </w:r>
      <w:r>
        <w:rPr>
          <w:rFonts w:ascii="Arial" w:hAnsi="Arial" w:cs="Arial"/>
        </w:rPr>
        <w:t xml:space="preserve"> project evaluated light vehicle driver education programs </w:t>
      </w:r>
      <w:r w:rsidRPr="001937BD">
        <w:rPr>
          <w:rFonts w:ascii="Arial" w:hAnsi="Arial" w:cs="Arial"/>
        </w:rPr>
        <w:t>targeting sharing the road with heavy vehicles.</w:t>
      </w:r>
      <w:r w:rsidRPr="001937BD">
        <w:rPr>
          <w:rStyle w:val="FootnoteReference"/>
          <w:rFonts w:ascii="Arial" w:hAnsi="Arial" w:cs="Arial"/>
        </w:rPr>
        <w:footnoteReference w:id="26"/>
      </w:r>
    </w:p>
    <w:p w:rsidR="00B2294C" w:rsidRPr="001937BD" w:rsidRDefault="00B2294C" w:rsidP="00B2294C">
      <w:pPr>
        <w:autoSpaceDE w:val="0"/>
        <w:autoSpaceDN w:val="0"/>
        <w:adjustRightInd w:val="0"/>
        <w:spacing w:after="0" w:line="240" w:lineRule="auto"/>
        <w:rPr>
          <w:rFonts w:ascii="Arial" w:hAnsi="Arial" w:cs="Arial"/>
        </w:rPr>
      </w:pPr>
    </w:p>
    <w:p w:rsidR="00B2294C" w:rsidRDefault="00B2294C" w:rsidP="00B2294C">
      <w:pPr>
        <w:autoSpaceDE w:val="0"/>
        <w:autoSpaceDN w:val="0"/>
        <w:adjustRightInd w:val="0"/>
        <w:spacing w:after="0" w:line="240" w:lineRule="auto"/>
        <w:rPr>
          <w:rFonts w:ascii="Arial" w:hAnsi="Arial" w:cs="Arial"/>
        </w:rPr>
      </w:pPr>
      <w:r w:rsidRPr="001937BD">
        <w:rPr>
          <w:rFonts w:ascii="Arial" w:hAnsi="Arial" w:cs="Arial"/>
        </w:rPr>
        <w:t>The researchers compared the effectiveness of training based on textbooks with the effectiveness of textbook training plus two extra components: an instructional DVD and a hands-on truck experience program. The truck experience program used in the research was comparable to a Volvo ATA Safety Truck secondary school presentation: students were allowed to sit in the cab of the truck, walk around it and learn five sharing the road tips.</w:t>
      </w:r>
    </w:p>
    <w:p w:rsidR="00B2294C" w:rsidRPr="001937BD" w:rsidRDefault="00B2294C" w:rsidP="00B2294C">
      <w:pPr>
        <w:autoSpaceDE w:val="0"/>
        <w:autoSpaceDN w:val="0"/>
        <w:adjustRightInd w:val="0"/>
        <w:spacing w:after="0" w:line="240" w:lineRule="auto"/>
        <w:rPr>
          <w:rFonts w:ascii="Arial" w:hAnsi="Arial" w:cs="Arial"/>
        </w:rPr>
      </w:pPr>
    </w:p>
    <w:p w:rsidR="00B2294C" w:rsidRDefault="00B2294C" w:rsidP="00B2294C">
      <w:pPr>
        <w:autoSpaceDE w:val="0"/>
        <w:autoSpaceDN w:val="0"/>
        <w:adjustRightInd w:val="0"/>
        <w:spacing w:after="0" w:line="240" w:lineRule="auto"/>
        <w:rPr>
          <w:rFonts w:ascii="Arial" w:hAnsi="Arial" w:cs="Arial"/>
        </w:rPr>
      </w:pPr>
      <w:r w:rsidRPr="001937BD">
        <w:rPr>
          <w:rFonts w:ascii="Arial" w:hAnsi="Arial" w:cs="Arial"/>
        </w:rPr>
        <w:t>Students who participated in the truck experience program showed a statistically significant improvement in their recall of the safe no-zone distance ahead of trucks.</w:t>
      </w:r>
    </w:p>
    <w:p w:rsidR="00B2294C" w:rsidRPr="001937BD" w:rsidRDefault="00B2294C" w:rsidP="00B2294C">
      <w:pPr>
        <w:autoSpaceDE w:val="0"/>
        <w:autoSpaceDN w:val="0"/>
        <w:adjustRightInd w:val="0"/>
        <w:spacing w:after="0" w:line="240" w:lineRule="auto"/>
        <w:rPr>
          <w:rFonts w:ascii="Arial" w:hAnsi="Arial" w:cs="Arial"/>
        </w:rPr>
      </w:pPr>
    </w:p>
    <w:p w:rsidR="00B2294C" w:rsidRDefault="00B2294C" w:rsidP="00B2294C">
      <w:pPr>
        <w:autoSpaceDE w:val="0"/>
        <w:autoSpaceDN w:val="0"/>
        <w:adjustRightInd w:val="0"/>
        <w:spacing w:after="0" w:line="240" w:lineRule="auto"/>
        <w:rPr>
          <w:rFonts w:ascii="Arial" w:hAnsi="Arial" w:cs="Arial"/>
        </w:rPr>
      </w:pPr>
      <w:r w:rsidRPr="001937BD">
        <w:rPr>
          <w:rFonts w:ascii="Arial" w:hAnsi="Arial" w:cs="Arial"/>
        </w:rPr>
        <w:t>A 2011 meta-analysis of 67 road safety campaign evaluation studies concluded that including personal communication in a campaign resulted in a six percentage point improvement – from 10 per cent to 16 per cent – in the reduction in accidents associated with the campaign.</w:t>
      </w:r>
      <w:r w:rsidRPr="001937BD">
        <w:rPr>
          <w:rStyle w:val="FootnoteReference"/>
          <w:rFonts w:ascii="Arial" w:hAnsi="Arial" w:cs="Arial"/>
        </w:rPr>
        <w:footnoteReference w:id="27"/>
      </w:r>
    </w:p>
    <w:p w:rsidR="00B2294C" w:rsidRPr="001937BD" w:rsidRDefault="00B2294C" w:rsidP="00B2294C">
      <w:pPr>
        <w:autoSpaceDE w:val="0"/>
        <w:autoSpaceDN w:val="0"/>
        <w:adjustRightInd w:val="0"/>
        <w:spacing w:after="0" w:line="240" w:lineRule="auto"/>
        <w:rPr>
          <w:rFonts w:ascii="Arial" w:hAnsi="Arial" w:cs="Arial"/>
        </w:rPr>
      </w:pPr>
    </w:p>
    <w:p w:rsidR="00B2294C" w:rsidRPr="001937BD" w:rsidRDefault="00B2294C" w:rsidP="00B2294C">
      <w:pPr>
        <w:autoSpaceDE w:val="0"/>
        <w:autoSpaceDN w:val="0"/>
        <w:adjustRightInd w:val="0"/>
        <w:spacing w:after="0" w:line="240" w:lineRule="auto"/>
        <w:rPr>
          <w:rFonts w:ascii="Arial" w:hAnsi="Arial" w:cs="Arial"/>
        </w:rPr>
      </w:pPr>
      <w:r w:rsidRPr="001937BD">
        <w:rPr>
          <w:rFonts w:ascii="Arial" w:hAnsi="Arial" w:cs="Arial"/>
        </w:rPr>
        <w:t>The meta-analysis defined personal communication as lessons or seminars delivered in</w:t>
      </w:r>
    </w:p>
    <w:p w:rsidR="00B2294C" w:rsidRPr="001937BD" w:rsidRDefault="00B2294C" w:rsidP="00B2294C">
      <w:pPr>
        <w:autoSpaceDE w:val="0"/>
        <w:autoSpaceDN w:val="0"/>
        <w:adjustRightInd w:val="0"/>
        <w:spacing w:after="0" w:line="240" w:lineRule="auto"/>
        <w:rPr>
          <w:rFonts w:ascii="Arial" w:hAnsi="Arial" w:cs="Arial"/>
        </w:rPr>
      </w:pPr>
      <w:proofErr w:type="gramStart"/>
      <w:r w:rsidRPr="001937BD">
        <w:rPr>
          <w:rFonts w:ascii="Arial" w:hAnsi="Arial" w:cs="Arial"/>
        </w:rPr>
        <w:t>person</w:t>
      </w:r>
      <w:proofErr w:type="gramEnd"/>
      <w:r w:rsidRPr="001937BD">
        <w:rPr>
          <w:rFonts w:ascii="Arial" w:hAnsi="Arial" w:cs="Arial"/>
        </w:rPr>
        <w:t>, two-way discussions with a teacher, peer, safety expert or distributor of campaign</w:t>
      </w:r>
    </w:p>
    <w:p w:rsidR="00B2294C" w:rsidRPr="001937BD" w:rsidRDefault="00B2294C" w:rsidP="00B2294C">
      <w:pPr>
        <w:autoSpaceDE w:val="0"/>
        <w:autoSpaceDN w:val="0"/>
        <w:adjustRightInd w:val="0"/>
        <w:spacing w:after="0" w:line="240" w:lineRule="auto"/>
        <w:rPr>
          <w:rFonts w:ascii="Arial" w:hAnsi="Arial" w:cs="Arial"/>
        </w:rPr>
      </w:pPr>
      <w:proofErr w:type="gramStart"/>
      <w:r w:rsidRPr="001937BD">
        <w:rPr>
          <w:rFonts w:ascii="Arial" w:hAnsi="Arial" w:cs="Arial"/>
        </w:rPr>
        <w:t>media</w:t>
      </w:r>
      <w:proofErr w:type="gramEnd"/>
      <w:r w:rsidRPr="001937BD">
        <w:rPr>
          <w:rFonts w:ascii="Arial" w:hAnsi="Arial" w:cs="Arial"/>
        </w:rPr>
        <w:t>, group discussions or personally addressed letters.</w:t>
      </w:r>
    </w:p>
    <w:p w:rsidR="00B2294C" w:rsidRDefault="00B2294C" w:rsidP="00B2294C">
      <w:pPr>
        <w:suppressAutoHyphens/>
        <w:spacing w:after="0" w:line="240" w:lineRule="auto"/>
        <w:outlineLvl w:val="0"/>
        <w:rPr>
          <w:rFonts w:ascii="Arial" w:hAnsi="Arial" w:cs="Arial"/>
        </w:rPr>
      </w:pPr>
    </w:p>
    <w:p w:rsidR="00B2294C" w:rsidRDefault="00B2294C" w:rsidP="00B2294C">
      <w:pPr>
        <w:suppressAutoHyphens/>
        <w:spacing w:after="0" w:line="240" w:lineRule="auto"/>
        <w:outlineLvl w:val="0"/>
        <w:rPr>
          <w:rFonts w:ascii="Arial" w:hAnsi="Arial" w:cs="Arial"/>
        </w:rPr>
      </w:pPr>
      <w:r>
        <w:rPr>
          <w:rFonts w:ascii="Arial" w:eastAsia="Times New Roman" w:hAnsi="Arial" w:cs="Arial"/>
          <w:bCs/>
        </w:rPr>
        <w:t>This research supports that road safety gains can be achieved through the delivery of targeted, well designed educational and behavioural change projects. Education and information about how to share the road safely with trucks must be a funding priority for governments, particularly as young drivers enter the licensing system.</w:t>
      </w:r>
    </w:p>
    <w:p w:rsidR="00E706CB" w:rsidRDefault="00E706CB" w:rsidP="00E706CB">
      <w:pPr>
        <w:suppressAutoHyphens/>
        <w:spacing w:after="0" w:line="240" w:lineRule="auto"/>
        <w:outlineLvl w:val="0"/>
        <w:rPr>
          <w:rFonts w:ascii="Arial" w:eastAsia="Calibri" w:hAnsi="Arial" w:cs="Arial"/>
          <w:lang w:eastAsia="ar-SA"/>
        </w:rPr>
      </w:pPr>
    </w:p>
    <w:p w:rsidR="00E706CB" w:rsidRDefault="00E706CB" w:rsidP="00E706CB">
      <w:pPr>
        <w:suppressAutoHyphens/>
        <w:spacing w:after="0" w:line="240" w:lineRule="auto"/>
        <w:outlineLvl w:val="0"/>
        <w:rPr>
          <w:rFonts w:ascii="Arial" w:eastAsia="Calibri" w:hAnsi="Arial" w:cs="Arial"/>
          <w:lang w:eastAsia="ar-SA"/>
        </w:rPr>
      </w:pPr>
    </w:p>
    <w:p w:rsidR="00E706CB" w:rsidRPr="003C6B1F" w:rsidRDefault="002057BF" w:rsidP="00E706CB">
      <w:pPr>
        <w:suppressAutoHyphens/>
        <w:spacing w:after="0" w:line="240" w:lineRule="auto"/>
        <w:outlineLvl w:val="0"/>
        <w:rPr>
          <w:rFonts w:ascii="Arial" w:hAnsi="Arial" w:cs="Arial"/>
          <w:b/>
          <w:u w:val="single"/>
        </w:rPr>
      </w:pPr>
      <w:r>
        <w:rPr>
          <w:rFonts w:ascii="Arial" w:hAnsi="Arial" w:cs="Arial"/>
          <w:b/>
          <w:u w:val="single"/>
        </w:rPr>
        <w:t>Re</w:t>
      </w:r>
      <w:r w:rsidR="000225AF">
        <w:rPr>
          <w:rFonts w:ascii="Arial" w:hAnsi="Arial" w:cs="Arial"/>
          <w:b/>
          <w:u w:val="single"/>
        </w:rPr>
        <w:t>commendation 17</w:t>
      </w:r>
    </w:p>
    <w:p w:rsidR="00E706CB" w:rsidRDefault="00E706CB" w:rsidP="00E706CB">
      <w:pPr>
        <w:suppressAutoHyphens/>
        <w:spacing w:after="0" w:line="240" w:lineRule="auto"/>
        <w:outlineLvl w:val="0"/>
        <w:rPr>
          <w:rFonts w:ascii="Arial" w:hAnsi="Arial" w:cs="Arial"/>
        </w:rPr>
      </w:pPr>
      <w:r>
        <w:rPr>
          <w:rFonts w:ascii="Arial" w:hAnsi="Arial" w:cs="Arial"/>
        </w:rPr>
        <w:t>Government</w:t>
      </w:r>
      <w:r w:rsidRPr="00510BF9">
        <w:rPr>
          <w:rFonts w:ascii="Arial" w:hAnsi="Arial" w:cs="Arial"/>
        </w:rPr>
        <w:t xml:space="preserve"> ensure improved education of learner drivers on how to safely share the road with heavy vehicles.</w:t>
      </w:r>
    </w:p>
    <w:p w:rsidR="00E706CB" w:rsidRPr="00510BF9" w:rsidRDefault="00E706CB" w:rsidP="00E706CB">
      <w:pPr>
        <w:suppressAutoHyphens/>
        <w:spacing w:after="0" w:line="240" w:lineRule="auto"/>
        <w:outlineLvl w:val="0"/>
        <w:rPr>
          <w:rFonts w:ascii="Arial" w:hAnsi="Arial" w:cs="Arial"/>
        </w:rPr>
      </w:pPr>
    </w:p>
    <w:p w:rsidR="00E706CB" w:rsidRPr="003C6B1F" w:rsidRDefault="000225AF" w:rsidP="00E706CB">
      <w:pPr>
        <w:suppressAutoHyphens/>
        <w:spacing w:after="0" w:line="240" w:lineRule="auto"/>
        <w:outlineLvl w:val="0"/>
        <w:rPr>
          <w:rFonts w:ascii="Arial" w:hAnsi="Arial" w:cs="Arial"/>
          <w:u w:val="single"/>
        </w:rPr>
      </w:pPr>
      <w:r>
        <w:rPr>
          <w:rFonts w:ascii="Arial" w:hAnsi="Arial" w:cs="Arial"/>
          <w:b/>
          <w:u w:val="single"/>
        </w:rPr>
        <w:t>Recommendation 18</w:t>
      </w:r>
    </w:p>
    <w:p w:rsidR="00E706CB" w:rsidRPr="00510BF9" w:rsidRDefault="00E706CB" w:rsidP="00E706CB">
      <w:pPr>
        <w:suppressAutoHyphens/>
        <w:spacing w:line="240" w:lineRule="auto"/>
        <w:outlineLvl w:val="0"/>
        <w:rPr>
          <w:rFonts w:ascii="Arial" w:hAnsi="Arial" w:cs="Arial"/>
        </w:rPr>
      </w:pPr>
      <w:r w:rsidRPr="00510BF9">
        <w:rPr>
          <w:rFonts w:ascii="Arial" w:hAnsi="Arial" w:cs="Arial"/>
        </w:rPr>
        <w:t>Government</w:t>
      </w:r>
      <w:r>
        <w:rPr>
          <w:rFonts w:ascii="Arial" w:hAnsi="Arial" w:cs="Arial"/>
        </w:rPr>
        <w:t xml:space="preserve">s </w:t>
      </w:r>
      <w:r w:rsidRPr="00510BF9">
        <w:rPr>
          <w:rFonts w:ascii="Arial" w:hAnsi="Arial" w:cs="Arial"/>
        </w:rPr>
        <w:t xml:space="preserve">invest in well targeted communication campaigns on how to share the road safely with trucks. </w:t>
      </w:r>
    </w:p>
    <w:p w:rsidR="00E706CB" w:rsidRPr="00E706CB" w:rsidRDefault="00E706CB" w:rsidP="00E706CB">
      <w:pPr>
        <w:suppressAutoHyphens/>
        <w:spacing w:after="0" w:line="240" w:lineRule="auto"/>
        <w:outlineLvl w:val="0"/>
        <w:rPr>
          <w:rFonts w:ascii="Arial" w:eastAsia="Calibri" w:hAnsi="Arial" w:cs="Arial"/>
          <w:lang w:eastAsia="ar-SA"/>
        </w:rPr>
      </w:pPr>
    </w:p>
    <w:p w:rsidR="004011EB" w:rsidRDefault="004011EB" w:rsidP="00707722">
      <w:pPr>
        <w:suppressAutoHyphens/>
        <w:spacing w:after="0" w:line="240" w:lineRule="auto"/>
        <w:outlineLvl w:val="0"/>
        <w:rPr>
          <w:rFonts w:ascii="Arial" w:eastAsia="Calibri" w:hAnsi="Arial" w:cs="Arial"/>
          <w:lang w:eastAsia="ar-SA"/>
        </w:rPr>
      </w:pPr>
    </w:p>
    <w:p w:rsidR="00E706CB" w:rsidRPr="003C6B1F" w:rsidRDefault="00E706CB" w:rsidP="00BE03A6">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Quality driver training and assessment</w:t>
      </w:r>
    </w:p>
    <w:p w:rsidR="00B2294C" w:rsidRPr="003C6B1F" w:rsidRDefault="00B2294C" w:rsidP="00B2294C">
      <w:pPr>
        <w:suppressAutoHyphens/>
        <w:spacing w:after="0" w:line="240" w:lineRule="auto"/>
        <w:outlineLvl w:val="0"/>
        <w:rPr>
          <w:rFonts w:ascii="Arial" w:eastAsia="Calibri" w:hAnsi="Arial" w:cs="Arial"/>
          <w:b/>
          <w:i/>
          <w:lang w:eastAsia="ar-SA"/>
        </w:rPr>
      </w:pPr>
    </w:p>
    <w:p w:rsidR="00B2294C" w:rsidRPr="003A4D15" w:rsidRDefault="00B2294C" w:rsidP="00B2294C">
      <w:pPr>
        <w:pStyle w:val="Default"/>
        <w:rPr>
          <w:sz w:val="22"/>
          <w:szCs w:val="22"/>
        </w:rPr>
      </w:pPr>
      <w:r>
        <w:rPr>
          <w:sz w:val="22"/>
          <w:szCs w:val="22"/>
        </w:rPr>
        <w:t>T</w:t>
      </w:r>
      <w:r w:rsidRPr="003A4D15">
        <w:rPr>
          <w:sz w:val="22"/>
          <w:szCs w:val="22"/>
        </w:rPr>
        <w:t xml:space="preserve">he quality and consistency of driver training and assessment is of vital safety importance for the </w:t>
      </w:r>
      <w:r>
        <w:rPr>
          <w:sz w:val="22"/>
          <w:szCs w:val="22"/>
        </w:rPr>
        <w:t xml:space="preserve">heavy vehicle </w:t>
      </w:r>
      <w:r w:rsidRPr="003A4D15">
        <w:rPr>
          <w:sz w:val="22"/>
          <w:szCs w:val="22"/>
        </w:rPr>
        <w:t>industry.</w:t>
      </w:r>
      <w:r>
        <w:rPr>
          <w:sz w:val="22"/>
          <w:szCs w:val="22"/>
        </w:rPr>
        <w:t xml:space="preserve"> </w:t>
      </w:r>
    </w:p>
    <w:p w:rsidR="00B2294C" w:rsidRPr="003A4D15" w:rsidRDefault="00B2294C" w:rsidP="00B2294C">
      <w:pPr>
        <w:shd w:val="clear" w:color="auto" w:fill="FFFFFF"/>
        <w:spacing w:after="0" w:line="240" w:lineRule="auto"/>
        <w:rPr>
          <w:rFonts w:ascii="Arial" w:hAnsi="Arial" w:cs="Arial"/>
        </w:rPr>
      </w:pPr>
    </w:p>
    <w:p w:rsidR="00B2294C" w:rsidRPr="003A4D15" w:rsidRDefault="00B2294C" w:rsidP="00B2294C">
      <w:pPr>
        <w:shd w:val="clear" w:color="auto" w:fill="FFFFFF"/>
        <w:spacing w:after="0" w:line="240" w:lineRule="auto"/>
        <w:rPr>
          <w:rFonts w:ascii="Arial" w:hAnsi="Arial" w:cs="Arial"/>
        </w:rPr>
      </w:pPr>
      <w:r w:rsidRPr="003A4D15">
        <w:rPr>
          <w:rFonts w:ascii="Arial" w:hAnsi="Arial" w:cs="Arial"/>
        </w:rPr>
        <w:lastRenderedPageBreak/>
        <w:t xml:space="preserve">Whilst there are many excellent trainers, some train to a price and can be more focused on how long a course will take, and not on the level of competency attained. This contributes to a highly variable quality of training and assessment of truck drivers. </w:t>
      </w:r>
    </w:p>
    <w:p w:rsidR="00B2294C" w:rsidRPr="003A4D15" w:rsidRDefault="00B2294C" w:rsidP="00B2294C">
      <w:pPr>
        <w:shd w:val="clear" w:color="auto" w:fill="FFFFFF"/>
        <w:spacing w:after="0" w:line="240" w:lineRule="auto"/>
        <w:rPr>
          <w:rFonts w:ascii="Arial" w:hAnsi="Arial" w:cs="Arial"/>
        </w:rPr>
      </w:pPr>
    </w:p>
    <w:p w:rsidR="00B2294C" w:rsidRPr="003A4D15" w:rsidRDefault="00B2294C" w:rsidP="00B2294C">
      <w:pPr>
        <w:shd w:val="clear" w:color="auto" w:fill="FFFFFF"/>
        <w:spacing w:after="0" w:line="240" w:lineRule="auto"/>
        <w:rPr>
          <w:rFonts w:ascii="Arial" w:hAnsi="Arial" w:cs="Arial"/>
        </w:rPr>
      </w:pPr>
      <w:r w:rsidRPr="003A4D15">
        <w:rPr>
          <w:rFonts w:ascii="Arial" w:hAnsi="Arial" w:cs="Arial"/>
        </w:rPr>
        <w:t xml:space="preserve">Training needs to incorporate not only the skills that relate to the driving task but the non-driving tasks as well particularly knowledge and skills relating to chain of responsibility, load restraint, fatigue management and work health and safety and use of new vehicle safety technologies. </w:t>
      </w:r>
    </w:p>
    <w:p w:rsidR="00B2294C" w:rsidRPr="003A4D15" w:rsidRDefault="00B2294C" w:rsidP="00B2294C">
      <w:pPr>
        <w:shd w:val="clear" w:color="auto" w:fill="FFFFFF"/>
        <w:spacing w:after="0" w:line="240" w:lineRule="auto"/>
        <w:rPr>
          <w:rFonts w:ascii="Arial" w:hAnsi="Arial" w:cs="Arial"/>
        </w:rPr>
      </w:pPr>
    </w:p>
    <w:p w:rsidR="00B2294C" w:rsidRPr="003A4D15" w:rsidRDefault="00B2294C" w:rsidP="00B2294C">
      <w:pPr>
        <w:shd w:val="clear" w:color="auto" w:fill="FFFFFF"/>
        <w:spacing w:after="0" w:line="240" w:lineRule="auto"/>
        <w:rPr>
          <w:rFonts w:ascii="Arial" w:hAnsi="Arial" w:cs="Arial"/>
        </w:rPr>
      </w:pPr>
      <w:proofErr w:type="spellStart"/>
      <w:r w:rsidRPr="003A4D15">
        <w:rPr>
          <w:rFonts w:ascii="Arial" w:hAnsi="Arial" w:cs="Arial"/>
        </w:rPr>
        <w:t>Austroads</w:t>
      </w:r>
      <w:proofErr w:type="spellEnd"/>
      <w:r w:rsidRPr="003A4D15">
        <w:rPr>
          <w:rFonts w:ascii="Arial" w:hAnsi="Arial" w:cs="Arial"/>
        </w:rPr>
        <w:t xml:space="preserve"> have </w:t>
      </w:r>
      <w:r>
        <w:rPr>
          <w:rFonts w:ascii="Arial" w:hAnsi="Arial" w:cs="Arial"/>
        </w:rPr>
        <w:t xml:space="preserve">recently </w:t>
      </w:r>
      <w:r w:rsidRPr="003A4D15">
        <w:rPr>
          <w:rFonts w:ascii="Arial" w:hAnsi="Arial" w:cs="Arial"/>
        </w:rPr>
        <w:t xml:space="preserve">completed a review of the National Heavy Vehicle Competency Standards. </w:t>
      </w:r>
      <w:r>
        <w:rPr>
          <w:rFonts w:ascii="Arial" w:hAnsi="Arial" w:cs="Arial"/>
        </w:rPr>
        <w:t xml:space="preserve">The </w:t>
      </w:r>
      <w:r w:rsidRPr="003A4D15">
        <w:rPr>
          <w:rFonts w:ascii="Arial" w:hAnsi="Arial" w:cs="Arial"/>
        </w:rPr>
        <w:t>report</w:t>
      </w:r>
      <w:r>
        <w:rPr>
          <w:rFonts w:ascii="Arial" w:hAnsi="Arial" w:cs="Arial"/>
        </w:rPr>
        <w:t xml:space="preserve"> is yet to</w:t>
      </w:r>
      <w:r w:rsidRPr="003A4D15">
        <w:rPr>
          <w:rFonts w:ascii="Arial" w:hAnsi="Arial" w:cs="Arial"/>
        </w:rPr>
        <w:t xml:space="preserve"> be released</w:t>
      </w:r>
      <w:r>
        <w:rPr>
          <w:rFonts w:ascii="Arial" w:hAnsi="Arial" w:cs="Arial"/>
        </w:rPr>
        <w:t xml:space="preserve"> to industry. </w:t>
      </w:r>
    </w:p>
    <w:p w:rsidR="00B2294C" w:rsidRDefault="00B2294C" w:rsidP="00B2294C">
      <w:pPr>
        <w:shd w:val="clear" w:color="auto" w:fill="FFFFFF"/>
        <w:spacing w:after="0"/>
        <w:rPr>
          <w:rFonts w:ascii="Arial" w:hAnsi="Arial" w:cs="Arial"/>
          <w:b/>
        </w:rPr>
      </w:pPr>
    </w:p>
    <w:p w:rsidR="003C6B1F" w:rsidRDefault="003C6B1F" w:rsidP="00600F92">
      <w:pPr>
        <w:suppressAutoHyphens/>
        <w:spacing w:after="0" w:line="240" w:lineRule="auto"/>
        <w:outlineLvl w:val="0"/>
        <w:rPr>
          <w:rFonts w:ascii="Arial" w:eastAsia="Calibri" w:hAnsi="Arial" w:cs="Arial"/>
          <w:lang w:eastAsia="ar-SA"/>
        </w:rPr>
      </w:pPr>
    </w:p>
    <w:p w:rsidR="00E706CB" w:rsidRPr="003C6B1F" w:rsidRDefault="000225AF" w:rsidP="00600F92">
      <w:pPr>
        <w:shd w:val="clear" w:color="auto" w:fill="FFFFFF"/>
        <w:spacing w:after="0" w:line="240" w:lineRule="auto"/>
        <w:rPr>
          <w:rFonts w:ascii="Arial" w:hAnsi="Arial" w:cs="Arial"/>
          <w:b/>
          <w:u w:val="single"/>
        </w:rPr>
      </w:pPr>
      <w:r>
        <w:rPr>
          <w:rFonts w:ascii="Arial" w:hAnsi="Arial" w:cs="Arial"/>
          <w:b/>
          <w:u w:val="single"/>
        </w:rPr>
        <w:t>Recommendation 19</w:t>
      </w:r>
    </w:p>
    <w:p w:rsidR="00E706CB" w:rsidRPr="00510BF9" w:rsidRDefault="00E30C18" w:rsidP="00600F92">
      <w:pPr>
        <w:shd w:val="clear" w:color="auto" w:fill="FFFFFF"/>
        <w:spacing w:after="0" w:line="240" w:lineRule="auto"/>
        <w:rPr>
          <w:rFonts w:ascii="Arial" w:hAnsi="Arial" w:cs="Arial"/>
        </w:rPr>
      </w:pPr>
      <w:proofErr w:type="spellStart"/>
      <w:r>
        <w:rPr>
          <w:rFonts w:ascii="Arial" w:hAnsi="Arial" w:cs="Arial"/>
        </w:rPr>
        <w:t>Austroa</w:t>
      </w:r>
      <w:r w:rsidR="00D31B56">
        <w:rPr>
          <w:rFonts w:ascii="Arial" w:hAnsi="Arial" w:cs="Arial"/>
        </w:rPr>
        <w:t>ds</w:t>
      </w:r>
      <w:proofErr w:type="spellEnd"/>
      <w:r w:rsidR="00D31B56">
        <w:rPr>
          <w:rFonts w:ascii="Arial" w:hAnsi="Arial" w:cs="Arial"/>
        </w:rPr>
        <w:t xml:space="preserve"> </w:t>
      </w:r>
      <w:r w:rsidR="00E706CB" w:rsidRPr="00510BF9">
        <w:rPr>
          <w:rFonts w:ascii="Arial" w:hAnsi="Arial" w:cs="Arial"/>
        </w:rPr>
        <w:t xml:space="preserve">should release the review of the National Heavy Vehicle Competency Standards, and prioritise the implementation of reforms to improve the quality and consistency of heavy vehicle driver training and assessment. </w:t>
      </w:r>
    </w:p>
    <w:p w:rsidR="00E706CB" w:rsidRDefault="00E706CB" w:rsidP="00600F92">
      <w:pPr>
        <w:suppressAutoHyphens/>
        <w:spacing w:after="0" w:line="240" w:lineRule="auto"/>
        <w:outlineLvl w:val="0"/>
        <w:rPr>
          <w:rFonts w:ascii="Arial" w:eastAsia="Calibri" w:hAnsi="Arial" w:cs="Arial"/>
          <w:lang w:eastAsia="ar-SA"/>
        </w:rPr>
      </w:pPr>
    </w:p>
    <w:p w:rsidR="00600F92" w:rsidRDefault="00600F92" w:rsidP="00600F92">
      <w:pPr>
        <w:suppressAutoHyphens/>
        <w:spacing w:after="0" w:line="240" w:lineRule="auto"/>
        <w:outlineLvl w:val="0"/>
        <w:rPr>
          <w:rFonts w:ascii="Arial" w:eastAsia="Calibri" w:hAnsi="Arial" w:cs="Arial"/>
          <w:lang w:eastAsia="ar-SA"/>
        </w:rPr>
      </w:pPr>
    </w:p>
    <w:p w:rsidR="00A16D61" w:rsidRDefault="00A16D61">
      <w:pPr>
        <w:rPr>
          <w:rFonts w:ascii="Arial" w:eastAsia="Calibri" w:hAnsi="Arial" w:cs="Arial"/>
          <w:b/>
          <w:lang w:eastAsia="ar-SA"/>
        </w:rPr>
      </w:pPr>
      <w:r>
        <w:rPr>
          <w:rFonts w:ascii="Arial" w:eastAsia="Calibri" w:hAnsi="Arial" w:cs="Arial"/>
          <w:b/>
          <w:lang w:eastAsia="ar-SA"/>
        </w:rPr>
        <w:br w:type="page"/>
      </w:r>
    </w:p>
    <w:p w:rsidR="009C66FE" w:rsidRPr="00BE03A6" w:rsidRDefault="00BE03A6" w:rsidP="00600F92">
      <w:pPr>
        <w:pStyle w:val="ListParagraph"/>
        <w:numPr>
          <w:ilvl w:val="0"/>
          <w:numId w:val="1"/>
        </w:numPr>
        <w:suppressAutoHyphens/>
        <w:spacing w:after="0" w:line="240" w:lineRule="auto"/>
        <w:outlineLvl w:val="0"/>
        <w:rPr>
          <w:rFonts w:ascii="Arial" w:eastAsia="Calibri" w:hAnsi="Arial" w:cs="Arial"/>
          <w:b/>
          <w:lang w:eastAsia="ar-SA"/>
        </w:rPr>
      </w:pPr>
      <w:r>
        <w:rPr>
          <w:rFonts w:ascii="Arial" w:eastAsia="Calibri" w:hAnsi="Arial" w:cs="Arial"/>
          <w:b/>
          <w:lang w:eastAsia="ar-SA"/>
        </w:rPr>
        <w:lastRenderedPageBreak/>
        <w:t>What Governments should not consider</w:t>
      </w:r>
    </w:p>
    <w:p w:rsidR="00BE03A6" w:rsidRDefault="00BE03A6" w:rsidP="00600F92">
      <w:pPr>
        <w:suppressAutoHyphens/>
        <w:spacing w:after="0" w:line="240" w:lineRule="auto"/>
        <w:outlineLvl w:val="0"/>
        <w:rPr>
          <w:rFonts w:ascii="Arial" w:eastAsia="Calibri" w:hAnsi="Arial" w:cs="Arial"/>
          <w:i/>
          <w:lang w:eastAsia="ar-SA"/>
        </w:rPr>
      </w:pPr>
    </w:p>
    <w:p w:rsidR="00E706CB" w:rsidRPr="003C6B1F" w:rsidRDefault="00E706CB" w:rsidP="00BE03A6">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Operator licensing</w:t>
      </w:r>
    </w:p>
    <w:p w:rsidR="00E706CB" w:rsidRPr="003C6B1F" w:rsidRDefault="00E706CB" w:rsidP="00E706CB">
      <w:pPr>
        <w:suppressAutoHyphens/>
        <w:spacing w:after="0" w:line="240" w:lineRule="auto"/>
        <w:outlineLvl w:val="0"/>
        <w:rPr>
          <w:rFonts w:ascii="Arial" w:eastAsia="Calibri" w:hAnsi="Arial" w:cs="Arial"/>
          <w:b/>
          <w:lang w:eastAsia="ar-SA"/>
        </w:rPr>
      </w:pPr>
    </w:p>
    <w:p w:rsidR="00B2294C" w:rsidRDefault="00B2294C" w:rsidP="00B2294C">
      <w:pPr>
        <w:rPr>
          <w:rFonts w:ascii="Arial" w:hAnsi="Arial" w:cs="Arial"/>
        </w:rPr>
      </w:pPr>
      <w:r w:rsidRPr="004E04C4">
        <w:rPr>
          <w:rFonts w:ascii="Arial" w:hAnsi="Arial" w:cs="Arial"/>
        </w:rPr>
        <w:t xml:space="preserve">The prospect of introducing operator licensing for road transport companies is the subject of growing debate in Australia. </w:t>
      </w:r>
      <w:r w:rsidRPr="007418DC">
        <w:rPr>
          <w:rFonts w:ascii="Arial" w:hAnsi="Arial" w:cs="Arial"/>
        </w:rPr>
        <w:t>The ATA is st</w:t>
      </w:r>
      <w:r>
        <w:rPr>
          <w:rFonts w:ascii="Arial" w:hAnsi="Arial" w:cs="Arial"/>
        </w:rPr>
        <w:t>r</w:t>
      </w:r>
      <w:r w:rsidRPr="007418DC">
        <w:rPr>
          <w:rFonts w:ascii="Arial" w:hAnsi="Arial" w:cs="Arial"/>
        </w:rPr>
        <w:t xml:space="preserve">ongly opposed </w:t>
      </w:r>
      <w:r>
        <w:rPr>
          <w:rFonts w:ascii="Arial" w:hAnsi="Arial" w:cs="Arial"/>
        </w:rPr>
        <w:t>to operator licensing.</w:t>
      </w:r>
    </w:p>
    <w:p w:rsidR="00B2294C" w:rsidRPr="00BE03A6" w:rsidRDefault="00B2294C" w:rsidP="00B2294C">
      <w:pPr>
        <w:rPr>
          <w:rStyle w:val="IntenseEmphasis"/>
          <w:i w:val="0"/>
        </w:rPr>
      </w:pPr>
      <w:r w:rsidRPr="00BE03A6">
        <w:rPr>
          <w:rStyle w:val="IntenseEmphasis"/>
          <w:i w:val="0"/>
        </w:rPr>
        <w:t>International experience</w:t>
      </w:r>
    </w:p>
    <w:p w:rsidR="00B2294C" w:rsidRPr="004E04C4" w:rsidRDefault="00B2294C" w:rsidP="00B2294C">
      <w:pPr>
        <w:rPr>
          <w:rFonts w:ascii="Arial" w:hAnsi="Arial" w:cs="Arial"/>
        </w:rPr>
      </w:pPr>
      <w:r w:rsidRPr="004E04C4">
        <w:rPr>
          <w:rFonts w:ascii="Arial" w:hAnsi="Arial" w:cs="Arial"/>
        </w:rPr>
        <w:t>The existence of operator licensing in other advanced economies is sometimes referred to by proponents of introducing a similar scheme in Australia, so consideration of international operator licensing schemes is directly relevant to the debate.</w:t>
      </w:r>
    </w:p>
    <w:p w:rsidR="00B2294C" w:rsidRPr="004E04C4" w:rsidRDefault="00B2294C" w:rsidP="00B2294C">
      <w:pPr>
        <w:rPr>
          <w:rFonts w:ascii="Arial" w:hAnsi="Arial" w:cs="Arial"/>
        </w:rPr>
      </w:pPr>
      <w:r w:rsidRPr="004E04C4">
        <w:rPr>
          <w:rFonts w:ascii="Arial" w:hAnsi="Arial" w:cs="Arial"/>
        </w:rPr>
        <w:t>In the United Kingdom, applications for a goods veh</w:t>
      </w:r>
      <w:r>
        <w:rPr>
          <w:rFonts w:ascii="Arial" w:hAnsi="Arial" w:cs="Arial"/>
        </w:rPr>
        <w:t xml:space="preserve">icle license may be objected to </w:t>
      </w:r>
      <w:r w:rsidRPr="004E04C4">
        <w:rPr>
          <w:rFonts w:ascii="Arial" w:hAnsi="Arial" w:cs="Arial"/>
        </w:rPr>
        <w:t>by industry associations, trade unions, local councils and planning authorities. Approval is also needed for the location of a depot or operating centre – even if the site already has local government approval. The system also requires that operators maintain financial reserves, at all times, to meet the financial standing requirements of the system.</w:t>
      </w:r>
    </w:p>
    <w:p w:rsidR="00B2294C" w:rsidRPr="004E04C4" w:rsidRDefault="00B2294C" w:rsidP="00B2294C">
      <w:pPr>
        <w:rPr>
          <w:rFonts w:ascii="Arial" w:hAnsi="Arial" w:cs="Arial"/>
        </w:rPr>
      </w:pPr>
      <w:r w:rsidRPr="004E04C4">
        <w:rPr>
          <w:rFonts w:ascii="Arial" w:hAnsi="Arial" w:cs="Arial"/>
        </w:rPr>
        <w:t>Closer to home in New Zealand</w:t>
      </w:r>
      <w:r>
        <w:rPr>
          <w:rFonts w:ascii="Arial" w:hAnsi="Arial" w:cs="Arial"/>
        </w:rPr>
        <w:t>, o</w:t>
      </w:r>
      <w:r w:rsidRPr="004E04C4">
        <w:rPr>
          <w:rFonts w:ascii="Arial" w:hAnsi="Arial" w:cs="Arial"/>
        </w:rPr>
        <w:t xml:space="preserve">perator licensing has its roots in the </w:t>
      </w:r>
      <w:r w:rsidRPr="00F777A5">
        <w:rPr>
          <w:rFonts w:ascii="Arial" w:hAnsi="Arial" w:cs="Arial"/>
          <w:i/>
        </w:rPr>
        <w:t>Transport Licensing Act 1931</w:t>
      </w:r>
      <w:r w:rsidRPr="004E04C4">
        <w:rPr>
          <w:rFonts w:ascii="Arial" w:hAnsi="Arial" w:cs="Arial"/>
        </w:rPr>
        <w:t>, which was designed to protect government owned railways from competition, including limits on the distance that freight could be moved by road. Removal of most of these restrictions was part of an economic reform agenda b</w:t>
      </w:r>
      <w:r>
        <w:rPr>
          <w:rFonts w:ascii="Arial" w:hAnsi="Arial" w:cs="Arial"/>
        </w:rPr>
        <w:t>y the NZ Government in the 1980</w:t>
      </w:r>
      <w:r w:rsidRPr="004E04C4">
        <w:rPr>
          <w:rFonts w:ascii="Arial" w:hAnsi="Arial" w:cs="Arial"/>
        </w:rPr>
        <w:t xml:space="preserve">s. </w:t>
      </w:r>
    </w:p>
    <w:p w:rsidR="00B2294C" w:rsidRPr="004E04C4" w:rsidRDefault="00B2294C" w:rsidP="00B2294C">
      <w:pPr>
        <w:rPr>
          <w:rFonts w:ascii="Arial" w:hAnsi="Arial" w:cs="Arial"/>
        </w:rPr>
      </w:pPr>
      <w:r w:rsidRPr="004E04C4">
        <w:rPr>
          <w:rFonts w:ascii="Arial" w:hAnsi="Arial" w:cs="Arial"/>
        </w:rPr>
        <w:t>The New Zealand system also introduces another layer of regulation with license holders focused on individuals within a company resulting in the practical outcome that different trucks in the same operation may be run of different licenses, and the requirement for yet another label that must be displayed on trucks, much like a registration label.</w:t>
      </w:r>
    </w:p>
    <w:p w:rsidR="00B2294C" w:rsidRPr="00BE03A6" w:rsidRDefault="00B2294C" w:rsidP="00B2294C">
      <w:pPr>
        <w:rPr>
          <w:rStyle w:val="IntenseEmphasis"/>
          <w:i w:val="0"/>
        </w:rPr>
      </w:pPr>
      <w:r w:rsidRPr="00BE03A6">
        <w:rPr>
          <w:rStyle w:val="IntenseEmphasis"/>
          <w:i w:val="0"/>
        </w:rPr>
        <w:t>Chain of responsibility</w:t>
      </w:r>
    </w:p>
    <w:p w:rsidR="00B2294C" w:rsidRPr="004E04C4" w:rsidRDefault="00B2294C" w:rsidP="00600F92">
      <w:pPr>
        <w:rPr>
          <w:rFonts w:ascii="Arial" w:hAnsi="Arial" w:cs="Arial"/>
        </w:rPr>
      </w:pPr>
      <w:r w:rsidRPr="004E04C4">
        <w:rPr>
          <w:rFonts w:ascii="Arial" w:hAnsi="Arial" w:cs="Arial"/>
        </w:rPr>
        <w:t>In 2003 the National Road Transport Commission (NTC) compared what was then a new approach to complian</w:t>
      </w:r>
      <w:r>
        <w:rPr>
          <w:rFonts w:ascii="Arial" w:hAnsi="Arial" w:cs="Arial"/>
        </w:rPr>
        <w:t>ce – chain of r</w:t>
      </w:r>
      <w:r w:rsidRPr="004E04C4">
        <w:rPr>
          <w:rFonts w:ascii="Arial" w:hAnsi="Arial" w:cs="Arial"/>
        </w:rPr>
        <w:t>esponsibility – to operator licensing. The NTC rejected o</w:t>
      </w:r>
      <w:r>
        <w:rPr>
          <w:rFonts w:ascii="Arial" w:hAnsi="Arial" w:cs="Arial"/>
        </w:rPr>
        <w:t>perator licensing in favour of chain of r</w:t>
      </w:r>
      <w:r w:rsidRPr="004E04C4">
        <w:rPr>
          <w:rFonts w:ascii="Arial" w:hAnsi="Arial" w:cs="Arial"/>
        </w:rPr>
        <w:t xml:space="preserve">esponsibility, concluding that operator licensing was anti-competitive and heavy handed. </w:t>
      </w:r>
    </w:p>
    <w:p w:rsidR="00B2294C" w:rsidRPr="004E04C4" w:rsidRDefault="00B2294C" w:rsidP="00600F92">
      <w:pPr>
        <w:rPr>
          <w:rFonts w:ascii="Arial" w:hAnsi="Arial" w:cs="Arial"/>
        </w:rPr>
      </w:pPr>
      <w:r w:rsidRPr="004E04C4">
        <w:rPr>
          <w:rFonts w:ascii="Arial" w:hAnsi="Arial" w:cs="Arial"/>
        </w:rPr>
        <w:t>The ATA has supported amendments to the Heavy Vehicle National Law to impose a general safety duty on all chain parties, including consignors</w:t>
      </w:r>
      <w:r>
        <w:rPr>
          <w:rFonts w:ascii="Arial" w:hAnsi="Arial" w:cs="Arial"/>
        </w:rPr>
        <w:t xml:space="preserve"> and consignees, and to extend chain of r</w:t>
      </w:r>
      <w:r w:rsidRPr="004E04C4">
        <w:rPr>
          <w:rFonts w:ascii="Arial" w:hAnsi="Arial" w:cs="Arial"/>
        </w:rPr>
        <w:t xml:space="preserve">esponsibility to cover maintenance and repairs. </w:t>
      </w:r>
      <w:r>
        <w:rPr>
          <w:rFonts w:ascii="Arial" w:hAnsi="Arial" w:cs="Arial"/>
        </w:rPr>
        <w:t>Amendments to chain of responsibility are due to come into effect later in mid-2018.</w:t>
      </w:r>
    </w:p>
    <w:p w:rsidR="00857DDC" w:rsidRDefault="00857DDC" w:rsidP="00600F92">
      <w:pPr>
        <w:suppressAutoHyphens/>
        <w:spacing w:after="0" w:line="240" w:lineRule="auto"/>
        <w:outlineLvl w:val="0"/>
        <w:rPr>
          <w:rFonts w:ascii="Arial" w:eastAsia="Calibri" w:hAnsi="Arial" w:cs="Arial"/>
          <w:i/>
          <w:lang w:eastAsia="ar-SA"/>
        </w:rPr>
      </w:pPr>
    </w:p>
    <w:p w:rsidR="00BE03A6" w:rsidRPr="003C6B1F" w:rsidRDefault="00BE03A6" w:rsidP="00857DDC">
      <w:pPr>
        <w:suppressAutoHyphens/>
        <w:spacing w:after="0" w:line="240" w:lineRule="auto"/>
        <w:outlineLvl w:val="0"/>
        <w:rPr>
          <w:rFonts w:ascii="Arial" w:eastAsia="Calibri" w:hAnsi="Arial" w:cs="Arial"/>
          <w:b/>
          <w:i/>
          <w:lang w:eastAsia="ar-SA"/>
        </w:rPr>
      </w:pPr>
      <w:r w:rsidRPr="003C6B1F">
        <w:rPr>
          <w:rFonts w:ascii="Arial" w:eastAsia="Calibri" w:hAnsi="Arial" w:cs="Arial"/>
          <w:b/>
          <w:i/>
          <w:lang w:eastAsia="ar-SA"/>
        </w:rPr>
        <w:t>Fixed payment rates</w:t>
      </w:r>
    </w:p>
    <w:p w:rsidR="00857DDC" w:rsidRPr="00857DDC" w:rsidRDefault="00857DDC" w:rsidP="00600F92">
      <w:pPr>
        <w:suppressAutoHyphens/>
        <w:spacing w:after="0" w:line="240" w:lineRule="auto"/>
        <w:outlineLvl w:val="0"/>
        <w:rPr>
          <w:rFonts w:ascii="Arial" w:eastAsia="Calibri" w:hAnsi="Arial" w:cs="Arial"/>
          <w:i/>
          <w:lang w:eastAsia="ar-SA"/>
        </w:rPr>
      </w:pPr>
    </w:p>
    <w:p w:rsidR="00BE03A6" w:rsidRDefault="00BE03A6" w:rsidP="00600F92">
      <w:pPr>
        <w:autoSpaceDE w:val="0"/>
        <w:spacing w:after="0" w:line="240" w:lineRule="auto"/>
        <w:rPr>
          <w:rFonts w:ascii="Arial" w:eastAsia="TimesNewRomanPSMT" w:hAnsi="Arial" w:cs="Arial"/>
        </w:rPr>
      </w:pPr>
      <w:r w:rsidRPr="007F6602">
        <w:rPr>
          <w:rFonts w:ascii="Arial" w:eastAsia="TimesNewRomanPSMT" w:hAnsi="Arial" w:cs="Arial"/>
        </w:rPr>
        <w:t>Despite the industry's improving safety record</w:t>
      </w:r>
      <w:r>
        <w:rPr>
          <w:rFonts w:ascii="Arial" w:eastAsia="TimesNewRomanPSMT" w:hAnsi="Arial" w:cs="Arial"/>
        </w:rPr>
        <w:t xml:space="preserve"> it has been</w:t>
      </w:r>
      <w:r w:rsidRPr="007F6602">
        <w:rPr>
          <w:rFonts w:ascii="Arial" w:eastAsia="TimesNewRomanPSMT" w:hAnsi="Arial" w:cs="Arial"/>
        </w:rPr>
        <w:t xml:space="preserve"> asserted </w:t>
      </w:r>
      <w:r>
        <w:rPr>
          <w:rFonts w:ascii="Arial" w:eastAsia="TimesNewRomanPSMT" w:hAnsi="Arial" w:cs="Arial"/>
        </w:rPr>
        <w:t xml:space="preserve">– most notably in the debate about the </w:t>
      </w:r>
      <w:r w:rsidRPr="004B7374">
        <w:rPr>
          <w:rFonts w:ascii="Arial" w:eastAsia="TimesNewRomanPSMT" w:hAnsi="Arial" w:cs="Arial"/>
          <w:i/>
        </w:rPr>
        <w:t>Road Safety Remuneration Act</w:t>
      </w:r>
      <w:r>
        <w:rPr>
          <w:rFonts w:ascii="Arial" w:eastAsia="TimesNewRomanPSMT" w:hAnsi="Arial" w:cs="Arial"/>
        </w:rPr>
        <w:t xml:space="preserve"> (</w:t>
      </w:r>
      <w:proofErr w:type="spellStart"/>
      <w:r>
        <w:rPr>
          <w:rFonts w:ascii="Arial" w:eastAsia="TimesNewRomanPSMT" w:hAnsi="Arial" w:cs="Arial"/>
        </w:rPr>
        <w:t>Cth</w:t>
      </w:r>
      <w:proofErr w:type="spellEnd"/>
      <w:r>
        <w:rPr>
          <w:rFonts w:ascii="Arial" w:eastAsia="TimesNewRomanPSMT" w:hAnsi="Arial" w:cs="Arial"/>
        </w:rPr>
        <w:t xml:space="preserve">) – </w:t>
      </w:r>
      <w:r w:rsidRPr="007F6602">
        <w:rPr>
          <w:rFonts w:ascii="Arial" w:eastAsia="TimesNewRomanPSMT" w:hAnsi="Arial" w:cs="Arial"/>
        </w:rPr>
        <w:t xml:space="preserve">that </w:t>
      </w:r>
      <w:r>
        <w:rPr>
          <w:rFonts w:ascii="Arial" w:eastAsia="TimesNewRomanPSMT" w:hAnsi="Arial" w:cs="Arial"/>
        </w:rPr>
        <w:t>fixed rates would improve safety by ensuring that drivers do not have remuneration related incentives to work in an unsafe manner.</w:t>
      </w:r>
      <w:r>
        <w:rPr>
          <w:rStyle w:val="FootnoteReference"/>
          <w:rFonts w:ascii="Arial" w:eastAsia="TimesNewRomanPSMT" w:hAnsi="Arial" w:cs="Arial"/>
        </w:rPr>
        <w:footnoteReference w:id="28"/>
      </w:r>
    </w:p>
    <w:p w:rsidR="00600F92" w:rsidRDefault="00600F92" w:rsidP="00600F92">
      <w:pPr>
        <w:autoSpaceDE w:val="0"/>
        <w:spacing w:after="0" w:line="240" w:lineRule="auto"/>
        <w:rPr>
          <w:rFonts w:ascii="Arial" w:eastAsia="TimesNewRomanPSMT" w:hAnsi="Arial" w:cs="Arial"/>
        </w:rPr>
      </w:pPr>
    </w:p>
    <w:p w:rsidR="00BE03A6" w:rsidRDefault="00BE03A6" w:rsidP="00600F92">
      <w:pPr>
        <w:autoSpaceDE w:val="0"/>
        <w:spacing w:after="0" w:line="240" w:lineRule="auto"/>
        <w:rPr>
          <w:rFonts w:ascii="Arial" w:eastAsia="TimesNewRomanPSMT" w:hAnsi="Arial" w:cs="Arial"/>
        </w:rPr>
      </w:pPr>
      <w:r>
        <w:rPr>
          <w:rFonts w:ascii="Arial" w:eastAsia="TimesNewRomanPSMT" w:hAnsi="Arial" w:cs="Arial"/>
        </w:rPr>
        <w:t>In reality, the link between fixed rates and safety outcomes is not so clear, because:</w:t>
      </w:r>
    </w:p>
    <w:p w:rsidR="00600F92" w:rsidRPr="005B4DCA" w:rsidRDefault="00600F92" w:rsidP="00600F92">
      <w:pPr>
        <w:autoSpaceDE w:val="0"/>
        <w:spacing w:after="0" w:line="240" w:lineRule="auto"/>
        <w:rPr>
          <w:rFonts w:ascii="Arial" w:eastAsia="TimesNewRomanPSMT" w:hAnsi="Arial" w:cs="Arial"/>
        </w:rPr>
      </w:pPr>
    </w:p>
    <w:p w:rsidR="00BE03A6" w:rsidRDefault="00BE03A6" w:rsidP="00600F92">
      <w:pPr>
        <w:pStyle w:val="NoSpacing"/>
        <w:numPr>
          <w:ilvl w:val="0"/>
          <w:numId w:val="21"/>
        </w:numPr>
        <w:suppressAutoHyphens/>
        <w:rPr>
          <w:rFonts w:ascii="Arial" w:eastAsia="TimesNewRomanPSMT" w:hAnsi="Arial" w:cs="Arial"/>
          <w:color w:val="auto"/>
          <w:sz w:val="22"/>
          <w:szCs w:val="22"/>
        </w:rPr>
      </w:pPr>
      <w:proofErr w:type="gramStart"/>
      <w:r w:rsidRPr="005B4DCA">
        <w:rPr>
          <w:rFonts w:ascii="Arial" w:eastAsia="TimesNewRomanPSMT" w:hAnsi="Arial" w:cs="Arial"/>
          <w:color w:val="auto"/>
          <w:sz w:val="22"/>
          <w:szCs w:val="22"/>
        </w:rPr>
        <w:lastRenderedPageBreak/>
        <w:t>truck</w:t>
      </w:r>
      <w:proofErr w:type="gramEnd"/>
      <w:r w:rsidRPr="005B4DCA">
        <w:rPr>
          <w:rFonts w:ascii="Arial" w:eastAsia="TimesNewRomanPSMT" w:hAnsi="Arial" w:cs="Arial"/>
          <w:color w:val="auto"/>
          <w:sz w:val="22"/>
          <w:szCs w:val="22"/>
        </w:rPr>
        <w:t xml:space="preserve"> drivers and trucking businesses work in an environment where many safety hazards are out of their control.</w:t>
      </w:r>
    </w:p>
    <w:p w:rsidR="00BE03A6" w:rsidRDefault="00BE03A6" w:rsidP="00600F92">
      <w:pPr>
        <w:pStyle w:val="NoSpacing"/>
        <w:rPr>
          <w:rFonts w:ascii="Arial" w:eastAsia="TimesNewRomanPSMT" w:hAnsi="Arial" w:cs="Arial"/>
          <w:color w:val="auto"/>
          <w:sz w:val="22"/>
          <w:szCs w:val="22"/>
        </w:rPr>
      </w:pPr>
    </w:p>
    <w:p w:rsidR="00BE03A6" w:rsidRDefault="00A66A75" w:rsidP="00600F92">
      <w:pPr>
        <w:pStyle w:val="NoSpacing"/>
        <w:ind w:left="720"/>
        <w:rPr>
          <w:rFonts w:ascii="Arial" w:hAnsi="Arial" w:cs="Arial"/>
          <w:color w:val="auto"/>
          <w:sz w:val="22"/>
          <w:szCs w:val="22"/>
          <w:lang w:eastAsia="en-US"/>
        </w:rPr>
      </w:pPr>
      <w:r>
        <w:rPr>
          <w:rFonts w:ascii="Arial" w:hAnsi="Arial" w:cs="Arial"/>
          <w:color w:val="auto"/>
          <w:sz w:val="22"/>
          <w:szCs w:val="22"/>
          <w:lang w:eastAsia="en-US"/>
        </w:rPr>
        <w:t>In its 2017</w:t>
      </w:r>
      <w:r w:rsidR="00BE03A6" w:rsidRPr="005D3BC8">
        <w:rPr>
          <w:rFonts w:ascii="Arial" w:hAnsi="Arial" w:cs="Arial"/>
          <w:color w:val="auto"/>
          <w:sz w:val="22"/>
          <w:szCs w:val="22"/>
          <w:lang w:eastAsia="en-US"/>
        </w:rPr>
        <w:t xml:space="preserve"> major accident investigation report, </w:t>
      </w:r>
      <w:r w:rsidR="00BE03A6">
        <w:rPr>
          <w:rFonts w:ascii="Arial" w:hAnsi="Arial" w:cs="Arial"/>
          <w:color w:val="auto"/>
          <w:sz w:val="22"/>
          <w:szCs w:val="22"/>
          <w:lang w:eastAsia="en-US"/>
        </w:rPr>
        <w:t xml:space="preserve">for example, </w:t>
      </w:r>
      <w:r w:rsidR="00BE03A6" w:rsidRPr="005D3BC8">
        <w:rPr>
          <w:rFonts w:ascii="Arial" w:hAnsi="Arial" w:cs="Arial"/>
          <w:color w:val="auto"/>
          <w:sz w:val="22"/>
          <w:szCs w:val="22"/>
          <w:lang w:eastAsia="en-US"/>
        </w:rPr>
        <w:t xml:space="preserve">Australia’s leading truck insurer, NTI, </w:t>
      </w:r>
      <w:r w:rsidR="00BE03A6">
        <w:rPr>
          <w:rFonts w:ascii="Arial" w:hAnsi="Arial" w:cs="Arial"/>
          <w:color w:val="auto"/>
          <w:sz w:val="22"/>
          <w:szCs w:val="22"/>
          <w:lang w:eastAsia="en-US"/>
        </w:rPr>
        <w:t xml:space="preserve">concluded </w:t>
      </w:r>
      <w:r w:rsidR="00BE03A6" w:rsidRPr="005D3BC8">
        <w:rPr>
          <w:rFonts w:ascii="Arial" w:hAnsi="Arial" w:cs="Arial"/>
          <w:color w:val="auto"/>
          <w:sz w:val="22"/>
          <w:szCs w:val="22"/>
          <w:lang w:eastAsia="en-US"/>
        </w:rPr>
        <w:t>that other vehicle</w:t>
      </w:r>
      <w:r w:rsidR="00BE03A6">
        <w:rPr>
          <w:rFonts w:ascii="Arial" w:hAnsi="Arial" w:cs="Arial"/>
          <w:color w:val="auto"/>
          <w:sz w:val="22"/>
          <w:szCs w:val="22"/>
          <w:lang w:eastAsia="en-US"/>
        </w:rPr>
        <w:t>s</w:t>
      </w:r>
      <w:r w:rsidR="00BE03A6" w:rsidRPr="005D3BC8">
        <w:rPr>
          <w:rFonts w:ascii="Arial" w:hAnsi="Arial" w:cs="Arial"/>
          <w:color w:val="auto"/>
          <w:sz w:val="22"/>
          <w:szCs w:val="22"/>
          <w:lang w:eastAsia="en-US"/>
        </w:rPr>
        <w:t xml:space="preserve"> </w:t>
      </w:r>
      <w:r w:rsidR="00BE03A6">
        <w:rPr>
          <w:rFonts w:ascii="Arial" w:hAnsi="Arial" w:cs="Arial"/>
          <w:color w:val="auto"/>
          <w:sz w:val="22"/>
          <w:szCs w:val="22"/>
          <w:lang w:eastAsia="en-US"/>
        </w:rPr>
        <w:t xml:space="preserve">were </w:t>
      </w:r>
      <w:r>
        <w:rPr>
          <w:rFonts w:ascii="Arial" w:hAnsi="Arial" w:cs="Arial"/>
          <w:color w:val="auto"/>
          <w:sz w:val="22"/>
          <w:szCs w:val="22"/>
          <w:lang w:eastAsia="en-US"/>
        </w:rPr>
        <w:t>at fault in 93</w:t>
      </w:r>
      <w:r w:rsidR="00BE03A6" w:rsidRPr="005D3BC8">
        <w:rPr>
          <w:rFonts w:ascii="Arial" w:hAnsi="Arial" w:cs="Arial"/>
          <w:color w:val="auto"/>
          <w:sz w:val="22"/>
          <w:szCs w:val="22"/>
          <w:lang w:eastAsia="en-US"/>
        </w:rPr>
        <w:t xml:space="preserve"> per cent of the fatal multi-vehicle accidents </w:t>
      </w:r>
      <w:r w:rsidR="00BE03A6">
        <w:rPr>
          <w:rFonts w:ascii="Arial" w:hAnsi="Arial" w:cs="Arial"/>
          <w:color w:val="auto"/>
          <w:sz w:val="22"/>
          <w:szCs w:val="22"/>
          <w:lang w:eastAsia="en-US"/>
        </w:rPr>
        <w:t>in its sample</w:t>
      </w:r>
      <w:r w:rsidR="00BE03A6" w:rsidRPr="005D3BC8">
        <w:rPr>
          <w:rFonts w:ascii="Arial" w:hAnsi="Arial" w:cs="Arial"/>
          <w:color w:val="auto"/>
          <w:sz w:val="22"/>
          <w:szCs w:val="22"/>
          <w:lang w:eastAsia="en-US"/>
        </w:rPr>
        <w:t>.</w:t>
      </w:r>
      <w:r w:rsidR="00BE03A6">
        <w:rPr>
          <w:rStyle w:val="FootnoteReference"/>
          <w:rFonts w:ascii="Arial" w:hAnsi="Arial"/>
          <w:color w:val="auto"/>
          <w:sz w:val="22"/>
          <w:szCs w:val="22"/>
          <w:lang w:eastAsia="en-US"/>
        </w:rPr>
        <w:footnoteReference w:id="29"/>
      </w:r>
      <w:r w:rsidR="00BE03A6">
        <w:rPr>
          <w:rFonts w:ascii="Arial" w:hAnsi="Arial" w:cs="Arial"/>
          <w:color w:val="auto"/>
          <w:sz w:val="22"/>
          <w:szCs w:val="22"/>
          <w:lang w:eastAsia="en-US"/>
        </w:rPr>
        <w:t xml:space="preserve"> </w:t>
      </w:r>
    </w:p>
    <w:p w:rsidR="00BE03A6" w:rsidRPr="005B4DCA" w:rsidRDefault="00BE03A6" w:rsidP="00600F92">
      <w:pPr>
        <w:pStyle w:val="NoSpacing"/>
        <w:rPr>
          <w:rFonts w:ascii="Arial" w:hAnsi="Arial" w:cs="Arial"/>
          <w:color w:val="auto"/>
          <w:sz w:val="22"/>
          <w:szCs w:val="22"/>
          <w:lang w:eastAsia="en-US"/>
        </w:rPr>
      </w:pPr>
    </w:p>
    <w:p w:rsidR="00BE03A6" w:rsidRPr="005B4DCA" w:rsidRDefault="00BE03A6" w:rsidP="00600F92">
      <w:pPr>
        <w:pStyle w:val="NoSpacing"/>
        <w:ind w:left="720"/>
        <w:rPr>
          <w:rFonts w:ascii="Arial" w:hAnsi="Arial" w:cs="Arial"/>
          <w:color w:val="auto"/>
          <w:sz w:val="22"/>
          <w:szCs w:val="22"/>
          <w:lang w:eastAsia="en-US"/>
        </w:rPr>
      </w:pPr>
      <w:r>
        <w:rPr>
          <w:rFonts w:ascii="Arial" w:hAnsi="Arial" w:cs="Arial"/>
          <w:color w:val="auto"/>
          <w:sz w:val="22"/>
          <w:szCs w:val="22"/>
        </w:rPr>
        <w:t xml:space="preserve">On another front, the intergovernmental road research agency, </w:t>
      </w:r>
      <w:proofErr w:type="spellStart"/>
      <w:r w:rsidRPr="005B4DCA">
        <w:rPr>
          <w:rFonts w:ascii="Arial" w:hAnsi="Arial" w:cs="Arial"/>
          <w:color w:val="auto"/>
          <w:sz w:val="22"/>
          <w:szCs w:val="22"/>
        </w:rPr>
        <w:t>Austroads</w:t>
      </w:r>
      <w:proofErr w:type="spellEnd"/>
      <w:r>
        <w:rPr>
          <w:rFonts w:ascii="Arial" w:hAnsi="Arial" w:cs="Arial"/>
          <w:color w:val="auto"/>
          <w:sz w:val="22"/>
          <w:szCs w:val="22"/>
        </w:rPr>
        <w:t>,</w:t>
      </w:r>
      <w:r w:rsidRPr="005B4DCA">
        <w:rPr>
          <w:rFonts w:ascii="Arial" w:hAnsi="Arial" w:cs="Arial"/>
          <w:color w:val="auto"/>
          <w:sz w:val="22"/>
          <w:szCs w:val="22"/>
        </w:rPr>
        <w:t xml:space="preserve"> has </w:t>
      </w:r>
      <w:r>
        <w:rPr>
          <w:rFonts w:ascii="Arial" w:hAnsi="Arial" w:cs="Arial"/>
          <w:color w:val="auto"/>
          <w:sz w:val="22"/>
          <w:szCs w:val="22"/>
        </w:rPr>
        <w:t xml:space="preserve">concluded </w:t>
      </w:r>
      <w:r w:rsidRPr="005B4DCA">
        <w:rPr>
          <w:rFonts w:ascii="Arial" w:hAnsi="Arial" w:cs="Arial"/>
          <w:color w:val="auto"/>
          <w:sz w:val="22"/>
          <w:szCs w:val="22"/>
        </w:rPr>
        <w:t>that the road is</w:t>
      </w:r>
      <w:r>
        <w:rPr>
          <w:rFonts w:ascii="Arial" w:hAnsi="Arial" w:cs="Arial"/>
          <w:color w:val="auto"/>
          <w:sz w:val="22"/>
          <w:szCs w:val="22"/>
        </w:rPr>
        <w:t xml:space="preserve"> a causation factor in about 30 per cent</w:t>
      </w:r>
      <w:r w:rsidRPr="005B4DCA">
        <w:rPr>
          <w:rFonts w:ascii="Arial" w:hAnsi="Arial" w:cs="Arial"/>
          <w:color w:val="auto"/>
          <w:sz w:val="22"/>
          <w:szCs w:val="22"/>
        </w:rPr>
        <w:t xml:space="preserve"> of all crashes, </w:t>
      </w:r>
      <w:r>
        <w:rPr>
          <w:rFonts w:ascii="Arial" w:hAnsi="Arial" w:cs="Arial"/>
          <w:color w:val="auto"/>
          <w:sz w:val="22"/>
          <w:szCs w:val="22"/>
        </w:rPr>
        <w:t xml:space="preserve">and </w:t>
      </w:r>
      <w:r w:rsidRPr="005B4DCA">
        <w:rPr>
          <w:rFonts w:ascii="Arial" w:hAnsi="Arial" w:cs="Arial"/>
          <w:color w:val="auto"/>
          <w:sz w:val="22"/>
          <w:szCs w:val="22"/>
        </w:rPr>
        <w:t>is known to be a factor in the sever</w:t>
      </w:r>
      <w:r>
        <w:rPr>
          <w:rFonts w:ascii="Arial" w:hAnsi="Arial" w:cs="Arial"/>
          <w:color w:val="auto"/>
          <w:sz w:val="22"/>
          <w:szCs w:val="22"/>
        </w:rPr>
        <w:t>ity outcome of 100 per cent of crashes.</w:t>
      </w:r>
      <w:r w:rsidRPr="005B4DCA">
        <w:rPr>
          <w:rStyle w:val="FootnoteReference"/>
          <w:rFonts w:ascii="Arial" w:hAnsi="Arial"/>
          <w:color w:val="auto"/>
          <w:sz w:val="22"/>
          <w:szCs w:val="22"/>
        </w:rPr>
        <w:footnoteReference w:id="30"/>
      </w:r>
    </w:p>
    <w:p w:rsidR="00BE03A6" w:rsidRDefault="00BE03A6" w:rsidP="00600F92">
      <w:pPr>
        <w:autoSpaceDE w:val="0"/>
        <w:spacing w:after="0" w:line="240" w:lineRule="auto"/>
        <w:rPr>
          <w:rFonts w:ascii="Arial" w:eastAsia="TimesNewRomanPSMT" w:hAnsi="Arial" w:cs="Arial"/>
        </w:rPr>
      </w:pPr>
    </w:p>
    <w:p w:rsidR="00BE03A6" w:rsidRDefault="00BE03A6" w:rsidP="00600F92">
      <w:pPr>
        <w:pStyle w:val="ListParagraph"/>
        <w:numPr>
          <w:ilvl w:val="0"/>
          <w:numId w:val="21"/>
        </w:numPr>
        <w:suppressAutoHyphens/>
        <w:autoSpaceDE w:val="0"/>
        <w:spacing w:after="0" w:line="240" w:lineRule="auto"/>
        <w:ind w:left="714" w:hanging="357"/>
        <w:contextualSpacing w:val="0"/>
        <w:rPr>
          <w:rFonts w:ascii="Arial" w:eastAsia="TimesNewRomanPSMT" w:hAnsi="Arial" w:cs="Arial"/>
        </w:rPr>
      </w:pPr>
      <w:proofErr w:type="gramStart"/>
      <w:r w:rsidRPr="00E55078">
        <w:rPr>
          <w:rFonts w:ascii="Arial" w:eastAsia="TimesNewRomanPSMT" w:hAnsi="Arial" w:cs="Arial"/>
        </w:rPr>
        <w:t>the</w:t>
      </w:r>
      <w:proofErr w:type="gramEnd"/>
      <w:r w:rsidRPr="00E55078">
        <w:rPr>
          <w:rFonts w:ascii="Arial" w:eastAsia="TimesNewRomanPSMT" w:hAnsi="Arial" w:cs="Arial"/>
        </w:rPr>
        <w:t xml:space="preserve"> relationship between work hours, fatigue and accidents is complex</w:t>
      </w:r>
      <w:r>
        <w:rPr>
          <w:rFonts w:ascii="Arial" w:eastAsia="TimesNewRomanPSMT" w:hAnsi="Arial" w:cs="Arial"/>
        </w:rPr>
        <w:t xml:space="preserve">. NTI’s </w:t>
      </w:r>
      <w:r w:rsidR="00A86D53">
        <w:rPr>
          <w:rFonts w:ascii="Arial" w:eastAsia="TimesNewRomanPSMT" w:hAnsi="Arial" w:cs="Arial"/>
        </w:rPr>
        <w:t>2017</w:t>
      </w:r>
      <w:r>
        <w:rPr>
          <w:rFonts w:ascii="Arial" w:eastAsia="TimesNewRomanPSMT" w:hAnsi="Arial" w:cs="Arial"/>
        </w:rPr>
        <w:t xml:space="preserve"> major accident research, for e</w:t>
      </w:r>
      <w:r w:rsidR="00A86D53">
        <w:rPr>
          <w:rFonts w:ascii="Arial" w:eastAsia="TimesNewRomanPSMT" w:hAnsi="Arial" w:cs="Arial"/>
        </w:rPr>
        <w:t>xample, showed that more than 64</w:t>
      </w:r>
      <w:r>
        <w:rPr>
          <w:rFonts w:ascii="Arial" w:eastAsia="TimesNewRomanPSMT" w:hAnsi="Arial" w:cs="Arial"/>
        </w:rPr>
        <w:t xml:space="preserve"> per cent of crashes it examined occurred within 250 km of the point of departure.</w:t>
      </w:r>
      <w:r>
        <w:rPr>
          <w:rStyle w:val="FootnoteReference"/>
          <w:rFonts w:ascii="Arial" w:eastAsia="TimesNewRomanPSMT" w:hAnsi="Arial" w:cs="Arial"/>
        </w:rPr>
        <w:footnoteReference w:id="31"/>
      </w:r>
      <w:r>
        <w:rPr>
          <w:rFonts w:ascii="Arial" w:eastAsia="TimesNewRomanPSMT" w:hAnsi="Arial" w:cs="Arial"/>
        </w:rPr>
        <w:t xml:space="preserve"> </w:t>
      </w:r>
    </w:p>
    <w:p w:rsidR="00BE03A6" w:rsidRDefault="00BE03A6" w:rsidP="00600F92">
      <w:pPr>
        <w:pStyle w:val="ListParagraph"/>
        <w:autoSpaceDE w:val="0"/>
        <w:spacing w:after="0" w:line="240" w:lineRule="auto"/>
        <w:ind w:left="714"/>
        <w:rPr>
          <w:rFonts w:ascii="Arial" w:eastAsia="TimesNewRomanPSMT" w:hAnsi="Arial" w:cs="Arial"/>
        </w:rPr>
      </w:pPr>
    </w:p>
    <w:p w:rsidR="00BE03A6" w:rsidRDefault="00BE03A6" w:rsidP="00600F92">
      <w:pPr>
        <w:autoSpaceDE w:val="0"/>
        <w:spacing w:after="0" w:line="240" w:lineRule="auto"/>
        <w:ind w:left="714"/>
        <w:rPr>
          <w:rFonts w:ascii="Arial" w:eastAsia="TimesNewRomanPSMT" w:hAnsi="Arial" w:cs="Arial"/>
        </w:rPr>
      </w:pPr>
      <w:r w:rsidRPr="00014999">
        <w:rPr>
          <w:rFonts w:ascii="Arial" w:eastAsia="TimesNewRomanPSMT" w:hAnsi="Arial" w:cs="Arial"/>
        </w:rPr>
        <w:t xml:space="preserve">The National Transport Commission (NTC) and the CRC for Alertness, Safety and Productivity are </w:t>
      </w:r>
      <w:r>
        <w:rPr>
          <w:rFonts w:ascii="Arial" w:eastAsia="TimesNewRomanPSMT" w:hAnsi="Arial" w:cs="Arial"/>
        </w:rPr>
        <w:t xml:space="preserve">now </w:t>
      </w:r>
      <w:r w:rsidRPr="00014999">
        <w:rPr>
          <w:rFonts w:ascii="Arial" w:eastAsia="TimesNewRomanPSMT" w:hAnsi="Arial" w:cs="Arial"/>
        </w:rPr>
        <w:t xml:space="preserve">collaborating on a research project to evaluate scientifically the impact of the current HVNL fatigue laws. </w:t>
      </w:r>
    </w:p>
    <w:p w:rsidR="00600F92" w:rsidRDefault="00600F92" w:rsidP="00600F92">
      <w:pPr>
        <w:autoSpaceDE w:val="0"/>
        <w:spacing w:after="0" w:line="240" w:lineRule="auto"/>
        <w:ind w:left="714"/>
        <w:rPr>
          <w:rFonts w:ascii="Arial" w:eastAsia="TimesNewRomanPSMT" w:hAnsi="Arial" w:cs="Arial"/>
        </w:rPr>
      </w:pPr>
    </w:p>
    <w:p w:rsidR="00BE03A6" w:rsidRDefault="00BE03A6" w:rsidP="00600F92">
      <w:pPr>
        <w:autoSpaceDE w:val="0"/>
        <w:spacing w:after="0" w:line="240" w:lineRule="auto"/>
        <w:rPr>
          <w:rFonts w:ascii="Arial" w:hAnsi="Arial" w:cs="Arial"/>
          <w:b/>
          <w:color w:val="00000A"/>
        </w:rPr>
      </w:pPr>
      <w:r>
        <w:rPr>
          <w:rFonts w:ascii="Arial" w:eastAsia="TimesNewRomanPSMT" w:hAnsi="Arial" w:cs="Arial"/>
        </w:rPr>
        <w:t>Against the complexity of the asserted link between fixed</w:t>
      </w:r>
      <w:r w:rsidR="00245A55">
        <w:rPr>
          <w:rFonts w:ascii="Arial" w:eastAsia="TimesNewRomanPSMT" w:hAnsi="Arial" w:cs="Arial"/>
        </w:rPr>
        <w:t xml:space="preserve"> rates and safety, </w:t>
      </w:r>
      <w:r>
        <w:rPr>
          <w:rFonts w:ascii="Arial" w:eastAsia="TimesNewRomanPSMT" w:hAnsi="Arial" w:cs="Arial"/>
        </w:rPr>
        <w:t xml:space="preserve">PricewaterhouseCoopers found in 2016 that the Commonwealth road safety remuneration system had an overall </w:t>
      </w:r>
      <w:r w:rsidRPr="00E32A3B">
        <w:rPr>
          <w:rFonts w:ascii="Arial" w:hAnsi="Arial" w:cs="Arial"/>
          <w:b/>
          <w:color w:val="00000A"/>
        </w:rPr>
        <w:t xml:space="preserve">BCR </w:t>
      </w:r>
      <w:r>
        <w:rPr>
          <w:rFonts w:ascii="Arial" w:hAnsi="Arial" w:cs="Arial"/>
          <w:b/>
          <w:color w:val="00000A"/>
        </w:rPr>
        <w:t>of only</w:t>
      </w:r>
      <w:r w:rsidRPr="00E32A3B">
        <w:rPr>
          <w:rFonts w:ascii="Arial" w:hAnsi="Arial" w:cs="Arial"/>
          <w:b/>
          <w:color w:val="00000A"/>
        </w:rPr>
        <w:t xml:space="preserve"> 0.38, with a net cost of $2.3 billion in NPV terms over 15 years from 2012.</w:t>
      </w:r>
      <w:r>
        <w:rPr>
          <w:rStyle w:val="FootnoteReference"/>
          <w:rFonts w:ascii="Arial" w:hAnsi="Arial" w:cs="Arial"/>
          <w:color w:val="00000A"/>
        </w:rPr>
        <w:footnoteReference w:id="32"/>
      </w:r>
    </w:p>
    <w:p w:rsidR="00600F92" w:rsidRDefault="00600F92" w:rsidP="00600F92">
      <w:pPr>
        <w:autoSpaceDE w:val="0"/>
        <w:spacing w:after="0" w:line="240" w:lineRule="auto"/>
        <w:rPr>
          <w:rFonts w:ascii="Arial" w:eastAsia="TimesNewRomanPSMT" w:hAnsi="Arial" w:cs="Arial"/>
        </w:rPr>
      </w:pPr>
    </w:p>
    <w:p w:rsidR="00BE03A6" w:rsidRDefault="00BE03A6" w:rsidP="00600F92">
      <w:pPr>
        <w:autoSpaceDE w:val="0"/>
        <w:spacing w:after="0" w:line="240" w:lineRule="auto"/>
        <w:rPr>
          <w:rFonts w:ascii="Arial" w:eastAsia="TimesNewRomanPSMT" w:hAnsi="Arial" w:cs="Arial"/>
        </w:rPr>
      </w:pPr>
      <w:r>
        <w:rPr>
          <w:rFonts w:ascii="Arial" w:eastAsia="TimesNewRomanPSMT" w:hAnsi="Arial" w:cs="Arial"/>
        </w:rPr>
        <w:t>In other words, the road safety remuneration system cost resources that could have been used for other purposes, including practical, evidence-based road safety measures that would have been more effective.</w:t>
      </w:r>
    </w:p>
    <w:p w:rsidR="00600F92" w:rsidRDefault="00600F92" w:rsidP="00600F92">
      <w:pPr>
        <w:autoSpaceDE w:val="0"/>
        <w:spacing w:after="0" w:line="240" w:lineRule="auto"/>
        <w:rPr>
          <w:rFonts w:ascii="Arial" w:eastAsia="TimesNewRomanPSMT" w:hAnsi="Arial" w:cs="Arial"/>
        </w:rPr>
      </w:pPr>
    </w:p>
    <w:p w:rsidR="00BE03A6" w:rsidRDefault="00BE03A6" w:rsidP="00600F92">
      <w:pPr>
        <w:autoSpaceDE w:val="0"/>
        <w:spacing w:after="0" w:line="240" w:lineRule="auto"/>
        <w:rPr>
          <w:rFonts w:ascii="Arial" w:eastAsia="TimesNewRomanPSMT" w:hAnsi="Arial" w:cs="Arial"/>
        </w:rPr>
      </w:pPr>
      <w:r>
        <w:rPr>
          <w:rFonts w:ascii="Arial" w:eastAsia="TimesNewRomanPSMT" w:hAnsi="Arial" w:cs="Arial"/>
        </w:rPr>
        <w:t>PwC pointed to submissions to the Road Safety Remuneration Tribunal finding that its payments order would increase costs by 20-30 per cent, making owner drivers uncompetitive.</w:t>
      </w:r>
      <w:r>
        <w:rPr>
          <w:rStyle w:val="FootnoteReference"/>
          <w:rFonts w:ascii="Arial" w:eastAsia="TimesNewRomanPSMT" w:hAnsi="Arial" w:cs="Arial"/>
        </w:rPr>
        <w:footnoteReference w:id="33"/>
      </w:r>
    </w:p>
    <w:p w:rsidR="00600F92" w:rsidRDefault="00600F92" w:rsidP="00600F92">
      <w:pPr>
        <w:autoSpaceDE w:val="0"/>
        <w:spacing w:after="0" w:line="240" w:lineRule="auto"/>
        <w:rPr>
          <w:rFonts w:ascii="Arial" w:eastAsia="TimesNewRomanPSMT" w:hAnsi="Arial" w:cs="Arial"/>
        </w:rPr>
      </w:pPr>
    </w:p>
    <w:p w:rsidR="00BE03A6" w:rsidRDefault="00BE03A6" w:rsidP="00600F92">
      <w:pPr>
        <w:autoSpaceDE w:val="0"/>
        <w:spacing w:after="0" w:line="240" w:lineRule="auto"/>
        <w:rPr>
          <w:rFonts w:ascii="Arial" w:eastAsia="TimesNewRomanPSMT" w:hAnsi="Arial" w:cs="Arial"/>
        </w:rPr>
      </w:pPr>
      <w:r>
        <w:rPr>
          <w:rFonts w:ascii="Arial" w:eastAsia="TimesNewRomanPSMT" w:hAnsi="Arial" w:cs="Arial"/>
        </w:rPr>
        <w:t xml:space="preserve">The PwC also noted practical concerns about setting fixed rates, particularly in relation to </w:t>
      </w:r>
      <w:proofErr w:type="spellStart"/>
      <w:r>
        <w:rPr>
          <w:rFonts w:ascii="Arial" w:eastAsia="TimesNewRomanPSMT" w:hAnsi="Arial" w:cs="Arial"/>
        </w:rPr>
        <w:t>backloading</w:t>
      </w:r>
      <w:proofErr w:type="spellEnd"/>
      <w:r>
        <w:rPr>
          <w:rFonts w:ascii="Arial" w:eastAsia="TimesNewRomanPSMT" w:hAnsi="Arial" w:cs="Arial"/>
        </w:rPr>
        <w:t xml:space="preserve"> and split loads.</w:t>
      </w:r>
      <w:r>
        <w:rPr>
          <w:rStyle w:val="FootnoteReference"/>
          <w:rFonts w:ascii="Arial" w:eastAsia="TimesNewRomanPSMT" w:hAnsi="Arial" w:cs="Arial"/>
        </w:rPr>
        <w:footnoteReference w:id="34"/>
      </w:r>
      <w:r>
        <w:rPr>
          <w:rFonts w:ascii="Arial" w:eastAsia="TimesNewRomanPSMT" w:hAnsi="Arial" w:cs="Arial"/>
        </w:rPr>
        <w:t xml:space="preserve"> </w:t>
      </w:r>
    </w:p>
    <w:p w:rsidR="00600F92" w:rsidRDefault="00600F92" w:rsidP="00600F92">
      <w:pPr>
        <w:autoSpaceDE w:val="0"/>
        <w:spacing w:after="0" w:line="240" w:lineRule="auto"/>
        <w:rPr>
          <w:rFonts w:ascii="Arial" w:hAnsi="Arial" w:cs="Arial"/>
          <w:color w:val="00000A"/>
        </w:rPr>
      </w:pPr>
    </w:p>
    <w:p w:rsidR="00BE03A6" w:rsidRDefault="00BE03A6" w:rsidP="00600F92">
      <w:pPr>
        <w:pStyle w:val="NoSpacing"/>
        <w:rPr>
          <w:rFonts w:ascii="Arial" w:hAnsi="Arial" w:cs="Arial"/>
          <w:color w:val="00000A"/>
          <w:sz w:val="22"/>
          <w:szCs w:val="22"/>
        </w:rPr>
      </w:pPr>
      <w:r>
        <w:rPr>
          <w:rFonts w:ascii="Arial" w:hAnsi="Arial" w:cs="Arial"/>
          <w:color w:val="00000A"/>
          <w:sz w:val="22"/>
          <w:szCs w:val="22"/>
        </w:rPr>
        <w:t>It should be noted that the review deliberately sought to maximise the number of accidents imputed to heavy vehicle drivers in its analysis, to allow a generous estimation of the benefits attributable to the road safety remuneration system.</w:t>
      </w:r>
      <w:r>
        <w:rPr>
          <w:rStyle w:val="FootnoteReference"/>
          <w:rFonts w:ascii="Arial" w:hAnsi="Arial" w:cs="Arial"/>
          <w:color w:val="00000A"/>
          <w:sz w:val="22"/>
          <w:szCs w:val="22"/>
        </w:rPr>
        <w:footnoteReference w:id="35"/>
      </w:r>
    </w:p>
    <w:p w:rsidR="00E706CB" w:rsidRDefault="00E706CB" w:rsidP="00600F92">
      <w:pPr>
        <w:suppressAutoHyphens/>
        <w:spacing w:after="0" w:line="240" w:lineRule="auto"/>
        <w:outlineLvl w:val="0"/>
        <w:rPr>
          <w:rFonts w:ascii="Arial" w:eastAsia="Calibri" w:hAnsi="Arial" w:cs="Arial"/>
          <w:lang w:eastAsia="ar-SA"/>
        </w:rPr>
      </w:pPr>
    </w:p>
    <w:p w:rsidR="00A56D2A" w:rsidRDefault="00A56D2A">
      <w:pPr>
        <w:rPr>
          <w:rFonts w:ascii="Arial" w:eastAsia="Calibri" w:hAnsi="Arial" w:cs="Arial"/>
          <w:lang w:eastAsia="ar-SA"/>
        </w:rPr>
      </w:pPr>
      <w:r>
        <w:rPr>
          <w:rFonts w:ascii="Arial" w:eastAsia="Calibri" w:hAnsi="Arial" w:cs="Arial"/>
          <w:lang w:eastAsia="ar-SA"/>
        </w:rPr>
        <w:br w:type="page"/>
      </w:r>
    </w:p>
    <w:p w:rsidR="00A56D2A" w:rsidRDefault="00A56D2A" w:rsidP="00A56D2A">
      <w:pPr>
        <w:suppressAutoHyphens/>
        <w:spacing w:after="0" w:line="240" w:lineRule="auto"/>
        <w:outlineLvl w:val="0"/>
        <w:rPr>
          <w:rFonts w:ascii="Arial" w:hAnsi="Arial" w:cs="Arial"/>
        </w:rPr>
      </w:pPr>
      <w:r>
        <w:rPr>
          <w:rFonts w:ascii="Arial" w:hAnsi="Arial" w:cs="Arial"/>
        </w:rPr>
        <w:lastRenderedPageBreak/>
        <w:t>Appendix 1</w:t>
      </w:r>
    </w:p>
    <w:p w:rsidR="00A56D2A" w:rsidRDefault="00A56D2A" w:rsidP="00A56D2A">
      <w:pPr>
        <w:suppressAutoHyphens/>
        <w:spacing w:after="0" w:line="240" w:lineRule="auto"/>
        <w:outlineLvl w:val="0"/>
        <w:rPr>
          <w:rFonts w:ascii="Arial" w:hAnsi="Arial" w:cs="Arial"/>
        </w:rPr>
      </w:pPr>
    </w:p>
    <w:p w:rsidR="00A56D2A" w:rsidRDefault="00A56D2A" w:rsidP="00A56D2A">
      <w:pPr>
        <w:suppressAutoHyphens/>
        <w:spacing w:after="0" w:line="240" w:lineRule="auto"/>
        <w:outlineLvl w:val="0"/>
        <w:rPr>
          <w:rFonts w:ascii="Arial" w:hAnsi="Arial" w:cs="Arial"/>
        </w:rPr>
      </w:pPr>
    </w:p>
    <w:p w:rsidR="00A56D2A" w:rsidRDefault="00A56D2A" w:rsidP="00A56D2A">
      <w:pPr>
        <w:suppressAutoHyphens/>
        <w:spacing w:after="0" w:line="240" w:lineRule="auto"/>
        <w:outlineLvl w:val="0"/>
        <w:rPr>
          <w:rFonts w:ascii="Arial" w:hAnsi="Arial" w:cs="Arial"/>
        </w:rPr>
      </w:pPr>
      <w:r>
        <w:rPr>
          <w:rFonts w:ascii="Arial" w:hAnsi="Arial" w:cs="Arial"/>
        </w:rPr>
        <w:t>Learner information and test material currently available to learners that specifically relates to sharing the road with heavy vehicles</w:t>
      </w:r>
      <w:bookmarkStart w:id="0" w:name="_GoBack"/>
      <w:bookmarkEnd w:id="0"/>
      <w:r>
        <w:rPr>
          <w:rFonts w:ascii="Arial" w:hAnsi="Arial" w:cs="Arial"/>
        </w:rPr>
        <w:t>:</w:t>
      </w:r>
    </w:p>
    <w:p w:rsidR="00A56D2A" w:rsidRDefault="00A56D2A" w:rsidP="00A56D2A">
      <w:pPr>
        <w:suppressAutoHyphens/>
        <w:spacing w:after="0" w:line="240" w:lineRule="auto"/>
        <w:outlineLvl w:val="0"/>
        <w:rPr>
          <w:rFonts w:ascii="Arial" w:hAnsi="Arial" w:cs="Arial"/>
        </w:rPr>
      </w:pPr>
    </w:p>
    <w:p w:rsidR="00A56D2A" w:rsidRDefault="00A56D2A" w:rsidP="00A56D2A">
      <w:pPr>
        <w:suppressAutoHyphens/>
        <w:spacing w:after="0" w:line="240" w:lineRule="auto"/>
        <w:outlineLvl w:val="0"/>
        <w:rPr>
          <w:rFonts w:ascii="Arial" w:hAnsi="Arial" w:cs="Arial"/>
        </w:rPr>
      </w:pPr>
      <w:r>
        <w:rPr>
          <w:rFonts w:ascii="Arial" w:hAnsi="Arial" w:cs="Arial"/>
        </w:rPr>
        <w:t>NSW</w:t>
      </w:r>
    </w:p>
    <w:p w:rsidR="00A56D2A" w:rsidRPr="00365B7A" w:rsidRDefault="00A56D2A" w:rsidP="00A56D2A">
      <w:pPr>
        <w:pStyle w:val="ListParagraph"/>
        <w:numPr>
          <w:ilvl w:val="0"/>
          <w:numId w:val="5"/>
        </w:numPr>
        <w:suppressAutoHyphens/>
        <w:spacing w:after="0" w:line="240" w:lineRule="auto"/>
        <w:outlineLvl w:val="0"/>
        <w:rPr>
          <w:rFonts w:ascii="Arial" w:hAnsi="Arial" w:cs="Arial"/>
        </w:rPr>
      </w:pPr>
      <w:r w:rsidRPr="00365B7A">
        <w:rPr>
          <w:rFonts w:ascii="Arial" w:hAnsi="Arial" w:cs="Arial"/>
        </w:rPr>
        <w:t>NSW RMS provides three information handbooks throughout the process of an individual</w:t>
      </w:r>
      <w:r>
        <w:rPr>
          <w:rFonts w:ascii="Arial" w:hAnsi="Arial" w:cs="Arial"/>
        </w:rPr>
        <w:t xml:space="preserve"> </w:t>
      </w:r>
      <w:r w:rsidRPr="00365B7A">
        <w:rPr>
          <w:rFonts w:ascii="Arial" w:hAnsi="Arial" w:cs="Arial"/>
        </w:rPr>
        <w:t>obtaining a full lic</w:t>
      </w:r>
      <w:r>
        <w:rPr>
          <w:rFonts w:ascii="Arial" w:hAnsi="Arial" w:cs="Arial"/>
        </w:rPr>
        <w:t>ence. The Road user’s handbook</w:t>
      </w:r>
      <w:r>
        <w:rPr>
          <w:rStyle w:val="FootnoteReference"/>
          <w:rFonts w:ascii="Arial" w:hAnsi="Arial" w:cs="Arial"/>
        </w:rPr>
        <w:footnoteReference w:id="36"/>
      </w:r>
      <w:r w:rsidRPr="00365B7A">
        <w:rPr>
          <w:rFonts w:ascii="Arial" w:hAnsi="Arial" w:cs="Arial"/>
        </w:rPr>
        <w:t xml:space="preserve"> includes a section titled “Sharing</w:t>
      </w:r>
      <w:r>
        <w:rPr>
          <w:rFonts w:ascii="Arial" w:hAnsi="Arial" w:cs="Arial"/>
        </w:rPr>
        <w:t xml:space="preserve"> </w:t>
      </w:r>
      <w:r w:rsidRPr="00365B7A">
        <w:rPr>
          <w:rFonts w:ascii="Arial" w:hAnsi="Arial" w:cs="Arial"/>
        </w:rPr>
        <w:t>the road with trucks and buses” (58), which outlines a number of safety points including</w:t>
      </w:r>
      <w:r>
        <w:rPr>
          <w:rFonts w:ascii="Arial" w:hAnsi="Arial" w:cs="Arial"/>
        </w:rPr>
        <w:t xml:space="preserve"> </w:t>
      </w:r>
      <w:r w:rsidRPr="00365B7A">
        <w:rPr>
          <w:rFonts w:ascii="Arial" w:hAnsi="Arial" w:cs="Arial"/>
        </w:rPr>
        <w:t>heavy vehicle stopping distances, the extra lane width required through roundabouts and</w:t>
      </w:r>
      <w:r>
        <w:rPr>
          <w:rFonts w:ascii="Arial" w:hAnsi="Arial" w:cs="Arial"/>
        </w:rPr>
        <w:t xml:space="preserve"> </w:t>
      </w:r>
      <w:r w:rsidRPr="00365B7A">
        <w:rPr>
          <w:rFonts w:ascii="Arial" w:hAnsi="Arial" w:cs="Arial"/>
        </w:rPr>
        <w:t>diagram explaining the sign “Do not overtake turning vehicle.”</w:t>
      </w:r>
    </w:p>
    <w:p w:rsidR="00A56D2A" w:rsidRPr="00365B7A" w:rsidRDefault="00A56D2A" w:rsidP="00A56D2A">
      <w:pPr>
        <w:pStyle w:val="ListParagraph"/>
        <w:numPr>
          <w:ilvl w:val="0"/>
          <w:numId w:val="5"/>
        </w:numPr>
        <w:suppressAutoHyphens/>
        <w:spacing w:after="0" w:line="240" w:lineRule="auto"/>
        <w:outlineLvl w:val="0"/>
        <w:rPr>
          <w:rFonts w:ascii="Arial" w:hAnsi="Arial" w:cs="Arial"/>
        </w:rPr>
      </w:pPr>
      <w:r w:rsidRPr="00365B7A">
        <w:rPr>
          <w:rFonts w:ascii="Arial" w:hAnsi="Arial" w:cs="Arial"/>
        </w:rPr>
        <w:t>A driver must pass a Driver knowledge test (DKT)</w:t>
      </w:r>
      <w:r>
        <w:rPr>
          <w:rStyle w:val="FootnoteReference"/>
          <w:rFonts w:ascii="Arial" w:hAnsi="Arial" w:cs="Arial"/>
        </w:rPr>
        <w:footnoteReference w:id="37"/>
      </w:r>
      <w:r>
        <w:rPr>
          <w:rFonts w:ascii="Arial" w:hAnsi="Arial" w:cs="Arial"/>
        </w:rPr>
        <w:t xml:space="preserve"> </w:t>
      </w:r>
      <w:r w:rsidRPr="00365B7A">
        <w:rPr>
          <w:rFonts w:ascii="Arial" w:hAnsi="Arial" w:cs="Arial"/>
        </w:rPr>
        <w:t>21 involving 45 random questions. A</w:t>
      </w:r>
      <w:r>
        <w:rPr>
          <w:rFonts w:ascii="Arial" w:hAnsi="Arial" w:cs="Arial"/>
        </w:rPr>
        <w:t xml:space="preserve"> </w:t>
      </w:r>
      <w:r w:rsidRPr="00365B7A">
        <w:rPr>
          <w:rFonts w:ascii="Arial" w:hAnsi="Arial" w:cs="Arial"/>
        </w:rPr>
        <w:t>question bank of 507 questions is published divided into 10 sections. One relates to</w:t>
      </w:r>
      <w:r>
        <w:rPr>
          <w:rFonts w:ascii="Arial" w:hAnsi="Arial" w:cs="Arial"/>
        </w:rPr>
        <w:t xml:space="preserve"> </w:t>
      </w:r>
      <w:r w:rsidRPr="00365B7A">
        <w:rPr>
          <w:rFonts w:ascii="Arial" w:hAnsi="Arial" w:cs="Arial"/>
        </w:rPr>
        <w:t>sharing the road with trucks and buses, and is about overtaking a turning vehicle. Based</w:t>
      </w:r>
      <w:r>
        <w:rPr>
          <w:rFonts w:ascii="Arial" w:hAnsi="Arial" w:cs="Arial"/>
        </w:rPr>
        <w:t xml:space="preserve"> </w:t>
      </w:r>
      <w:r w:rsidRPr="00365B7A">
        <w:rPr>
          <w:rFonts w:ascii="Arial" w:hAnsi="Arial" w:cs="Arial"/>
        </w:rPr>
        <w:t>on the test questions’ content distribution, the probability of any given person being</w:t>
      </w:r>
      <w:r>
        <w:rPr>
          <w:rFonts w:ascii="Arial" w:hAnsi="Arial" w:cs="Arial"/>
        </w:rPr>
        <w:t xml:space="preserve"> </w:t>
      </w:r>
      <w:r w:rsidRPr="00365B7A">
        <w:rPr>
          <w:rFonts w:ascii="Arial" w:hAnsi="Arial" w:cs="Arial"/>
        </w:rPr>
        <w:t>asked the question is 6.25 per cent (assuming the sections are tested equally)</w:t>
      </w:r>
    </w:p>
    <w:p w:rsidR="00A56D2A" w:rsidRPr="00365B7A" w:rsidRDefault="00A56D2A" w:rsidP="00A56D2A">
      <w:pPr>
        <w:pStyle w:val="ListParagraph"/>
        <w:numPr>
          <w:ilvl w:val="0"/>
          <w:numId w:val="5"/>
        </w:numPr>
        <w:suppressAutoHyphens/>
        <w:spacing w:after="0" w:line="240" w:lineRule="auto"/>
        <w:outlineLvl w:val="0"/>
        <w:rPr>
          <w:rFonts w:ascii="Arial" w:hAnsi="Arial" w:cs="Arial"/>
        </w:rPr>
      </w:pPr>
      <w:r>
        <w:rPr>
          <w:rFonts w:ascii="Arial" w:hAnsi="Arial" w:cs="Arial"/>
        </w:rPr>
        <w:t>The Hazard perception handbook</w:t>
      </w:r>
      <w:r>
        <w:rPr>
          <w:rStyle w:val="FootnoteReference"/>
          <w:rFonts w:ascii="Arial" w:hAnsi="Arial" w:cs="Arial"/>
        </w:rPr>
        <w:footnoteReference w:id="38"/>
      </w:r>
      <w:r w:rsidRPr="00365B7A">
        <w:rPr>
          <w:rFonts w:ascii="Arial" w:hAnsi="Arial" w:cs="Arial"/>
        </w:rPr>
        <w:t xml:space="preserve"> covers the extra spacing required when following</w:t>
      </w:r>
      <w:r>
        <w:rPr>
          <w:rFonts w:ascii="Arial" w:hAnsi="Arial" w:cs="Arial"/>
        </w:rPr>
        <w:t xml:space="preserve"> </w:t>
      </w:r>
      <w:r w:rsidRPr="00365B7A">
        <w:rPr>
          <w:rFonts w:ascii="Arial" w:hAnsi="Arial" w:cs="Arial"/>
        </w:rPr>
        <w:t>and overtaking heavy vehicles.</w:t>
      </w:r>
    </w:p>
    <w:p w:rsidR="00A56D2A" w:rsidRDefault="00A56D2A" w:rsidP="00A56D2A">
      <w:pPr>
        <w:pStyle w:val="ListParagraph"/>
        <w:numPr>
          <w:ilvl w:val="0"/>
          <w:numId w:val="5"/>
        </w:numPr>
        <w:suppressAutoHyphens/>
        <w:spacing w:after="0" w:line="240" w:lineRule="auto"/>
        <w:outlineLvl w:val="0"/>
        <w:rPr>
          <w:rFonts w:ascii="Arial" w:hAnsi="Arial" w:cs="Arial"/>
        </w:rPr>
      </w:pPr>
      <w:r w:rsidRPr="00365B7A">
        <w:rPr>
          <w:rFonts w:ascii="Arial" w:hAnsi="Arial" w:cs="Arial"/>
        </w:rPr>
        <w:t>The</w:t>
      </w:r>
      <w:r>
        <w:rPr>
          <w:rFonts w:ascii="Arial" w:hAnsi="Arial" w:cs="Arial"/>
        </w:rPr>
        <w:t xml:space="preserve"> Driver qualification handbook</w:t>
      </w:r>
      <w:r>
        <w:rPr>
          <w:rStyle w:val="FootnoteReference"/>
          <w:rFonts w:ascii="Arial" w:hAnsi="Arial" w:cs="Arial"/>
        </w:rPr>
        <w:footnoteReference w:id="39"/>
      </w:r>
      <w:r w:rsidRPr="00365B7A">
        <w:rPr>
          <w:rFonts w:ascii="Arial" w:hAnsi="Arial" w:cs="Arial"/>
        </w:rPr>
        <w:t xml:space="preserve"> which is used for drivers to progress from a</w:t>
      </w:r>
      <w:r>
        <w:rPr>
          <w:rFonts w:ascii="Arial" w:hAnsi="Arial" w:cs="Arial"/>
        </w:rPr>
        <w:t xml:space="preserve"> </w:t>
      </w:r>
      <w:r w:rsidRPr="00365B7A">
        <w:rPr>
          <w:rFonts w:ascii="Arial" w:hAnsi="Arial" w:cs="Arial"/>
        </w:rPr>
        <w:t>provisional to a full licence provides a section with information on how to drive safely</w:t>
      </w:r>
      <w:r>
        <w:rPr>
          <w:rFonts w:ascii="Arial" w:hAnsi="Arial" w:cs="Arial"/>
        </w:rPr>
        <w:t xml:space="preserve"> </w:t>
      </w:r>
      <w:r w:rsidRPr="00365B7A">
        <w:rPr>
          <w:rFonts w:ascii="Arial" w:hAnsi="Arial" w:cs="Arial"/>
        </w:rPr>
        <w:t>around heavy vehicles.</w:t>
      </w:r>
    </w:p>
    <w:p w:rsidR="00A56D2A" w:rsidRPr="00D20197" w:rsidRDefault="00A56D2A" w:rsidP="00A56D2A">
      <w:pPr>
        <w:suppressAutoHyphens/>
        <w:spacing w:after="0" w:line="240" w:lineRule="auto"/>
        <w:outlineLvl w:val="0"/>
        <w:rPr>
          <w:rFonts w:ascii="Arial" w:hAnsi="Arial" w:cs="Arial"/>
        </w:rPr>
      </w:pPr>
    </w:p>
    <w:p w:rsidR="00A56D2A" w:rsidRDefault="00A56D2A" w:rsidP="00A56D2A">
      <w:pPr>
        <w:suppressAutoHyphens/>
        <w:spacing w:after="0" w:line="240" w:lineRule="auto"/>
        <w:outlineLvl w:val="0"/>
        <w:rPr>
          <w:rFonts w:ascii="Arial" w:hAnsi="Arial" w:cs="Arial"/>
        </w:rPr>
      </w:pPr>
      <w:r>
        <w:rPr>
          <w:rFonts w:ascii="Arial" w:hAnsi="Arial" w:cs="Arial"/>
        </w:rPr>
        <w:t>Victoria</w:t>
      </w:r>
    </w:p>
    <w:p w:rsidR="00A56D2A" w:rsidRPr="0045459B" w:rsidRDefault="00A56D2A" w:rsidP="00A56D2A">
      <w:pPr>
        <w:pStyle w:val="ListParagraph"/>
        <w:numPr>
          <w:ilvl w:val="0"/>
          <w:numId w:val="12"/>
        </w:numPr>
        <w:autoSpaceDE w:val="0"/>
        <w:autoSpaceDN w:val="0"/>
        <w:adjustRightInd w:val="0"/>
        <w:spacing w:after="0" w:line="240" w:lineRule="auto"/>
        <w:rPr>
          <w:rFonts w:ascii="Arial" w:hAnsi="Arial" w:cs="Arial"/>
        </w:rPr>
      </w:pPr>
      <w:r w:rsidRPr="0045459B">
        <w:rPr>
          <w:rFonts w:ascii="Arial" w:hAnsi="Arial" w:cs="Arial"/>
        </w:rPr>
        <w:t>VicRoads provides a Learner driver handbook</w:t>
      </w:r>
      <w:r>
        <w:rPr>
          <w:rStyle w:val="FootnoteReference"/>
          <w:rFonts w:ascii="Arial" w:hAnsi="Arial" w:cs="Arial"/>
        </w:rPr>
        <w:footnoteReference w:id="40"/>
      </w:r>
      <w:r w:rsidRPr="0045459B">
        <w:rPr>
          <w:rFonts w:ascii="Arial" w:hAnsi="Arial" w:cs="Arial"/>
          <w:sz w:val="14"/>
          <w:szCs w:val="14"/>
        </w:rPr>
        <w:t xml:space="preserve"> </w:t>
      </w:r>
      <w:r w:rsidRPr="0045459B">
        <w:rPr>
          <w:rFonts w:ascii="Arial" w:hAnsi="Arial" w:cs="Arial"/>
        </w:rPr>
        <w:t>which provides drivers with safety</w:t>
      </w:r>
      <w:r>
        <w:rPr>
          <w:rFonts w:ascii="Arial" w:hAnsi="Arial" w:cs="Arial"/>
        </w:rPr>
        <w:t xml:space="preserve"> </w:t>
      </w:r>
      <w:r w:rsidRPr="0045459B">
        <w:rPr>
          <w:rFonts w:ascii="Arial" w:hAnsi="Arial" w:cs="Arial"/>
        </w:rPr>
        <w:t>information regarding heavy vehicle blind spots, stopping distance, oversize vehicles. It</w:t>
      </w:r>
      <w:r>
        <w:rPr>
          <w:rFonts w:ascii="Arial" w:hAnsi="Arial" w:cs="Arial"/>
        </w:rPr>
        <w:t xml:space="preserve"> </w:t>
      </w:r>
      <w:r w:rsidRPr="0045459B">
        <w:rPr>
          <w:rFonts w:ascii="Arial" w:hAnsi="Arial" w:cs="Arial"/>
        </w:rPr>
        <w:t>explains the “Do not overtake turning vehicle” sign but does not use appropriate</w:t>
      </w:r>
      <w:r>
        <w:rPr>
          <w:rFonts w:ascii="Arial" w:hAnsi="Arial" w:cs="Arial"/>
        </w:rPr>
        <w:t xml:space="preserve"> </w:t>
      </w:r>
      <w:r w:rsidRPr="0045459B">
        <w:rPr>
          <w:rFonts w:ascii="Arial" w:hAnsi="Arial" w:cs="Arial"/>
        </w:rPr>
        <w:t>diagrams. It does not explain the danger of failing to heed this rule.</w:t>
      </w:r>
    </w:p>
    <w:p w:rsidR="00A56D2A" w:rsidRDefault="00A56D2A" w:rsidP="00A56D2A">
      <w:pPr>
        <w:pStyle w:val="ListParagraph"/>
        <w:numPr>
          <w:ilvl w:val="0"/>
          <w:numId w:val="12"/>
        </w:numPr>
        <w:autoSpaceDE w:val="0"/>
        <w:autoSpaceDN w:val="0"/>
        <w:adjustRightInd w:val="0"/>
        <w:spacing w:after="0" w:line="240" w:lineRule="auto"/>
        <w:rPr>
          <w:rFonts w:ascii="Arial" w:hAnsi="Arial" w:cs="Arial"/>
        </w:rPr>
      </w:pPr>
      <w:r w:rsidRPr="0045459B">
        <w:rPr>
          <w:rFonts w:ascii="Arial" w:hAnsi="Arial" w:cs="Arial"/>
        </w:rPr>
        <w:t>VicRoads does not publish information about how it tests a driver’s knowledge about</w:t>
      </w:r>
      <w:r>
        <w:rPr>
          <w:rFonts w:ascii="Arial" w:hAnsi="Arial" w:cs="Arial"/>
        </w:rPr>
        <w:t xml:space="preserve"> </w:t>
      </w:r>
      <w:r w:rsidRPr="0045459B">
        <w:rPr>
          <w:rFonts w:ascii="Arial" w:hAnsi="Arial" w:cs="Arial"/>
        </w:rPr>
        <w:t>heavy vehicles through the course of driving training.</w:t>
      </w:r>
    </w:p>
    <w:p w:rsidR="00A56D2A" w:rsidRDefault="00A56D2A" w:rsidP="00A56D2A">
      <w:pPr>
        <w:autoSpaceDE w:val="0"/>
        <w:autoSpaceDN w:val="0"/>
        <w:adjustRightInd w:val="0"/>
        <w:spacing w:after="0" w:line="240" w:lineRule="auto"/>
        <w:rPr>
          <w:rFonts w:ascii="Arial" w:hAnsi="Arial" w:cs="Arial"/>
        </w:rPr>
      </w:pPr>
    </w:p>
    <w:p w:rsidR="00A56D2A" w:rsidRDefault="00A56D2A" w:rsidP="00A56D2A">
      <w:pPr>
        <w:autoSpaceDE w:val="0"/>
        <w:autoSpaceDN w:val="0"/>
        <w:adjustRightInd w:val="0"/>
        <w:spacing w:after="0" w:line="240" w:lineRule="auto"/>
        <w:rPr>
          <w:rFonts w:ascii="Arial" w:hAnsi="Arial" w:cs="Arial"/>
        </w:rPr>
      </w:pPr>
      <w:r>
        <w:rPr>
          <w:rFonts w:ascii="Arial" w:hAnsi="Arial" w:cs="Arial"/>
        </w:rPr>
        <w:t>Queensland</w:t>
      </w:r>
    </w:p>
    <w:p w:rsidR="00A56D2A" w:rsidRPr="0045459B" w:rsidRDefault="00A56D2A" w:rsidP="00A56D2A">
      <w:pPr>
        <w:pStyle w:val="ListParagraph"/>
        <w:numPr>
          <w:ilvl w:val="0"/>
          <w:numId w:val="13"/>
        </w:numPr>
        <w:autoSpaceDE w:val="0"/>
        <w:autoSpaceDN w:val="0"/>
        <w:adjustRightInd w:val="0"/>
        <w:spacing w:after="0" w:line="240" w:lineRule="auto"/>
        <w:rPr>
          <w:rFonts w:ascii="Arial" w:hAnsi="Arial" w:cs="Arial"/>
        </w:rPr>
      </w:pPr>
      <w:r w:rsidRPr="0045459B">
        <w:rPr>
          <w:rFonts w:ascii="Arial" w:hAnsi="Arial" w:cs="Arial"/>
        </w:rPr>
        <w:t>The Queensland Government publishes a “Driver Handbook”</w:t>
      </w:r>
      <w:r>
        <w:rPr>
          <w:rStyle w:val="FootnoteReference"/>
          <w:rFonts w:ascii="Arial" w:hAnsi="Arial" w:cs="Arial"/>
        </w:rPr>
        <w:footnoteReference w:id="41"/>
      </w:r>
      <w:r w:rsidRPr="0045459B">
        <w:rPr>
          <w:rFonts w:ascii="Arial" w:hAnsi="Arial" w:cs="Arial"/>
          <w:sz w:val="14"/>
          <w:szCs w:val="14"/>
        </w:rPr>
        <w:t xml:space="preserve"> </w:t>
      </w:r>
      <w:r w:rsidRPr="0045459B">
        <w:rPr>
          <w:rFonts w:ascii="Arial" w:hAnsi="Arial" w:cs="Arial"/>
        </w:rPr>
        <w:t>that provides some information regarding sharing the road with heavy vehicles. The handbook briefly covers safe following distances, overtaking, and additionally displays a diagram explaining the “Do not overtake turning vehicle” sign.</w:t>
      </w:r>
    </w:p>
    <w:p w:rsidR="00A56D2A" w:rsidRPr="0045459B" w:rsidRDefault="00A56D2A" w:rsidP="00A56D2A">
      <w:pPr>
        <w:pStyle w:val="ListParagraph"/>
        <w:numPr>
          <w:ilvl w:val="0"/>
          <w:numId w:val="13"/>
        </w:numPr>
        <w:autoSpaceDE w:val="0"/>
        <w:autoSpaceDN w:val="0"/>
        <w:adjustRightInd w:val="0"/>
        <w:spacing w:after="0" w:line="240" w:lineRule="auto"/>
        <w:rPr>
          <w:rFonts w:ascii="Arial" w:hAnsi="Arial" w:cs="Arial"/>
        </w:rPr>
      </w:pPr>
      <w:r w:rsidRPr="0045459B">
        <w:rPr>
          <w:rFonts w:ascii="Arial" w:hAnsi="Arial" w:cs="Arial"/>
        </w:rPr>
        <w:t>The Queensland Government does not publish information regarding the testing of</w:t>
      </w:r>
      <w:r>
        <w:rPr>
          <w:rFonts w:ascii="Arial" w:hAnsi="Arial" w:cs="Arial"/>
        </w:rPr>
        <w:t xml:space="preserve"> </w:t>
      </w:r>
      <w:r w:rsidRPr="0045459B">
        <w:rPr>
          <w:rFonts w:ascii="Arial" w:hAnsi="Arial" w:cs="Arial"/>
        </w:rPr>
        <w:t>heavy vehicle safety information through the course of driving training.</w:t>
      </w:r>
    </w:p>
    <w:p w:rsidR="00A56D2A" w:rsidRDefault="00A56D2A" w:rsidP="00A56D2A">
      <w:pPr>
        <w:autoSpaceDE w:val="0"/>
        <w:autoSpaceDN w:val="0"/>
        <w:adjustRightInd w:val="0"/>
        <w:spacing w:after="0" w:line="240" w:lineRule="auto"/>
        <w:rPr>
          <w:rFonts w:ascii="Arial" w:hAnsi="Arial" w:cs="Arial"/>
        </w:rPr>
      </w:pPr>
      <w:r>
        <w:rPr>
          <w:rFonts w:ascii="Arial" w:hAnsi="Arial" w:cs="Arial"/>
        </w:rPr>
        <w:t>South Australia</w:t>
      </w:r>
    </w:p>
    <w:p w:rsidR="00A56D2A" w:rsidRDefault="00A56D2A" w:rsidP="00A56D2A">
      <w:pPr>
        <w:pStyle w:val="ListParagraph"/>
        <w:numPr>
          <w:ilvl w:val="0"/>
          <w:numId w:val="14"/>
        </w:numPr>
        <w:autoSpaceDE w:val="0"/>
        <w:autoSpaceDN w:val="0"/>
        <w:adjustRightInd w:val="0"/>
        <w:spacing w:after="0" w:line="240" w:lineRule="auto"/>
        <w:rPr>
          <w:rFonts w:ascii="Arial" w:hAnsi="Arial" w:cs="Arial"/>
        </w:rPr>
      </w:pPr>
      <w:r w:rsidRPr="0045459B">
        <w:rPr>
          <w:rFonts w:ascii="Arial" w:hAnsi="Arial" w:cs="Arial"/>
        </w:rPr>
        <w:t>The South Australian Government provides all road users with a “Drivers Handbook” that</w:t>
      </w:r>
      <w:r>
        <w:rPr>
          <w:rFonts w:ascii="Arial" w:hAnsi="Arial" w:cs="Arial"/>
        </w:rPr>
        <w:t xml:space="preserve"> </w:t>
      </w:r>
      <w:r w:rsidRPr="0045459B">
        <w:rPr>
          <w:rFonts w:ascii="Arial" w:hAnsi="Arial" w:cs="Arial"/>
        </w:rPr>
        <w:t>contains information on sharing the road with heavy vehicles. The handbook provides</w:t>
      </w:r>
      <w:r>
        <w:rPr>
          <w:rFonts w:ascii="Arial" w:hAnsi="Arial" w:cs="Arial"/>
        </w:rPr>
        <w:t xml:space="preserve"> </w:t>
      </w:r>
      <w:r w:rsidRPr="0045459B">
        <w:rPr>
          <w:rFonts w:ascii="Arial" w:hAnsi="Arial" w:cs="Arial"/>
        </w:rPr>
        <w:t>excellent diagrams and explanations about not overtaking turning vehicles, providing a</w:t>
      </w:r>
      <w:r>
        <w:rPr>
          <w:rFonts w:ascii="Arial" w:hAnsi="Arial" w:cs="Arial"/>
        </w:rPr>
        <w:t xml:space="preserve"> </w:t>
      </w:r>
      <w:r w:rsidRPr="0045459B">
        <w:rPr>
          <w:rFonts w:ascii="Arial" w:hAnsi="Arial" w:cs="Arial"/>
        </w:rPr>
        <w:t>number of scenarios which drivers may encounter. Furthermore the handbook details</w:t>
      </w:r>
      <w:r>
        <w:rPr>
          <w:rFonts w:ascii="Arial" w:hAnsi="Arial" w:cs="Arial"/>
        </w:rPr>
        <w:t xml:space="preserve"> </w:t>
      </w:r>
      <w:r w:rsidRPr="0045459B">
        <w:rPr>
          <w:rFonts w:ascii="Arial" w:hAnsi="Arial" w:cs="Arial"/>
        </w:rPr>
        <w:t xml:space="preserve">safety information on heavy vehicle blind spots, stopping distances, </w:t>
      </w:r>
      <w:r w:rsidRPr="0045459B">
        <w:rPr>
          <w:rFonts w:ascii="Arial" w:hAnsi="Arial" w:cs="Arial"/>
        </w:rPr>
        <w:lastRenderedPageBreak/>
        <w:t>oversize loads and</w:t>
      </w:r>
      <w:r>
        <w:rPr>
          <w:rFonts w:ascii="Arial" w:hAnsi="Arial" w:cs="Arial"/>
        </w:rPr>
        <w:t xml:space="preserve"> </w:t>
      </w:r>
      <w:r w:rsidRPr="0045459B">
        <w:rPr>
          <w:rFonts w:ascii="Arial" w:hAnsi="Arial" w:cs="Arial"/>
        </w:rPr>
        <w:t>roundabouts, but fails to make use of appropriate diagrams to further illustrate the</w:t>
      </w:r>
      <w:r>
        <w:rPr>
          <w:rFonts w:ascii="Arial" w:hAnsi="Arial" w:cs="Arial"/>
        </w:rPr>
        <w:t xml:space="preserve"> </w:t>
      </w:r>
      <w:r w:rsidRPr="0045459B">
        <w:rPr>
          <w:rFonts w:ascii="Arial" w:hAnsi="Arial" w:cs="Arial"/>
        </w:rPr>
        <w:t>dangers.</w:t>
      </w:r>
      <w:r>
        <w:rPr>
          <w:rStyle w:val="FootnoteReference"/>
          <w:rFonts w:ascii="Arial" w:hAnsi="Arial" w:cs="Arial"/>
        </w:rPr>
        <w:footnoteReference w:id="42"/>
      </w:r>
    </w:p>
    <w:p w:rsidR="00A56D2A" w:rsidRDefault="00A56D2A" w:rsidP="00A56D2A">
      <w:pPr>
        <w:pStyle w:val="ListParagraph"/>
        <w:numPr>
          <w:ilvl w:val="0"/>
          <w:numId w:val="14"/>
        </w:numPr>
        <w:autoSpaceDE w:val="0"/>
        <w:autoSpaceDN w:val="0"/>
        <w:adjustRightInd w:val="0"/>
        <w:spacing w:after="0" w:line="240" w:lineRule="auto"/>
        <w:rPr>
          <w:rFonts w:ascii="Arial" w:hAnsi="Arial" w:cs="Arial"/>
        </w:rPr>
      </w:pPr>
      <w:r w:rsidRPr="0045459B">
        <w:rPr>
          <w:rFonts w:ascii="Arial" w:hAnsi="Arial" w:cs="Arial"/>
        </w:rPr>
        <w:t>The SA Government does not publish any information regarding the testing of heavy</w:t>
      </w:r>
      <w:r>
        <w:rPr>
          <w:rFonts w:ascii="Arial" w:hAnsi="Arial" w:cs="Arial"/>
        </w:rPr>
        <w:t xml:space="preserve"> </w:t>
      </w:r>
      <w:r w:rsidRPr="0045459B">
        <w:rPr>
          <w:rFonts w:ascii="Arial" w:hAnsi="Arial" w:cs="Arial"/>
        </w:rPr>
        <w:t>vehicle safety information through the course of driving training.</w:t>
      </w:r>
    </w:p>
    <w:p w:rsidR="00A56D2A" w:rsidRPr="00411C73" w:rsidRDefault="00A56D2A" w:rsidP="00A56D2A">
      <w:pPr>
        <w:autoSpaceDE w:val="0"/>
        <w:autoSpaceDN w:val="0"/>
        <w:adjustRightInd w:val="0"/>
        <w:spacing w:after="0" w:line="240" w:lineRule="auto"/>
        <w:rPr>
          <w:rFonts w:ascii="Arial" w:hAnsi="Arial" w:cs="Arial"/>
        </w:rPr>
      </w:pPr>
    </w:p>
    <w:p w:rsidR="00A56D2A" w:rsidRDefault="00A56D2A" w:rsidP="00A56D2A">
      <w:pPr>
        <w:suppressAutoHyphens/>
        <w:spacing w:after="0" w:line="240" w:lineRule="auto"/>
        <w:outlineLvl w:val="0"/>
        <w:rPr>
          <w:rFonts w:ascii="Arial" w:hAnsi="Arial" w:cs="Arial"/>
        </w:rPr>
      </w:pPr>
      <w:r>
        <w:rPr>
          <w:rFonts w:ascii="Arial" w:hAnsi="Arial" w:cs="Arial"/>
        </w:rPr>
        <w:t>Western Australia</w:t>
      </w:r>
    </w:p>
    <w:p w:rsidR="00A56D2A" w:rsidRDefault="00A56D2A" w:rsidP="00A56D2A">
      <w:pPr>
        <w:pStyle w:val="ListParagraph"/>
        <w:numPr>
          <w:ilvl w:val="0"/>
          <w:numId w:val="15"/>
        </w:numPr>
        <w:autoSpaceDE w:val="0"/>
        <w:autoSpaceDN w:val="0"/>
        <w:adjustRightInd w:val="0"/>
        <w:spacing w:after="0" w:line="240" w:lineRule="auto"/>
        <w:rPr>
          <w:rFonts w:ascii="Arial" w:hAnsi="Arial" w:cs="Arial"/>
        </w:rPr>
      </w:pPr>
      <w:r w:rsidRPr="00DD7576">
        <w:rPr>
          <w:rFonts w:ascii="Arial" w:hAnsi="Arial" w:cs="Arial"/>
        </w:rPr>
        <w:t>The Western Australian Government’s published driver handbook</w:t>
      </w:r>
      <w:r>
        <w:rPr>
          <w:rStyle w:val="FootnoteReference"/>
          <w:rFonts w:ascii="Arial" w:hAnsi="Arial" w:cs="Arial"/>
        </w:rPr>
        <w:footnoteReference w:id="43"/>
      </w:r>
      <w:r w:rsidRPr="00DD7576">
        <w:rPr>
          <w:rFonts w:ascii="Arial" w:hAnsi="Arial" w:cs="Arial"/>
          <w:sz w:val="14"/>
          <w:szCs w:val="14"/>
        </w:rPr>
        <w:t xml:space="preserve"> </w:t>
      </w:r>
      <w:r w:rsidRPr="00DD7576">
        <w:rPr>
          <w:rFonts w:ascii="Arial" w:hAnsi="Arial" w:cs="Arial"/>
        </w:rPr>
        <w:t>provides very little</w:t>
      </w:r>
      <w:r>
        <w:rPr>
          <w:rFonts w:ascii="Arial" w:hAnsi="Arial" w:cs="Arial"/>
        </w:rPr>
        <w:t xml:space="preserve"> </w:t>
      </w:r>
      <w:r w:rsidRPr="00DD7576">
        <w:rPr>
          <w:rFonts w:ascii="Arial" w:hAnsi="Arial" w:cs="Arial"/>
        </w:rPr>
        <w:t>information on sharing the road safely with heavy vehicles and does not use diagrams.</w:t>
      </w:r>
      <w:r>
        <w:rPr>
          <w:rFonts w:ascii="Arial" w:hAnsi="Arial" w:cs="Arial"/>
        </w:rPr>
        <w:t xml:space="preserve"> </w:t>
      </w:r>
      <w:r w:rsidRPr="00DD7576">
        <w:rPr>
          <w:rFonts w:ascii="Arial" w:hAnsi="Arial" w:cs="Arial"/>
        </w:rPr>
        <w:t>The handbook outlines that heavy vehicles may need more room to turn around corners</w:t>
      </w:r>
      <w:r>
        <w:rPr>
          <w:rFonts w:ascii="Arial" w:hAnsi="Arial" w:cs="Arial"/>
        </w:rPr>
        <w:t xml:space="preserve"> </w:t>
      </w:r>
      <w:r w:rsidRPr="00DD7576">
        <w:rPr>
          <w:rFonts w:ascii="Arial" w:hAnsi="Arial" w:cs="Arial"/>
        </w:rPr>
        <w:t>and roundabouts, but does not mention or illustrate the “Do not overtake turning</w:t>
      </w:r>
      <w:r>
        <w:rPr>
          <w:rFonts w:ascii="Arial" w:hAnsi="Arial" w:cs="Arial"/>
        </w:rPr>
        <w:t xml:space="preserve"> </w:t>
      </w:r>
      <w:r w:rsidRPr="00DD7576">
        <w:rPr>
          <w:rFonts w:ascii="Arial" w:hAnsi="Arial" w:cs="Arial"/>
        </w:rPr>
        <w:t>vehicles” sign. The handbook briefly explains that heavy vehicles accelerate and</w:t>
      </w:r>
      <w:r>
        <w:rPr>
          <w:rFonts w:ascii="Arial" w:hAnsi="Arial" w:cs="Arial"/>
        </w:rPr>
        <w:t xml:space="preserve"> </w:t>
      </w:r>
      <w:r w:rsidRPr="00DD7576">
        <w:rPr>
          <w:rFonts w:ascii="Arial" w:hAnsi="Arial" w:cs="Arial"/>
        </w:rPr>
        <w:t>decelerate slower than light vehicles.</w:t>
      </w:r>
    </w:p>
    <w:p w:rsidR="00A56D2A" w:rsidRDefault="00A56D2A" w:rsidP="00A56D2A">
      <w:pPr>
        <w:pStyle w:val="ListParagraph"/>
        <w:numPr>
          <w:ilvl w:val="0"/>
          <w:numId w:val="15"/>
        </w:numPr>
        <w:autoSpaceDE w:val="0"/>
        <w:autoSpaceDN w:val="0"/>
        <w:adjustRightInd w:val="0"/>
        <w:spacing w:after="0" w:line="240" w:lineRule="auto"/>
        <w:rPr>
          <w:rFonts w:ascii="Arial" w:hAnsi="Arial" w:cs="Arial"/>
        </w:rPr>
      </w:pPr>
      <w:r w:rsidRPr="00DD7576">
        <w:rPr>
          <w:rFonts w:ascii="Arial" w:hAnsi="Arial" w:cs="Arial"/>
        </w:rPr>
        <w:t>The WA Government does not publish any information regarding the testing of heavy</w:t>
      </w:r>
      <w:r>
        <w:rPr>
          <w:rFonts w:ascii="Arial" w:hAnsi="Arial" w:cs="Arial"/>
        </w:rPr>
        <w:t xml:space="preserve"> </w:t>
      </w:r>
      <w:r w:rsidRPr="00DD7576">
        <w:rPr>
          <w:rFonts w:ascii="Arial" w:hAnsi="Arial" w:cs="Arial"/>
        </w:rPr>
        <w:t>vehicle safety information through the course of driving training.</w:t>
      </w:r>
    </w:p>
    <w:p w:rsidR="00A56D2A" w:rsidRDefault="00A56D2A" w:rsidP="00A56D2A">
      <w:pPr>
        <w:autoSpaceDE w:val="0"/>
        <w:autoSpaceDN w:val="0"/>
        <w:adjustRightInd w:val="0"/>
        <w:spacing w:after="0" w:line="240" w:lineRule="auto"/>
        <w:rPr>
          <w:rFonts w:ascii="Arial" w:hAnsi="Arial" w:cs="Arial"/>
        </w:rPr>
      </w:pPr>
    </w:p>
    <w:p w:rsidR="00A56D2A" w:rsidRDefault="00A56D2A" w:rsidP="00A56D2A">
      <w:pPr>
        <w:autoSpaceDE w:val="0"/>
        <w:autoSpaceDN w:val="0"/>
        <w:adjustRightInd w:val="0"/>
        <w:spacing w:after="0" w:line="240" w:lineRule="auto"/>
        <w:rPr>
          <w:rFonts w:ascii="Arial" w:hAnsi="Arial" w:cs="Arial"/>
        </w:rPr>
      </w:pPr>
      <w:r>
        <w:rPr>
          <w:rFonts w:ascii="Arial" w:hAnsi="Arial" w:cs="Arial"/>
        </w:rPr>
        <w:t>Tasmania</w:t>
      </w:r>
    </w:p>
    <w:p w:rsidR="00A56D2A" w:rsidRDefault="00A56D2A" w:rsidP="00A56D2A">
      <w:pPr>
        <w:pStyle w:val="ListParagraph"/>
        <w:numPr>
          <w:ilvl w:val="0"/>
          <w:numId w:val="16"/>
        </w:numPr>
        <w:autoSpaceDE w:val="0"/>
        <w:autoSpaceDN w:val="0"/>
        <w:adjustRightInd w:val="0"/>
        <w:spacing w:after="0" w:line="240" w:lineRule="auto"/>
        <w:rPr>
          <w:rFonts w:ascii="Arial" w:hAnsi="Arial" w:cs="Arial"/>
        </w:rPr>
      </w:pPr>
      <w:r w:rsidRPr="00AF63CB">
        <w:rPr>
          <w:rFonts w:ascii="Arial" w:hAnsi="Arial" w:cs="Arial"/>
        </w:rPr>
        <w:t>The Tasmanian road rules handbook provides very little information on sharing the road</w:t>
      </w:r>
      <w:r>
        <w:rPr>
          <w:rFonts w:ascii="Arial" w:hAnsi="Arial" w:cs="Arial"/>
        </w:rPr>
        <w:t xml:space="preserve"> </w:t>
      </w:r>
      <w:r w:rsidRPr="00AF63CB">
        <w:rPr>
          <w:rFonts w:ascii="Arial" w:hAnsi="Arial" w:cs="Arial"/>
        </w:rPr>
        <w:t>safely with heavy vehicles. The handbook does provide a brief illustration about not</w:t>
      </w:r>
      <w:r>
        <w:rPr>
          <w:rFonts w:ascii="Arial" w:hAnsi="Arial" w:cs="Arial"/>
        </w:rPr>
        <w:t xml:space="preserve"> </w:t>
      </w:r>
      <w:r w:rsidRPr="00AF63CB">
        <w:rPr>
          <w:rFonts w:ascii="Arial" w:hAnsi="Arial" w:cs="Arial"/>
        </w:rPr>
        <w:t>overtaking turning vehicles</w:t>
      </w:r>
      <w:r>
        <w:rPr>
          <w:rStyle w:val="FootnoteReference"/>
          <w:rFonts w:ascii="Arial" w:hAnsi="Arial" w:cs="Arial"/>
        </w:rPr>
        <w:footnoteReference w:id="44"/>
      </w:r>
      <w:r w:rsidRPr="00AF63CB">
        <w:rPr>
          <w:rFonts w:ascii="Arial" w:hAnsi="Arial" w:cs="Arial"/>
        </w:rPr>
        <w:t>.</w:t>
      </w:r>
    </w:p>
    <w:p w:rsidR="00A56D2A" w:rsidRDefault="00A56D2A" w:rsidP="00A56D2A">
      <w:pPr>
        <w:pStyle w:val="ListParagraph"/>
        <w:numPr>
          <w:ilvl w:val="0"/>
          <w:numId w:val="16"/>
        </w:numPr>
        <w:autoSpaceDE w:val="0"/>
        <w:autoSpaceDN w:val="0"/>
        <w:adjustRightInd w:val="0"/>
        <w:spacing w:after="0" w:line="240" w:lineRule="auto"/>
        <w:rPr>
          <w:rFonts w:ascii="Arial" w:hAnsi="Arial" w:cs="Arial"/>
        </w:rPr>
      </w:pPr>
      <w:r w:rsidRPr="00AF63CB">
        <w:rPr>
          <w:rFonts w:ascii="Arial" w:hAnsi="Arial" w:cs="Arial"/>
        </w:rPr>
        <w:t>The Tasmanian Government publishes a question bank of 170 possible questions. 35</w:t>
      </w:r>
      <w:r>
        <w:rPr>
          <w:rFonts w:ascii="Arial" w:hAnsi="Arial" w:cs="Arial"/>
        </w:rPr>
        <w:t xml:space="preserve"> </w:t>
      </w:r>
      <w:r w:rsidRPr="00AF63CB">
        <w:rPr>
          <w:rFonts w:ascii="Arial" w:hAnsi="Arial" w:cs="Arial"/>
        </w:rPr>
        <w:t>are tested in its driver knowledge test. Of the 170 questions only 1 (question 61) is</w:t>
      </w:r>
      <w:r>
        <w:rPr>
          <w:rFonts w:ascii="Arial" w:hAnsi="Arial" w:cs="Arial"/>
        </w:rPr>
        <w:t xml:space="preserve"> </w:t>
      </w:r>
      <w:r w:rsidRPr="00AF63CB">
        <w:rPr>
          <w:rFonts w:ascii="Arial" w:hAnsi="Arial" w:cs="Arial"/>
        </w:rPr>
        <w:t>focused on sharing the road safely with heavy vehicles. The probability of any given</w:t>
      </w:r>
      <w:r>
        <w:rPr>
          <w:rFonts w:ascii="Arial" w:hAnsi="Arial" w:cs="Arial"/>
        </w:rPr>
        <w:t xml:space="preserve"> </w:t>
      </w:r>
      <w:r w:rsidRPr="00AF63CB">
        <w:rPr>
          <w:rFonts w:ascii="Arial" w:hAnsi="Arial" w:cs="Arial"/>
        </w:rPr>
        <w:t xml:space="preserve">person being tested </w:t>
      </w:r>
      <w:r>
        <w:rPr>
          <w:rFonts w:ascii="Arial" w:hAnsi="Arial" w:cs="Arial"/>
        </w:rPr>
        <w:t>on that question is 20 per cent</w:t>
      </w:r>
      <w:r>
        <w:rPr>
          <w:rStyle w:val="FootnoteReference"/>
          <w:rFonts w:ascii="Arial" w:hAnsi="Arial" w:cs="Arial"/>
        </w:rPr>
        <w:footnoteReference w:id="45"/>
      </w:r>
      <w:r>
        <w:rPr>
          <w:rFonts w:ascii="Arial" w:hAnsi="Arial" w:cs="Arial"/>
        </w:rPr>
        <w:t>.</w:t>
      </w:r>
    </w:p>
    <w:p w:rsidR="00A56D2A" w:rsidRDefault="00A56D2A" w:rsidP="00A56D2A">
      <w:pPr>
        <w:autoSpaceDE w:val="0"/>
        <w:autoSpaceDN w:val="0"/>
        <w:adjustRightInd w:val="0"/>
        <w:spacing w:after="0" w:line="240" w:lineRule="auto"/>
        <w:rPr>
          <w:rFonts w:ascii="Arial" w:hAnsi="Arial" w:cs="Arial"/>
        </w:rPr>
      </w:pPr>
    </w:p>
    <w:p w:rsidR="00A56D2A" w:rsidRDefault="00A56D2A" w:rsidP="00A56D2A">
      <w:pPr>
        <w:autoSpaceDE w:val="0"/>
        <w:autoSpaceDN w:val="0"/>
        <w:adjustRightInd w:val="0"/>
        <w:spacing w:after="0" w:line="240" w:lineRule="auto"/>
        <w:rPr>
          <w:rFonts w:ascii="Arial" w:hAnsi="Arial" w:cs="Arial"/>
        </w:rPr>
      </w:pPr>
    </w:p>
    <w:p w:rsidR="00A56D2A" w:rsidRDefault="00A56D2A" w:rsidP="00A56D2A">
      <w:pPr>
        <w:autoSpaceDE w:val="0"/>
        <w:autoSpaceDN w:val="0"/>
        <w:adjustRightInd w:val="0"/>
        <w:spacing w:after="0" w:line="240" w:lineRule="auto"/>
        <w:rPr>
          <w:rFonts w:ascii="Arial" w:hAnsi="Arial" w:cs="Arial"/>
        </w:rPr>
      </w:pPr>
      <w:r>
        <w:rPr>
          <w:rFonts w:ascii="Arial" w:hAnsi="Arial" w:cs="Arial"/>
        </w:rPr>
        <w:t>Australian Capital Territory</w:t>
      </w:r>
    </w:p>
    <w:p w:rsidR="00A56D2A" w:rsidRPr="00AF63CB" w:rsidRDefault="00A56D2A" w:rsidP="00A56D2A">
      <w:pPr>
        <w:pStyle w:val="ListParagraph"/>
        <w:numPr>
          <w:ilvl w:val="0"/>
          <w:numId w:val="17"/>
        </w:numPr>
        <w:autoSpaceDE w:val="0"/>
        <w:autoSpaceDN w:val="0"/>
        <w:adjustRightInd w:val="0"/>
        <w:spacing w:after="0" w:line="240" w:lineRule="auto"/>
        <w:rPr>
          <w:rFonts w:ascii="Arial" w:hAnsi="Arial" w:cs="Arial"/>
        </w:rPr>
      </w:pPr>
      <w:r w:rsidRPr="00AF63CB">
        <w:rPr>
          <w:rFonts w:ascii="Arial" w:hAnsi="Arial" w:cs="Arial"/>
        </w:rPr>
        <w:t>The Australian Capital Territory produces a road rules handbook from which material is taken to pass a theory driving test. The handbook makes use of a diagram to describe the “Do not overtake turning vehicle sign”</w:t>
      </w:r>
      <w:r>
        <w:rPr>
          <w:rStyle w:val="FootnoteReference"/>
          <w:rFonts w:ascii="Arial" w:hAnsi="Arial" w:cs="Arial"/>
        </w:rPr>
        <w:footnoteReference w:id="46"/>
      </w:r>
      <w:r w:rsidRPr="00AF63CB">
        <w:rPr>
          <w:rFonts w:ascii="Arial" w:hAnsi="Arial" w:cs="Arial"/>
          <w:sz w:val="14"/>
          <w:szCs w:val="14"/>
        </w:rPr>
        <w:t xml:space="preserve"> </w:t>
      </w:r>
      <w:r w:rsidRPr="00AF63CB">
        <w:rPr>
          <w:rFonts w:ascii="Arial" w:hAnsi="Arial" w:cs="Arial"/>
        </w:rPr>
        <w:t>and how to interact with oversize vehicles.</w:t>
      </w:r>
    </w:p>
    <w:p w:rsidR="00A56D2A" w:rsidRDefault="00A56D2A" w:rsidP="00A56D2A">
      <w:pPr>
        <w:pStyle w:val="ListParagraph"/>
        <w:numPr>
          <w:ilvl w:val="0"/>
          <w:numId w:val="17"/>
        </w:numPr>
        <w:autoSpaceDE w:val="0"/>
        <w:autoSpaceDN w:val="0"/>
        <w:adjustRightInd w:val="0"/>
        <w:spacing w:after="0" w:line="240" w:lineRule="auto"/>
        <w:rPr>
          <w:rFonts w:ascii="Arial" w:hAnsi="Arial" w:cs="Arial"/>
        </w:rPr>
      </w:pPr>
      <w:r w:rsidRPr="00AF63CB">
        <w:rPr>
          <w:rFonts w:ascii="Arial" w:hAnsi="Arial" w:cs="Arial"/>
        </w:rPr>
        <w:t>The ACT Government does not publish any information regarding the testing of heavy</w:t>
      </w:r>
      <w:r>
        <w:rPr>
          <w:rFonts w:ascii="Arial" w:hAnsi="Arial" w:cs="Arial"/>
        </w:rPr>
        <w:t xml:space="preserve"> </w:t>
      </w:r>
      <w:r w:rsidRPr="00AF63CB">
        <w:rPr>
          <w:rFonts w:ascii="Arial" w:hAnsi="Arial" w:cs="Arial"/>
        </w:rPr>
        <w:t>vehicle safety information through the course of driver training.</w:t>
      </w:r>
    </w:p>
    <w:p w:rsidR="00A56D2A" w:rsidRDefault="00A56D2A" w:rsidP="00A56D2A">
      <w:pPr>
        <w:autoSpaceDE w:val="0"/>
        <w:autoSpaceDN w:val="0"/>
        <w:adjustRightInd w:val="0"/>
        <w:spacing w:after="0" w:line="240" w:lineRule="auto"/>
        <w:rPr>
          <w:rFonts w:ascii="Arial" w:hAnsi="Arial" w:cs="Arial"/>
        </w:rPr>
      </w:pPr>
    </w:p>
    <w:p w:rsidR="00A56D2A" w:rsidRDefault="00A56D2A" w:rsidP="00A56D2A">
      <w:pPr>
        <w:autoSpaceDE w:val="0"/>
        <w:autoSpaceDN w:val="0"/>
        <w:adjustRightInd w:val="0"/>
        <w:spacing w:after="0" w:line="240" w:lineRule="auto"/>
        <w:rPr>
          <w:rFonts w:ascii="Arial" w:hAnsi="Arial" w:cs="Arial"/>
        </w:rPr>
      </w:pPr>
      <w:r>
        <w:rPr>
          <w:rFonts w:ascii="Arial" w:hAnsi="Arial" w:cs="Arial"/>
        </w:rPr>
        <w:t>Northern Territory</w:t>
      </w:r>
    </w:p>
    <w:p w:rsidR="00A56D2A" w:rsidRDefault="00A56D2A" w:rsidP="00A56D2A">
      <w:pPr>
        <w:pStyle w:val="ListParagraph"/>
        <w:numPr>
          <w:ilvl w:val="0"/>
          <w:numId w:val="18"/>
        </w:numPr>
        <w:autoSpaceDE w:val="0"/>
        <w:autoSpaceDN w:val="0"/>
        <w:adjustRightInd w:val="0"/>
        <w:spacing w:after="0" w:line="240" w:lineRule="auto"/>
        <w:rPr>
          <w:rFonts w:ascii="Arial" w:hAnsi="Arial" w:cs="Arial"/>
        </w:rPr>
      </w:pPr>
      <w:r w:rsidRPr="00AF63CB">
        <w:rPr>
          <w:rFonts w:ascii="Arial" w:hAnsi="Arial" w:cs="Arial"/>
        </w:rPr>
        <w:t>The Northern Territory government publishes a road user handbook</w:t>
      </w:r>
      <w:r>
        <w:rPr>
          <w:rStyle w:val="FootnoteReference"/>
          <w:rFonts w:ascii="Arial" w:hAnsi="Arial" w:cs="Arial"/>
        </w:rPr>
        <w:footnoteReference w:id="47"/>
      </w:r>
      <w:r w:rsidRPr="00AF63CB">
        <w:rPr>
          <w:rFonts w:ascii="Arial" w:hAnsi="Arial" w:cs="Arial"/>
          <w:sz w:val="14"/>
          <w:szCs w:val="14"/>
        </w:rPr>
        <w:t xml:space="preserve"> </w:t>
      </w:r>
      <w:r w:rsidRPr="00AF63CB">
        <w:rPr>
          <w:rFonts w:ascii="Arial" w:hAnsi="Arial" w:cs="Arial"/>
        </w:rPr>
        <w:t>that detail</w:t>
      </w:r>
      <w:r>
        <w:rPr>
          <w:rFonts w:ascii="Arial" w:hAnsi="Arial" w:cs="Arial"/>
        </w:rPr>
        <w:t xml:space="preserve">s safety </w:t>
      </w:r>
      <w:r w:rsidRPr="00AF63CB">
        <w:rPr>
          <w:rFonts w:ascii="Arial" w:hAnsi="Arial" w:cs="Arial"/>
        </w:rPr>
        <w:t>information on stopping distances, not to overtake turning vehicles, how to interact with</w:t>
      </w:r>
      <w:r>
        <w:rPr>
          <w:rFonts w:ascii="Arial" w:hAnsi="Arial" w:cs="Arial"/>
        </w:rPr>
        <w:t xml:space="preserve"> </w:t>
      </w:r>
      <w:r w:rsidRPr="00AF63CB">
        <w:rPr>
          <w:rFonts w:ascii="Arial" w:hAnsi="Arial" w:cs="Arial"/>
        </w:rPr>
        <w:t>heavy vehicles at roundabouts and overtaking safely.</w:t>
      </w:r>
    </w:p>
    <w:p w:rsidR="00A56D2A" w:rsidRPr="00EF01B0" w:rsidRDefault="00A56D2A" w:rsidP="00A56D2A">
      <w:pPr>
        <w:pStyle w:val="ListParagraph"/>
        <w:numPr>
          <w:ilvl w:val="0"/>
          <w:numId w:val="18"/>
        </w:numPr>
        <w:autoSpaceDE w:val="0"/>
        <w:autoSpaceDN w:val="0"/>
        <w:adjustRightInd w:val="0"/>
        <w:spacing w:after="0" w:line="240" w:lineRule="auto"/>
        <w:rPr>
          <w:rFonts w:ascii="Arial" w:hAnsi="Arial" w:cs="Arial"/>
        </w:rPr>
      </w:pPr>
      <w:r w:rsidRPr="00EF01B0">
        <w:rPr>
          <w:rFonts w:ascii="Arial" w:hAnsi="Arial" w:cs="Arial"/>
        </w:rPr>
        <w:t>The NT Government does not publish any information regarding the testing of heavy</w:t>
      </w:r>
      <w:r>
        <w:rPr>
          <w:rFonts w:ascii="Arial" w:hAnsi="Arial" w:cs="Arial"/>
        </w:rPr>
        <w:t xml:space="preserve"> </w:t>
      </w:r>
      <w:r w:rsidRPr="00EF01B0">
        <w:rPr>
          <w:rFonts w:ascii="Arial" w:hAnsi="Arial" w:cs="Arial"/>
        </w:rPr>
        <w:t>vehicle safety information through the course of driving training.</w:t>
      </w:r>
    </w:p>
    <w:p w:rsidR="00E706CB" w:rsidRDefault="00E706CB" w:rsidP="00E706CB">
      <w:pPr>
        <w:suppressAutoHyphens/>
        <w:spacing w:after="0" w:line="240" w:lineRule="auto"/>
        <w:outlineLvl w:val="0"/>
        <w:rPr>
          <w:rFonts w:ascii="Arial" w:eastAsia="Calibri" w:hAnsi="Arial" w:cs="Arial"/>
          <w:lang w:eastAsia="ar-SA"/>
        </w:rPr>
      </w:pPr>
    </w:p>
    <w:sectPr w:rsidR="00E706CB" w:rsidSect="00F02B94">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F9" w:rsidRDefault="000712F9" w:rsidP="00B62B11">
      <w:pPr>
        <w:spacing w:after="0" w:line="240" w:lineRule="auto"/>
      </w:pPr>
      <w:r>
        <w:separator/>
      </w:r>
    </w:p>
  </w:endnote>
  <w:endnote w:type="continuationSeparator" w:id="0">
    <w:p w:rsidR="000712F9" w:rsidRDefault="000712F9" w:rsidP="00B6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F9" w:rsidRDefault="000712F9">
    <w:pPr>
      <w:pStyle w:val="Footer"/>
      <w:jc w:val="right"/>
    </w:pPr>
  </w:p>
  <w:tbl>
    <w:tblPr>
      <w:tblW w:w="0" w:type="auto"/>
      <w:tblBorders>
        <w:top w:val="single" w:sz="4" w:space="0" w:color="000000"/>
        <w:insideH w:val="single" w:sz="4" w:space="0" w:color="000000"/>
      </w:tblBorders>
      <w:tblLook w:val="04A0" w:firstRow="1" w:lastRow="0" w:firstColumn="1" w:lastColumn="0" w:noHBand="0" w:noVBand="1"/>
    </w:tblPr>
    <w:tblGrid>
      <w:gridCol w:w="7282"/>
      <w:gridCol w:w="1744"/>
    </w:tblGrid>
    <w:tr w:rsidR="000712F9" w:rsidRPr="00254532" w:rsidTr="009E4E1C">
      <w:trPr>
        <w:trHeight w:val="57"/>
      </w:trPr>
      <w:tc>
        <w:tcPr>
          <w:tcW w:w="7282" w:type="dxa"/>
          <w:vAlign w:val="center"/>
        </w:tcPr>
        <w:p w:rsidR="000712F9" w:rsidRPr="00CB30A4" w:rsidRDefault="000712F9" w:rsidP="001B2957">
          <w:pPr>
            <w:pStyle w:val="Footer"/>
            <w:rPr>
              <w:rFonts w:ascii="Arial" w:hAnsi="Arial" w:cs="Arial"/>
              <w:sz w:val="14"/>
              <w:szCs w:val="14"/>
            </w:rPr>
          </w:pPr>
          <w:r>
            <w:rPr>
              <w:rFonts w:ascii="Arial" w:hAnsi="Arial" w:cs="Arial"/>
              <w:sz w:val="14"/>
              <w:szCs w:val="14"/>
            </w:rPr>
            <w:t>ATA submission – Inquiry into the National Road Safety Strategy 2011-2020</w:t>
          </w:r>
        </w:p>
      </w:tc>
      <w:tc>
        <w:tcPr>
          <w:tcW w:w="1744" w:type="dxa"/>
          <w:vAlign w:val="center"/>
        </w:tcPr>
        <w:p w:rsidR="000712F9" w:rsidRPr="00CB30A4" w:rsidRDefault="000712F9" w:rsidP="007F11B5">
          <w:pPr>
            <w:pStyle w:val="Footer"/>
            <w:jc w:val="right"/>
            <w:rPr>
              <w:rFonts w:ascii="Arial" w:hAnsi="Arial" w:cs="Arial"/>
              <w:sz w:val="14"/>
              <w:szCs w:val="14"/>
            </w:rPr>
          </w:pPr>
          <w:r w:rsidRPr="00CB30A4">
            <w:rPr>
              <w:rFonts w:ascii="Arial" w:hAnsi="Arial" w:cs="Arial"/>
              <w:sz w:val="14"/>
              <w:szCs w:val="14"/>
            </w:rPr>
            <w:t xml:space="preserve">Page </w:t>
          </w:r>
          <w:r w:rsidRPr="00CB30A4">
            <w:rPr>
              <w:rFonts w:ascii="Arial" w:hAnsi="Arial" w:cs="Arial"/>
              <w:sz w:val="14"/>
              <w:szCs w:val="14"/>
            </w:rPr>
            <w:fldChar w:fldCharType="begin"/>
          </w:r>
          <w:r w:rsidRPr="00CB30A4">
            <w:rPr>
              <w:rFonts w:ascii="Arial" w:hAnsi="Arial" w:cs="Arial"/>
              <w:sz w:val="14"/>
              <w:szCs w:val="14"/>
            </w:rPr>
            <w:instrText xml:space="preserve"> PAGE   \* MERGEFORMAT </w:instrText>
          </w:r>
          <w:r w:rsidRPr="00CB30A4">
            <w:rPr>
              <w:rFonts w:ascii="Arial" w:hAnsi="Arial" w:cs="Arial"/>
              <w:sz w:val="14"/>
              <w:szCs w:val="14"/>
            </w:rPr>
            <w:fldChar w:fldCharType="separate"/>
          </w:r>
          <w:r w:rsidR="00AF5BDA">
            <w:rPr>
              <w:rFonts w:ascii="Arial" w:hAnsi="Arial" w:cs="Arial"/>
              <w:noProof/>
              <w:sz w:val="14"/>
              <w:szCs w:val="14"/>
            </w:rPr>
            <w:t>20</w:t>
          </w:r>
          <w:r w:rsidRPr="00CB30A4">
            <w:rPr>
              <w:rFonts w:ascii="Arial" w:hAnsi="Arial" w:cs="Arial"/>
              <w:sz w:val="14"/>
              <w:szCs w:val="14"/>
            </w:rPr>
            <w:fldChar w:fldCharType="end"/>
          </w:r>
        </w:p>
      </w:tc>
    </w:tr>
  </w:tbl>
  <w:p w:rsidR="000712F9" w:rsidRPr="00A91411" w:rsidRDefault="000712F9" w:rsidP="007F11B5">
    <w:pPr>
      <w:rPr>
        <w:sz w:val="4"/>
        <w:szCs w:val="4"/>
      </w:rPr>
    </w:pPr>
  </w:p>
  <w:p w:rsidR="000712F9" w:rsidRDefault="0007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F9" w:rsidRDefault="000712F9" w:rsidP="00210ABC">
    <w:pPr>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51FD9262" wp14:editId="07E5AD5F">
          <wp:extent cx="1751501" cy="84645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501" cy="846455"/>
                  </a:xfrm>
                  <a:prstGeom prst="rect">
                    <a:avLst/>
                  </a:prstGeom>
                  <a:noFill/>
                  <a:ln w="9525">
                    <a:noFill/>
                    <a:miter lim="800000"/>
                    <a:headEnd/>
                    <a:tailEnd/>
                  </a:ln>
                </pic:spPr>
              </pic:pic>
            </a:graphicData>
          </a:graphic>
        </wp:inline>
      </w:drawing>
    </w:r>
  </w:p>
  <w:p w:rsidR="000712F9" w:rsidRPr="00E8056B" w:rsidRDefault="000712F9" w:rsidP="00210ABC">
    <w:pPr>
      <w:jc w:val="right"/>
      <w:rPr>
        <w:rFonts w:ascii="Arial" w:hAnsi="Arial" w:cs="Arial"/>
        <w:sz w:val="16"/>
        <w:szCs w:val="16"/>
      </w:rPr>
    </w:pPr>
  </w:p>
  <w:p w:rsidR="000712F9" w:rsidRPr="00E8056B" w:rsidRDefault="000712F9" w:rsidP="00210ABC">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0712F9" w:rsidRPr="00E8056B" w:rsidRDefault="000712F9" w:rsidP="00210ABC">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p w:rsidR="000712F9" w:rsidRDefault="0007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F9" w:rsidRDefault="000712F9" w:rsidP="00B62B11">
      <w:pPr>
        <w:spacing w:after="0" w:line="240" w:lineRule="auto"/>
      </w:pPr>
      <w:r>
        <w:separator/>
      </w:r>
    </w:p>
  </w:footnote>
  <w:footnote w:type="continuationSeparator" w:id="0">
    <w:p w:rsidR="000712F9" w:rsidRDefault="000712F9" w:rsidP="00B62B11">
      <w:pPr>
        <w:spacing w:after="0" w:line="240" w:lineRule="auto"/>
      </w:pPr>
      <w:r>
        <w:continuationSeparator/>
      </w:r>
    </w:p>
  </w:footnote>
  <w:footnote w:id="1">
    <w:p w:rsidR="000712F9" w:rsidRPr="003F4675" w:rsidRDefault="000712F9" w:rsidP="00374146">
      <w:pPr>
        <w:pStyle w:val="FootnoteText"/>
        <w:rPr>
          <w:rFonts w:ascii="Arial" w:hAnsi="Arial" w:cs="Arial"/>
          <w:sz w:val="18"/>
          <w:szCs w:val="18"/>
        </w:rPr>
      </w:pPr>
      <w:r>
        <w:rPr>
          <w:rStyle w:val="FootnoteReference"/>
        </w:rPr>
        <w:footnoteRef/>
      </w:r>
      <w:r>
        <w:t xml:space="preserve"> </w:t>
      </w:r>
      <w:hyperlink r:id="rId1" w:history="1">
        <w:r w:rsidRPr="003F4675">
          <w:rPr>
            <w:rStyle w:val="Hyperlink"/>
            <w:rFonts w:ascii="Arial" w:hAnsi="Arial" w:cs="Arial"/>
            <w:sz w:val="18"/>
            <w:szCs w:val="18"/>
          </w:rPr>
          <w:t>ATA submission to the Australian Government’s consultation RIS on mandating ESC and Roll Stability Control</w:t>
        </w:r>
      </w:hyperlink>
    </w:p>
  </w:footnote>
  <w:footnote w:id="2">
    <w:p w:rsidR="000712F9" w:rsidRDefault="000712F9" w:rsidP="00374146">
      <w:pPr>
        <w:pStyle w:val="FootnoteText"/>
      </w:pPr>
      <w:r w:rsidRPr="003F4675">
        <w:rPr>
          <w:rStyle w:val="FootnoteReference"/>
          <w:rFonts w:ascii="Arial" w:hAnsi="Arial" w:cs="Arial"/>
          <w:sz w:val="18"/>
          <w:szCs w:val="18"/>
        </w:rPr>
        <w:footnoteRef/>
      </w:r>
      <w:r w:rsidRPr="003F4675">
        <w:rPr>
          <w:rFonts w:ascii="Arial" w:hAnsi="Arial" w:cs="Arial"/>
          <w:sz w:val="18"/>
          <w:szCs w:val="18"/>
        </w:rPr>
        <w:t xml:space="preserve"> Heavy Vehicle National Law and Other Legislation Amendment Act 2016, s 10.</w:t>
      </w:r>
    </w:p>
  </w:footnote>
  <w:footnote w:id="3">
    <w:p w:rsidR="000712F9" w:rsidRDefault="000712F9">
      <w:pPr>
        <w:pStyle w:val="FootnoteText"/>
      </w:pPr>
      <w:r>
        <w:rPr>
          <w:rStyle w:val="FootnoteReference"/>
        </w:rPr>
        <w:footnoteRef/>
      </w:r>
      <w:r>
        <w:t xml:space="preserve"> </w:t>
      </w:r>
      <w:r>
        <w:rPr>
          <w:rFonts w:ascii="Arial" w:hAnsi="Arial" w:cs="Arial"/>
          <w:sz w:val="18"/>
          <w:szCs w:val="18"/>
        </w:rPr>
        <w:t>DIRD, 2017, table 75, 142.</w:t>
      </w:r>
    </w:p>
  </w:footnote>
  <w:footnote w:id="4">
    <w:p w:rsidR="000712F9" w:rsidRPr="001B2957" w:rsidRDefault="000712F9">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BITRE, </w:t>
      </w:r>
      <w:hyperlink r:id="rId2" w:history="1">
        <w:r>
          <w:rPr>
            <w:rStyle w:val="Hyperlink"/>
            <w:rFonts w:ascii="Arial" w:hAnsi="Arial" w:cs="Arial"/>
            <w:sz w:val="18"/>
            <w:szCs w:val="18"/>
          </w:rPr>
          <w:t>Cost of road crashes in Australia 2006</w:t>
        </w:r>
      </w:hyperlink>
      <w:r>
        <w:rPr>
          <w:rFonts w:ascii="Arial" w:hAnsi="Arial" w:cs="Arial"/>
          <w:sz w:val="18"/>
          <w:szCs w:val="18"/>
        </w:rPr>
        <w:t>. Report 118. BITRE, Canberra, 2009.</w:t>
      </w:r>
    </w:p>
  </w:footnote>
  <w:footnote w:id="5">
    <w:p w:rsidR="000712F9" w:rsidRDefault="000712F9" w:rsidP="00D20197">
      <w:pPr>
        <w:pStyle w:val="FootnoteText"/>
      </w:pPr>
      <w:r>
        <w:rPr>
          <w:rStyle w:val="FootnoteReference"/>
        </w:rPr>
        <w:footnoteRef/>
      </w:r>
      <w:r>
        <w:t xml:space="preserve"> </w:t>
      </w:r>
      <w:r>
        <w:rPr>
          <w:rFonts w:ascii="Arial" w:hAnsi="Arial" w:cs="Arial"/>
          <w:sz w:val="18"/>
          <w:szCs w:val="18"/>
        </w:rPr>
        <w:t>BITRE, 25.</w:t>
      </w:r>
    </w:p>
  </w:footnote>
  <w:footnote w:id="6">
    <w:p w:rsidR="000712F9" w:rsidRDefault="000712F9" w:rsidP="00D20197">
      <w:pPr>
        <w:pStyle w:val="FootnoteText"/>
      </w:pPr>
      <w:r>
        <w:rPr>
          <w:rStyle w:val="FootnoteReference"/>
        </w:rPr>
        <w:footnoteRef/>
      </w:r>
      <w:r>
        <w:t xml:space="preserve"> </w:t>
      </w:r>
      <w:r>
        <w:rPr>
          <w:rFonts w:ascii="Arial" w:hAnsi="Arial" w:cs="Arial"/>
        </w:rPr>
        <w:t>Abelson, 5.</w:t>
      </w:r>
    </w:p>
  </w:footnote>
  <w:footnote w:id="7">
    <w:p w:rsidR="000712F9" w:rsidRDefault="000712F9" w:rsidP="00D20197">
      <w:pPr>
        <w:pStyle w:val="FootnoteText"/>
      </w:pPr>
      <w:r>
        <w:rPr>
          <w:rStyle w:val="FootnoteReference"/>
        </w:rPr>
        <w:footnoteRef/>
      </w:r>
      <w:r>
        <w:t xml:space="preserve"> </w:t>
      </w:r>
      <w:r>
        <w:rPr>
          <w:rFonts w:ascii="Arial" w:hAnsi="Arial" w:cs="Arial"/>
          <w:sz w:val="18"/>
          <w:szCs w:val="18"/>
        </w:rPr>
        <w:t>BITRE, table T7.10, Cost of injury and disability, 91.</w:t>
      </w:r>
    </w:p>
  </w:footnote>
  <w:footnote w:id="8">
    <w:p w:rsidR="000712F9" w:rsidRPr="00064DA0" w:rsidRDefault="000712F9" w:rsidP="00D20197">
      <w:pPr>
        <w:spacing w:after="0" w:line="240" w:lineRule="auto"/>
        <w:rPr>
          <w:rFonts w:ascii="Arial" w:hAnsi="Arial" w:cs="Arial"/>
          <w:sz w:val="18"/>
          <w:szCs w:val="18"/>
        </w:rPr>
      </w:pPr>
      <w:r>
        <w:rPr>
          <w:rStyle w:val="FootnoteReference"/>
        </w:rPr>
        <w:footnoteRef/>
      </w:r>
      <w:r>
        <w:t xml:space="preserve"> </w:t>
      </w:r>
      <w:r>
        <w:rPr>
          <w:rFonts w:ascii="Arial" w:hAnsi="Arial" w:cs="Arial"/>
          <w:sz w:val="18"/>
          <w:szCs w:val="18"/>
        </w:rPr>
        <w:t xml:space="preserve">Infrastructure Australia, June 2017, </w:t>
      </w:r>
      <w:hyperlink r:id="rId3" w:history="1">
        <w:r w:rsidRPr="00DF7E6F">
          <w:rPr>
            <w:rStyle w:val="Hyperlink"/>
            <w:rFonts w:ascii="Arial" w:hAnsi="Arial" w:cs="Arial"/>
            <w:sz w:val="18"/>
            <w:szCs w:val="18"/>
          </w:rPr>
          <w:t>Assessment Framework</w:t>
        </w:r>
      </w:hyperlink>
      <w:r>
        <w:rPr>
          <w:rFonts w:ascii="Arial" w:hAnsi="Arial" w:cs="Arial"/>
          <w:sz w:val="18"/>
          <w:szCs w:val="18"/>
        </w:rPr>
        <w:t>, 105.</w:t>
      </w:r>
    </w:p>
  </w:footnote>
  <w:footnote w:id="9">
    <w:p w:rsidR="000712F9" w:rsidRPr="00DF7E6F" w:rsidRDefault="000712F9" w:rsidP="00D20197">
      <w:pPr>
        <w:spacing w:after="0" w:line="240" w:lineRule="auto"/>
        <w:rPr>
          <w:rFonts w:ascii="Arial" w:hAnsi="Arial" w:cs="Arial"/>
          <w:sz w:val="18"/>
          <w:szCs w:val="18"/>
        </w:rPr>
      </w:pPr>
      <w:r>
        <w:rPr>
          <w:rStyle w:val="FootnoteReference"/>
        </w:rPr>
        <w:footnoteRef/>
      </w:r>
      <w:r>
        <w:t xml:space="preserve"> </w:t>
      </w:r>
      <w:r>
        <w:rPr>
          <w:rFonts w:ascii="Arial" w:hAnsi="Arial" w:cs="Arial"/>
          <w:sz w:val="18"/>
          <w:szCs w:val="18"/>
        </w:rPr>
        <w:t xml:space="preserve">ATAP, Parameter Values – </w:t>
      </w:r>
      <w:hyperlink r:id="rId4" w:history="1">
        <w:r w:rsidRPr="006378AB">
          <w:rPr>
            <w:rStyle w:val="Hyperlink"/>
            <w:rFonts w:ascii="Arial" w:hAnsi="Arial" w:cs="Arial"/>
            <w:sz w:val="18"/>
            <w:szCs w:val="18"/>
          </w:rPr>
          <w:t>Crash Costs</w:t>
        </w:r>
      </w:hyperlink>
      <w:r>
        <w:rPr>
          <w:rFonts w:ascii="Arial" w:hAnsi="Arial" w:cs="Arial"/>
          <w:sz w:val="18"/>
          <w:szCs w:val="18"/>
        </w:rPr>
        <w:t xml:space="preserve">. </w:t>
      </w:r>
    </w:p>
    <w:p w:rsidR="000712F9" w:rsidRDefault="000712F9">
      <w:pPr>
        <w:pStyle w:val="FootnoteText"/>
      </w:pPr>
    </w:p>
  </w:footnote>
  <w:footnote w:id="10">
    <w:p w:rsidR="000712F9" w:rsidRDefault="000712F9">
      <w:pPr>
        <w:pStyle w:val="FootnoteText"/>
      </w:pPr>
      <w:r>
        <w:rPr>
          <w:rStyle w:val="FootnoteReference"/>
        </w:rPr>
        <w:footnoteRef/>
      </w:r>
      <w:r>
        <w:t xml:space="preserve"> </w:t>
      </w:r>
      <w:hyperlink r:id="rId5" w:history="1">
        <w:r w:rsidRPr="007D13DD">
          <w:rPr>
            <w:rStyle w:val="Hyperlink"/>
          </w:rPr>
          <w:t>Vision Zero Sweden</w:t>
        </w:r>
      </w:hyperlink>
    </w:p>
  </w:footnote>
  <w:footnote w:id="11">
    <w:p w:rsidR="000712F9" w:rsidRPr="001C2EBD" w:rsidRDefault="000712F9" w:rsidP="00285CB5">
      <w:pPr>
        <w:pStyle w:val="FootnoteText"/>
        <w:rPr>
          <w:rFonts w:ascii="Arial" w:hAnsi="Arial" w:cs="Arial"/>
          <w:sz w:val="18"/>
          <w:szCs w:val="18"/>
        </w:rPr>
      </w:pPr>
      <w:r w:rsidRPr="001C2EBD">
        <w:rPr>
          <w:rStyle w:val="FootnoteReference"/>
          <w:rFonts w:ascii="Arial" w:hAnsi="Arial" w:cs="Arial"/>
          <w:sz w:val="18"/>
          <w:szCs w:val="18"/>
        </w:rPr>
        <w:footnoteRef/>
      </w:r>
      <w:r w:rsidRPr="001C2EBD">
        <w:rPr>
          <w:rFonts w:ascii="Arial" w:hAnsi="Arial" w:cs="Arial"/>
          <w:sz w:val="18"/>
          <w:szCs w:val="18"/>
        </w:rPr>
        <w:t xml:space="preserve"> </w:t>
      </w:r>
      <w:r>
        <w:rPr>
          <w:rFonts w:ascii="Arial" w:hAnsi="Arial" w:cs="Arial"/>
          <w:sz w:val="18"/>
          <w:szCs w:val="18"/>
        </w:rPr>
        <w:t xml:space="preserve">HM Treasury, </w:t>
      </w:r>
      <w:hyperlink r:id="rId6" w:history="1">
        <w:r w:rsidRPr="001C2EBD">
          <w:rPr>
            <w:rStyle w:val="Hyperlink"/>
            <w:rFonts w:ascii="Arial" w:hAnsi="Arial" w:cs="Arial"/>
            <w:sz w:val="18"/>
            <w:szCs w:val="18"/>
          </w:rPr>
          <w:t>Managing risks to the public: appraisal guidance</w:t>
        </w:r>
      </w:hyperlink>
      <w:r>
        <w:rPr>
          <w:rFonts w:ascii="Arial" w:hAnsi="Arial" w:cs="Arial"/>
          <w:sz w:val="18"/>
          <w:szCs w:val="18"/>
        </w:rPr>
        <w:t>. June 2005, 26.</w:t>
      </w:r>
    </w:p>
  </w:footnote>
  <w:footnote w:id="12">
    <w:p w:rsidR="000712F9" w:rsidRPr="00BC239A" w:rsidRDefault="000712F9" w:rsidP="00285CB5">
      <w:pPr>
        <w:pStyle w:val="FootnoteText"/>
        <w:rPr>
          <w:rFonts w:ascii="Arial" w:hAnsi="Arial" w:cs="Arial"/>
          <w:sz w:val="18"/>
          <w:szCs w:val="18"/>
        </w:rPr>
      </w:pPr>
      <w:r w:rsidRPr="00BC239A">
        <w:rPr>
          <w:rStyle w:val="FootnoteReference"/>
          <w:rFonts w:ascii="Arial" w:hAnsi="Arial" w:cs="Arial"/>
          <w:sz w:val="18"/>
          <w:szCs w:val="18"/>
        </w:rPr>
        <w:footnoteRef/>
      </w:r>
      <w:r w:rsidRPr="00BC239A">
        <w:rPr>
          <w:rFonts w:ascii="Arial" w:hAnsi="Arial" w:cs="Arial"/>
          <w:sz w:val="18"/>
          <w:szCs w:val="18"/>
        </w:rPr>
        <w:t xml:space="preserve"> HM Treasury, 27</w:t>
      </w:r>
      <w:r>
        <w:rPr>
          <w:rFonts w:ascii="Arial" w:hAnsi="Arial" w:cs="Arial"/>
          <w:sz w:val="18"/>
          <w:szCs w:val="18"/>
        </w:rPr>
        <w:t>.</w:t>
      </w:r>
    </w:p>
  </w:footnote>
  <w:footnote w:id="13">
    <w:p w:rsidR="000712F9" w:rsidRPr="00BC239A" w:rsidRDefault="000712F9" w:rsidP="00285CB5">
      <w:pPr>
        <w:pStyle w:val="FootnoteText"/>
        <w:rPr>
          <w:rFonts w:ascii="Arial" w:hAnsi="Arial" w:cs="Arial"/>
          <w:sz w:val="18"/>
          <w:szCs w:val="18"/>
        </w:rPr>
      </w:pPr>
      <w:r w:rsidRPr="00BC239A">
        <w:rPr>
          <w:rStyle w:val="FootnoteReference"/>
          <w:rFonts w:ascii="Arial" w:hAnsi="Arial" w:cs="Arial"/>
          <w:sz w:val="18"/>
          <w:szCs w:val="18"/>
        </w:rPr>
        <w:footnoteRef/>
      </w:r>
      <w:r w:rsidRPr="00BC239A">
        <w:rPr>
          <w:rFonts w:ascii="Arial" w:hAnsi="Arial" w:cs="Arial"/>
          <w:sz w:val="18"/>
          <w:szCs w:val="18"/>
        </w:rPr>
        <w:t xml:space="preserve"> </w:t>
      </w:r>
      <w:r>
        <w:rPr>
          <w:rFonts w:ascii="Arial" w:hAnsi="Arial" w:cs="Arial"/>
          <w:sz w:val="18"/>
          <w:szCs w:val="18"/>
        </w:rPr>
        <w:t xml:space="preserve">Health and Safety Executive (HSE), </w:t>
      </w:r>
      <w:hyperlink r:id="rId7" w:history="1">
        <w:proofErr w:type="gramStart"/>
        <w:r w:rsidRPr="00A278A8">
          <w:rPr>
            <w:rStyle w:val="Hyperlink"/>
            <w:rFonts w:ascii="Arial" w:hAnsi="Arial" w:cs="Arial"/>
            <w:sz w:val="18"/>
            <w:szCs w:val="18"/>
          </w:rPr>
          <w:t>Reducing</w:t>
        </w:r>
        <w:proofErr w:type="gramEnd"/>
        <w:r w:rsidRPr="00A278A8">
          <w:rPr>
            <w:rStyle w:val="Hyperlink"/>
            <w:rFonts w:ascii="Arial" w:hAnsi="Arial" w:cs="Arial"/>
            <w:sz w:val="18"/>
            <w:szCs w:val="18"/>
          </w:rPr>
          <w:t xml:space="preserve"> risks: protecting people: HSE’s decision-making process</w:t>
        </w:r>
      </w:hyperlink>
      <w:r>
        <w:rPr>
          <w:rFonts w:ascii="Arial" w:hAnsi="Arial" w:cs="Arial"/>
          <w:sz w:val="18"/>
          <w:szCs w:val="18"/>
        </w:rPr>
        <w:t>. 2001. 44-49.</w:t>
      </w:r>
    </w:p>
  </w:footnote>
  <w:footnote w:id="14">
    <w:p w:rsidR="000712F9" w:rsidRPr="00CB30A4" w:rsidRDefault="000712F9" w:rsidP="00F73B99">
      <w:pPr>
        <w:pStyle w:val="FootnoteText"/>
        <w:rPr>
          <w:rFonts w:ascii="Arial" w:hAnsi="Arial" w:cs="Arial"/>
          <w:sz w:val="18"/>
          <w:szCs w:val="18"/>
        </w:rPr>
      </w:pPr>
      <w:r w:rsidRPr="00CB30A4">
        <w:rPr>
          <w:rStyle w:val="FootnoteReference"/>
          <w:rFonts w:ascii="Arial" w:hAnsi="Arial" w:cs="Arial"/>
          <w:sz w:val="18"/>
          <w:szCs w:val="18"/>
        </w:rPr>
        <w:footnoteRef/>
      </w:r>
      <w:r w:rsidRPr="00CB30A4">
        <w:rPr>
          <w:rFonts w:ascii="Arial" w:hAnsi="Arial" w:cs="Arial"/>
          <w:sz w:val="18"/>
          <w:szCs w:val="18"/>
        </w:rPr>
        <w:t xml:space="preserve"> </w:t>
      </w:r>
      <w:proofErr w:type="spellStart"/>
      <w:r w:rsidRPr="00CB30A4">
        <w:rPr>
          <w:rFonts w:ascii="Arial" w:hAnsi="Arial" w:cs="Arial"/>
          <w:sz w:val="18"/>
          <w:szCs w:val="18"/>
        </w:rPr>
        <w:t>Austroads</w:t>
      </w:r>
      <w:proofErr w:type="spellEnd"/>
      <w:r w:rsidRPr="00CB30A4">
        <w:rPr>
          <w:rFonts w:ascii="Arial" w:hAnsi="Arial" w:cs="Arial"/>
          <w:sz w:val="18"/>
          <w:szCs w:val="18"/>
        </w:rPr>
        <w:t xml:space="preserve">, </w:t>
      </w:r>
      <w:r w:rsidRPr="00CB30A4">
        <w:rPr>
          <w:rFonts w:ascii="Arial" w:hAnsi="Arial" w:cs="Arial"/>
          <w:i/>
          <w:sz w:val="18"/>
          <w:szCs w:val="18"/>
        </w:rPr>
        <w:t>Road Geometry Study for Improved Rural Safety</w:t>
      </w:r>
      <w:r>
        <w:rPr>
          <w:rFonts w:ascii="Arial" w:hAnsi="Arial" w:cs="Arial"/>
          <w:sz w:val="18"/>
          <w:szCs w:val="18"/>
        </w:rPr>
        <w:t xml:space="preserve">, 2015, </w:t>
      </w:r>
      <w:r w:rsidRPr="00CB30A4">
        <w:rPr>
          <w:rFonts w:ascii="Arial" w:hAnsi="Arial" w:cs="Arial"/>
          <w:sz w:val="18"/>
          <w:szCs w:val="18"/>
        </w:rPr>
        <w:t>1.</w:t>
      </w:r>
    </w:p>
  </w:footnote>
  <w:footnote w:id="15">
    <w:p w:rsidR="000712F9" w:rsidRPr="003F4675" w:rsidRDefault="000712F9" w:rsidP="00F73B99">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National Road Safety Strategy, </w:t>
      </w:r>
      <w:r w:rsidRPr="003F4675">
        <w:rPr>
          <w:rFonts w:ascii="Arial" w:hAnsi="Arial" w:cs="Arial"/>
          <w:i/>
          <w:sz w:val="18"/>
          <w:szCs w:val="18"/>
        </w:rPr>
        <w:t>Directions – what the strategy aims to achieve by 2020</w:t>
      </w:r>
      <w:r w:rsidRPr="003F4675">
        <w:rPr>
          <w:rFonts w:ascii="Arial" w:hAnsi="Arial" w:cs="Arial"/>
          <w:sz w:val="18"/>
          <w:szCs w:val="18"/>
        </w:rPr>
        <w:t xml:space="preserve">, </w:t>
      </w:r>
      <w:hyperlink r:id="rId8" w:history="1">
        <w:r w:rsidRPr="003F4675">
          <w:rPr>
            <w:rStyle w:val="Hyperlink"/>
            <w:rFonts w:ascii="Arial" w:hAnsi="Arial" w:cs="Arial"/>
            <w:sz w:val="18"/>
            <w:szCs w:val="18"/>
          </w:rPr>
          <w:t>http://roadsafety.gov.au/nrss/directions.aspx</w:t>
        </w:r>
      </w:hyperlink>
      <w:r w:rsidRPr="003F4675">
        <w:rPr>
          <w:rFonts w:ascii="Arial" w:hAnsi="Arial" w:cs="Arial"/>
          <w:sz w:val="18"/>
          <w:szCs w:val="18"/>
        </w:rPr>
        <w:t xml:space="preserve"> </w:t>
      </w:r>
    </w:p>
  </w:footnote>
  <w:footnote w:id="16">
    <w:p w:rsidR="000712F9" w:rsidRPr="00B44F34" w:rsidRDefault="000712F9" w:rsidP="00F73B99">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Australian Automobile Association, 2013, </w:t>
      </w:r>
      <w:hyperlink r:id="rId9" w:history="1">
        <w:proofErr w:type="spellStart"/>
        <w:r w:rsidRPr="003F4675">
          <w:rPr>
            <w:rStyle w:val="Hyperlink"/>
            <w:rFonts w:ascii="Arial" w:hAnsi="Arial" w:cs="Arial"/>
            <w:sz w:val="18"/>
            <w:szCs w:val="18"/>
          </w:rPr>
          <w:t>AusRAP</w:t>
        </w:r>
        <w:proofErr w:type="spellEnd"/>
        <w:r w:rsidRPr="003F4675">
          <w:rPr>
            <w:rStyle w:val="Hyperlink"/>
            <w:rFonts w:ascii="Arial" w:hAnsi="Arial" w:cs="Arial"/>
            <w:sz w:val="18"/>
            <w:szCs w:val="18"/>
          </w:rPr>
          <w:t xml:space="preserve"> Star Ratings Report</w:t>
        </w:r>
      </w:hyperlink>
      <w:r w:rsidRPr="003F4675">
        <w:rPr>
          <w:rFonts w:ascii="Arial" w:hAnsi="Arial" w:cs="Arial"/>
          <w:sz w:val="18"/>
          <w:szCs w:val="18"/>
        </w:rPr>
        <w:t>, 15.</w:t>
      </w:r>
    </w:p>
  </w:footnote>
  <w:footnote w:id="17">
    <w:p w:rsidR="000712F9" w:rsidRDefault="000712F9" w:rsidP="008A63A8">
      <w:pPr>
        <w:pStyle w:val="FootnoteText"/>
      </w:pPr>
      <w:r>
        <w:rPr>
          <w:rStyle w:val="FootnoteReference"/>
        </w:rPr>
        <w:footnoteRef/>
      </w:r>
      <w:r>
        <w:t xml:space="preserve"> </w:t>
      </w:r>
      <w:r w:rsidRPr="003F4675">
        <w:rPr>
          <w:rFonts w:ascii="Arial" w:hAnsi="Arial" w:cs="Arial"/>
          <w:sz w:val="18"/>
          <w:szCs w:val="18"/>
        </w:rPr>
        <w:t xml:space="preserve">NTI, NTARC </w:t>
      </w:r>
      <w:hyperlink r:id="rId10" w:history="1">
        <w:r w:rsidRPr="003F4675">
          <w:rPr>
            <w:rStyle w:val="Hyperlink"/>
            <w:rFonts w:ascii="Arial" w:hAnsi="Arial" w:cs="Arial"/>
            <w:sz w:val="18"/>
            <w:szCs w:val="18"/>
          </w:rPr>
          <w:t>2017 Major Accident and Investigation Report</w:t>
        </w:r>
      </w:hyperlink>
    </w:p>
  </w:footnote>
  <w:footnote w:id="18">
    <w:p w:rsidR="003D2F70" w:rsidRDefault="003D2F70">
      <w:pPr>
        <w:pStyle w:val="FootnoteText"/>
      </w:pPr>
      <w:r>
        <w:rPr>
          <w:rStyle w:val="FootnoteReference"/>
        </w:rPr>
        <w:footnoteRef/>
      </w:r>
      <w:r>
        <w:t xml:space="preserve"> </w:t>
      </w:r>
      <w:hyperlink r:id="rId11" w:history="1">
        <w:r w:rsidRPr="003D2F70">
          <w:rPr>
            <w:rStyle w:val="Hyperlink"/>
          </w:rPr>
          <w:t>Code of Practice – Fatigue management for commercial vehicle drivers</w:t>
        </w:r>
      </w:hyperlink>
    </w:p>
  </w:footnote>
  <w:footnote w:id="19">
    <w:p w:rsidR="000712F9" w:rsidRPr="003F4675" w:rsidRDefault="000712F9" w:rsidP="008A63A8">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12" w:history="1">
        <w:r w:rsidRPr="003F4675">
          <w:rPr>
            <w:rStyle w:val="Hyperlink"/>
            <w:rFonts w:ascii="Arial" w:hAnsi="Arial" w:cs="Arial"/>
            <w:sz w:val="18"/>
            <w:szCs w:val="18"/>
          </w:rPr>
          <w:t>ATA Submission Clarifying control of automated vehicles, June 2017</w:t>
        </w:r>
      </w:hyperlink>
    </w:p>
  </w:footnote>
  <w:footnote w:id="20">
    <w:p w:rsidR="000712F9" w:rsidRPr="003F4675" w:rsidRDefault="000712F9" w:rsidP="008A63A8">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13" w:history="1">
        <w:r w:rsidRPr="003F4675">
          <w:rPr>
            <w:rStyle w:val="Hyperlink"/>
            <w:rFonts w:ascii="Arial" w:hAnsi="Arial" w:cs="Arial"/>
            <w:sz w:val="18"/>
            <w:szCs w:val="18"/>
          </w:rPr>
          <w:t>ATA Submission Options to assure automated vehicle safety in Australia, July 2017</w:t>
        </w:r>
      </w:hyperlink>
    </w:p>
  </w:footnote>
  <w:footnote w:id="21">
    <w:p w:rsidR="000712F9" w:rsidRDefault="000712F9" w:rsidP="008A63A8">
      <w:pPr>
        <w:pStyle w:val="FootnoteText"/>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14" w:history="1">
        <w:r w:rsidRPr="003F4675">
          <w:rPr>
            <w:rStyle w:val="Hyperlink"/>
            <w:rFonts w:ascii="Arial" w:hAnsi="Arial" w:cs="Arial"/>
            <w:sz w:val="18"/>
            <w:szCs w:val="18"/>
          </w:rPr>
          <w:t>ATA Submission Changing driving laws to support automated vehicles, December 2017</w:t>
        </w:r>
      </w:hyperlink>
    </w:p>
  </w:footnote>
  <w:footnote w:id="22">
    <w:p w:rsidR="000712F9" w:rsidRPr="003F4675" w:rsidRDefault="000712F9" w:rsidP="00B2294C">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15" w:history="1">
        <w:r w:rsidRPr="003F4675">
          <w:rPr>
            <w:rStyle w:val="Hyperlink"/>
            <w:rFonts w:ascii="Arial" w:hAnsi="Arial" w:cs="Arial"/>
            <w:sz w:val="18"/>
            <w:szCs w:val="18"/>
          </w:rPr>
          <w:t>BITRE Heavy truck safety: crash analysis and trends</w:t>
        </w:r>
      </w:hyperlink>
    </w:p>
  </w:footnote>
  <w:footnote w:id="23">
    <w:p w:rsidR="000712F9" w:rsidRPr="003F4675" w:rsidRDefault="000712F9" w:rsidP="00B2294C">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16" w:history="1">
        <w:r w:rsidRPr="003F4675">
          <w:rPr>
            <w:rStyle w:val="Hyperlink"/>
            <w:rFonts w:ascii="Arial" w:hAnsi="Arial" w:cs="Arial"/>
            <w:sz w:val="18"/>
            <w:szCs w:val="18"/>
          </w:rPr>
          <w:t>NSW Road Users' Handbook</w:t>
        </w:r>
      </w:hyperlink>
    </w:p>
  </w:footnote>
  <w:footnote w:id="24">
    <w:p w:rsidR="000712F9" w:rsidRDefault="000712F9">
      <w:pPr>
        <w:pStyle w:val="FootnoteText"/>
      </w:pPr>
      <w:r>
        <w:rPr>
          <w:rStyle w:val="FootnoteReference"/>
        </w:rPr>
        <w:footnoteRef/>
      </w:r>
      <w:r>
        <w:t xml:space="preserve"> </w:t>
      </w:r>
      <w:r>
        <w:rPr>
          <w:rFonts w:ascii="Arial" w:hAnsi="Arial" w:cs="Arial"/>
          <w:color w:val="000000"/>
          <w:sz w:val="18"/>
          <w:szCs w:val="18"/>
        </w:rPr>
        <w:t xml:space="preserve">VicRoads, </w:t>
      </w:r>
      <w:hyperlink r:id="rId17" w:history="1">
        <w:r w:rsidRPr="0045459B">
          <w:rPr>
            <w:rStyle w:val="Hyperlink"/>
            <w:rFonts w:ascii="Arial" w:hAnsi="Arial" w:cs="Arial"/>
            <w:sz w:val="18"/>
            <w:szCs w:val="18"/>
          </w:rPr>
          <w:t>Your learner handbooks</w:t>
        </w:r>
      </w:hyperlink>
      <w:r>
        <w:rPr>
          <w:rFonts w:ascii="Arial" w:hAnsi="Arial" w:cs="Arial"/>
          <w:color w:val="000000"/>
          <w:sz w:val="18"/>
          <w:szCs w:val="18"/>
        </w:rPr>
        <w:t>, 141-143.</w:t>
      </w:r>
    </w:p>
  </w:footnote>
  <w:footnote w:id="25">
    <w:p w:rsidR="000712F9" w:rsidRDefault="000712F9">
      <w:pPr>
        <w:pStyle w:val="FootnoteText"/>
      </w:pPr>
      <w:r>
        <w:rPr>
          <w:rStyle w:val="FootnoteReference"/>
        </w:rPr>
        <w:footnoteRef/>
      </w:r>
      <w:r>
        <w:t xml:space="preserve"> </w:t>
      </w:r>
      <w:r>
        <w:rPr>
          <w:rFonts w:ascii="Arial" w:hAnsi="Arial" w:cs="Arial"/>
          <w:color w:val="000000"/>
          <w:sz w:val="18"/>
          <w:szCs w:val="18"/>
        </w:rPr>
        <w:t xml:space="preserve">Queensland Government, </w:t>
      </w:r>
      <w:hyperlink r:id="rId18" w:history="1">
        <w:r w:rsidRPr="0045459B">
          <w:rPr>
            <w:rStyle w:val="Hyperlink"/>
            <w:rFonts w:ascii="Arial" w:hAnsi="Arial" w:cs="Arial"/>
            <w:sz w:val="18"/>
            <w:szCs w:val="18"/>
          </w:rPr>
          <w:t>Your keys to driving in Queensland,</w:t>
        </w:r>
      </w:hyperlink>
      <w:r>
        <w:rPr>
          <w:rFonts w:ascii="Arial" w:hAnsi="Arial" w:cs="Arial"/>
          <w:color w:val="000000"/>
          <w:sz w:val="18"/>
          <w:szCs w:val="18"/>
        </w:rPr>
        <w:t xml:space="preserve"> 94,132</w:t>
      </w:r>
    </w:p>
  </w:footnote>
  <w:footnote w:id="26">
    <w:p w:rsidR="000712F9" w:rsidRPr="003F4675" w:rsidRDefault="000712F9" w:rsidP="00B2294C">
      <w:pPr>
        <w:autoSpaceDE w:val="0"/>
        <w:autoSpaceDN w:val="0"/>
        <w:adjustRightInd w:val="0"/>
        <w:spacing w:after="0" w:line="240" w:lineRule="auto"/>
        <w:rPr>
          <w:rFonts w:ascii="Arial" w:hAnsi="Arial" w:cs="Arial"/>
          <w:color w:val="0564C0"/>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r w:rsidRPr="003F4675">
        <w:rPr>
          <w:rFonts w:ascii="Arial" w:hAnsi="Arial" w:cs="Arial"/>
          <w:color w:val="000000"/>
          <w:sz w:val="18"/>
          <w:szCs w:val="18"/>
        </w:rPr>
        <w:t xml:space="preserve">Baker, S. et al. </w:t>
      </w:r>
      <w:r w:rsidRPr="003F4675">
        <w:rPr>
          <w:rFonts w:ascii="Arial" w:hAnsi="Arial" w:cs="Arial"/>
          <w:color w:val="0564C0"/>
          <w:sz w:val="18"/>
          <w:szCs w:val="18"/>
        </w:rPr>
        <w:t>Evaluation of light vehicle driver education programs targeting sharing the road with heavy</w:t>
      </w:r>
    </w:p>
    <w:p w:rsidR="000712F9" w:rsidRPr="003F4675" w:rsidRDefault="000712F9" w:rsidP="00B2294C">
      <w:pPr>
        <w:pStyle w:val="FootnoteText"/>
        <w:rPr>
          <w:rFonts w:ascii="Arial" w:hAnsi="Arial" w:cs="Arial"/>
          <w:sz w:val="18"/>
          <w:szCs w:val="18"/>
        </w:rPr>
      </w:pPr>
      <w:proofErr w:type="gramStart"/>
      <w:r w:rsidRPr="003F4675">
        <w:rPr>
          <w:rFonts w:ascii="Arial" w:hAnsi="Arial" w:cs="Arial"/>
          <w:color w:val="0564C0"/>
          <w:sz w:val="18"/>
          <w:szCs w:val="18"/>
        </w:rPr>
        <w:t>vehicles</w:t>
      </w:r>
      <w:proofErr w:type="gramEnd"/>
      <w:r w:rsidRPr="003F4675">
        <w:rPr>
          <w:rFonts w:ascii="Arial" w:hAnsi="Arial" w:cs="Arial"/>
          <w:color w:val="000000"/>
          <w:sz w:val="18"/>
          <w:szCs w:val="18"/>
        </w:rPr>
        <w:t>. NTSCE report 14-UM-029, 2014.</w:t>
      </w:r>
    </w:p>
  </w:footnote>
  <w:footnote w:id="27">
    <w:p w:rsidR="000712F9" w:rsidRPr="003F4675" w:rsidRDefault="000712F9" w:rsidP="00B2294C">
      <w:pPr>
        <w:autoSpaceDE w:val="0"/>
        <w:autoSpaceDN w:val="0"/>
        <w:adjustRightInd w:val="0"/>
        <w:spacing w:after="0" w:line="240" w:lineRule="auto"/>
        <w:rPr>
          <w:rFonts w:ascii="Arial" w:hAnsi="Arial" w:cs="Arial"/>
          <w:i/>
          <w:iCs/>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Phillips, R. et al. “Meta-analysis of the effect of road safety campaigns on accidents,” </w:t>
      </w:r>
      <w:r w:rsidRPr="003F4675">
        <w:rPr>
          <w:rFonts w:ascii="Arial" w:hAnsi="Arial" w:cs="Arial"/>
          <w:i/>
          <w:iCs/>
          <w:sz w:val="18"/>
          <w:szCs w:val="18"/>
        </w:rPr>
        <w:t>Accident Analysis and</w:t>
      </w:r>
    </w:p>
    <w:p w:rsidR="000712F9" w:rsidRPr="003F4675" w:rsidRDefault="000712F9" w:rsidP="00B2294C">
      <w:pPr>
        <w:autoSpaceDE w:val="0"/>
        <w:autoSpaceDN w:val="0"/>
        <w:adjustRightInd w:val="0"/>
        <w:spacing w:after="0" w:line="240" w:lineRule="auto"/>
        <w:rPr>
          <w:rFonts w:ascii="Arial" w:hAnsi="Arial" w:cs="Arial"/>
          <w:sz w:val="18"/>
          <w:szCs w:val="18"/>
        </w:rPr>
      </w:pPr>
      <w:r w:rsidRPr="003F4675">
        <w:rPr>
          <w:rFonts w:ascii="Arial" w:hAnsi="Arial" w:cs="Arial"/>
          <w:i/>
          <w:iCs/>
          <w:sz w:val="18"/>
          <w:szCs w:val="18"/>
        </w:rPr>
        <w:t xml:space="preserve">Prevention </w:t>
      </w:r>
      <w:r w:rsidRPr="003F4675">
        <w:rPr>
          <w:rFonts w:ascii="Arial" w:hAnsi="Arial" w:cs="Arial"/>
          <w:sz w:val="18"/>
          <w:szCs w:val="18"/>
        </w:rPr>
        <w:t>43(2011) 1204-1218. 1207.</w:t>
      </w:r>
    </w:p>
    <w:p w:rsidR="000712F9" w:rsidRDefault="000712F9" w:rsidP="00B2294C">
      <w:pPr>
        <w:pStyle w:val="FootnoteText"/>
      </w:pPr>
    </w:p>
  </w:footnote>
  <w:footnote w:id="28">
    <w:p w:rsidR="000712F9" w:rsidRPr="004B7374" w:rsidRDefault="000712F9" w:rsidP="00BE03A6">
      <w:pPr>
        <w:pStyle w:val="FootnoteText"/>
        <w:rPr>
          <w:rFonts w:ascii="Arial" w:hAnsi="Arial" w:cs="Arial"/>
          <w:sz w:val="18"/>
          <w:szCs w:val="18"/>
        </w:rPr>
      </w:pPr>
      <w:r w:rsidRPr="00250DC6">
        <w:rPr>
          <w:rStyle w:val="FootnoteReference"/>
          <w:rFonts w:ascii="Arial" w:hAnsi="Arial" w:cs="Arial"/>
          <w:sz w:val="18"/>
          <w:szCs w:val="18"/>
        </w:rPr>
        <w:footnoteRef/>
      </w:r>
      <w:r w:rsidRPr="00250DC6">
        <w:rPr>
          <w:rFonts w:ascii="Arial" w:hAnsi="Arial" w:cs="Arial"/>
          <w:sz w:val="18"/>
          <w:szCs w:val="18"/>
        </w:rPr>
        <w:t xml:space="preserve"> </w:t>
      </w:r>
      <w:r w:rsidRPr="004B7374">
        <w:rPr>
          <w:rFonts w:ascii="Arial" w:hAnsi="Arial" w:cs="Arial"/>
          <w:i/>
          <w:sz w:val="18"/>
          <w:szCs w:val="18"/>
        </w:rPr>
        <w:t>Road Safety Remuneration Act 2012</w:t>
      </w:r>
      <w:r>
        <w:rPr>
          <w:rFonts w:ascii="Arial" w:hAnsi="Arial" w:cs="Arial"/>
          <w:sz w:val="18"/>
          <w:szCs w:val="18"/>
        </w:rPr>
        <w:t xml:space="preserve"> (</w:t>
      </w:r>
      <w:proofErr w:type="spellStart"/>
      <w:r>
        <w:rPr>
          <w:rFonts w:ascii="Arial" w:hAnsi="Arial" w:cs="Arial"/>
          <w:sz w:val="18"/>
          <w:szCs w:val="18"/>
        </w:rPr>
        <w:t>Cth</w:t>
      </w:r>
      <w:proofErr w:type="spellEnd"/>
      <w:r>
        <w:rPr>
          <w:rFonts w:ascii="Arial" w:hAnsi="Arial" w:cs="Arial"/>
          <w:sz w:val="18"/>
          <w:szCs w:val="18"/>
        </w:rPr>
        <w:t>), s 3.</w:t>
      </w:r>
    </w:p>
  </w:footnote>
  <w:footnote w:id="29">
    <w:p w:rsidR="000712F9" w:rsidRPr="00DC4046" w:rsidRDefault="000712F9" w:rsidP="00BE03A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National Transport Insurance, </w:t>
      </w:r>
      <w:r>
        <w:rPr>
          <w:rFonts w:ascii="Arial" w:hAnsi="Arial" w:cs="Arial"/>
          <w:i/>
          <w:sz w:val="18"/>
          <w:szCs w:val="18"/>
        </w:rPr>
        <w:t>2017</w:t>
      </w:r>
      <w:r w:rsidRPr="00DC4046">
        <w:rPr>
          <w:rFonts w:ascii="Arial" w:hAnsi="Arial" w:cs="Arial"/>
          <w:i/>
          <w:sz w:val="18"/>
          <w:szCs w:val="18"/>
        </w:rPr>
        <w:t xml:space="preserve"> major accident investigation report</w:t>
      </w:r>
      <w:r>
        <w:rPr>
          <w:rFonts w:ascii="Arial" w:hAnsi="Arial" w:cs="Arial"/>
          <w:sz w:val="18"/>
          <w:szCs w:val="18"/>
        </w:rPr>
        <w:t xml:space="preserve">, NTI, Brisbane, 2017, 7. </w:t>
      </w:r>
      <w:hyperlink r:id="rId19" w:history="1">
        <w:r w:rsidRPr="00A86D53">
          <w:rPr>
            <w:rStyle w:val="Hyperlink"/>
            <w:rFonts w:ascii="Arial" w:hAnsi="Arial" w:cs="Arial"/>
            <w:sz w:val="18"/>
            <w:szCs w:val="18"/>
          </w:rPr>
          <w:t>Link.</w:t>
        </w:r>
      </w:hyperlink>
    </w:p>
  </w:footnote>
  <w:footnote w:id="30">
    <w:p w:rsidR="000712F9" w:rsidRPr="00CB30A4" w:rsidRDefault="000712F9" w:rsidP="00BE03A6">
      <w:pPr>
        <w:pStyle w:val="FootnoteText"/>
        <w:rPr>
          <w:rFonts w:ascii="Arial" w:hAnsi="Arial" w:cs="Arial"/>
          <w:sz w:val="18"/>
          <w:szCs w:val="18"/>
        </w:rPr>
      </w:pPr>
      <w:r w:rsidRPr="00CB30A4">
        <w:rPr>
          <w:rStyle w:val="FootnoteReference"/>
          <w:rFonts w:ascii="Arial" w:hAnsi="Arial" w:cs="Arial"/>
          <w:sz w:val="18"/>
          <w:szCs w:val="18"/>
        </w:rPr>
        <w:footnoteRef/>
      </w:r>
      <w:r w:rsidRPr="00CB30A4">
        <w:rPr>
          <w:rFonts w:ascii="Arial" w:hAnsi="Arial" w:cs="Arial"/>
          <w:sz w:val="18"/>
          <w:szCs w:val="18"/>
        </w:rPr>
        <w:t xml:space="preserve"> </w:t>
      </w:r>
      <w:proofErr w:type="spellStart"/>
      <w:r w:rsidRPr="00CB30A4">
        <w:rPr>
          <w:rFonts w:ascii="Arial" w:hAnsi="Arial" w:cs="Arial"/>
          <w:sz w:val="18"/>
          <w:szCs w:val="18"/>
        </w:rPr>
        <w:t>Austroads</w:t>
      </w:r>
      <w:proofErr w:type="spellEnd"/>
      <w:r w:rsidRPr="00CB30A4">
        <w:rPr>
          <w:rFonts w:ascii="Arial" w:hAnsi="Arial" w:cs="Arial"/>
          <w:sz w:val="18"/>
          <w:szCs w:val="18"/>
        </w:rPr>
        <w:t xml:space="preserve">, </w:t>
      </w:r>
      <w:r w:rsidRPr="00CB30A4">
        <w:rPr>
          <w:rFonts w:ascii="Arial" w:hAnsi="Arial" w:cs="Arial"/>
          <w:i/>
          <w:sz w:val="18"/>
          <w:szCs w:val="18"/>
        </w:rPr>
        <w:t>Road Geometry Study for Improved Rural Safety</w:t>
      </w:r>
      <w:r>
        <w:rPr>
          <w:rFonts w:ascii="Arial" w:hAnsi="Arial" w:cs="Arial"/>
          <w:sz w:val="18"/>
          <w:szCs w:val="18"/>
        </w:rPr>
        <w:t xml:space="preserve">, Technical report </w:t>
      </w:r>
      <w:r w:rsidRPr="00F253DE">
        <w:rPr>
          <w:rFonts w:ascii="Arial" w:hAnsi="Arial" w:cs="Arial"/>
          <w:sz w:val="18"/>
          <w:szCs w:val="18"/>
        </w:rPr>
        <w:t>AP-T295-15</w:t>
      </w:r>
      <w:r>
        <w:rPr>
          <w:rFonts w:ascii="Arial" w:hAnsi="Arial" w:cs="Arial"/>
          <w:sz w:val="18"/>
          <w:szCs w:val="18"/>
        </w:rPr>
        <w:t xml:space="preserve">, 2015, </w:t>
      </w:r>
      <w:r w:rsidRPr="00CB30A4">
        <w:rPr>
          <w:rFonts w:ascii="Arial" w:hAnsi="Arial" w:cs="Arial"/>
          <w:sz w:val="18"/>
          <w:szCs w:val="18"/>
        </w:rPr>
        <w:t>1.</w:t>
      </w:r>
      <w:r>
        <w:rPr>
          <w:rFonts w:ascii="Arial" w:hAnsi="Arial" w:cs="Arial"/>
          <w:sz w:val="18"/>
          <w:szCs w:val="18"/>
        </w:rPr>
        <w:t xml:space="preserve"> </w:t>
      </w:r>
      <w:hyperlink r:id="rId20" w:history="1">
        <w:r w:rsidRPr="00F253DE">
          <w:rPr>
            <w:rStyle w:val="Hyperlink"/>
            <w:rFonts w:ascii="Arial" w:hAnsi="Arial" w:cs="Arial"/>
            <w:sz w:val="18"/>
            <w:szCs w:val="18"/>
          </w:rPr>
          <w:t>Link</w:t>
        </w:r>
      </w:hyperlink>
      <w:r>
        <w:rPr>
          <w:rFonts w:ascii="Arial" w:hAnsi="Arial" w:cs="Arial"/>
          <w:sz w:val="18"/>
          <w:szCs w:val="18"/>
        </w:rPr>
        <w:t>.</w:t>
      </w:r>
    </w:p>
  </w:footnote>
  <w:footnote w:id="31">
    <w:p w:rsidR="000712F9" w:rsidRPr="00E55078" w:rsidRDefault="000712F9" w:rsidP="00BE03A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NTI, 22.</w:t>
      </w:r>
    </w:p>
  </w:footnote>
  <w:footnote w:id="32">
    <w:p w:rsidR="000712F9" w:rsidRPr="00E32A3B" w:rsidRDefault="000712F9" w:rsidP="00BE03A6">
      <w:pPr>
        <w:pStyle w:val="FootnoteText"/>
        <w:rPr>
          <w:rFonts w:ascii="Arial" w:hAnsi="Arial" w:cs="Arial"/>
          <w:sz w:val="18"/>
          <w:szCs w:val="18"/>
        </w:rPr>
      </w:pPr>
      <w:r w:rsidRPr="001B4728">
        <w:rPr>
          <w:rStyle w:val="FootnoteReference"/>
          <w:rFonts w:ascii="Arial" w:hAnsi="Arial" w:cs="Arial"/>
          <w:sz w:val="18"/>
          <w:szCs w:val="18"/>
        </w:rPr>
        <w:footnoteRef/>
      </w:r>
      <w:r w:rsidRPr="001B4728">
        <w:rPr>
          <w:rFonts w:ascii="Arial" w:hAnsi="Arial" w:cs="Arial"/>
          <w:sz w:val="18"/>
          <w:szCs w:val="18"/>
        </w:rPr>
        <w:t xml:space="preserve"> PricewaterhouseCoopers</w:t>
      </w:r>
      <w:r w:rsidRPr="001B4728">
        <w:rPr>
          <w:rFonts w:ascii="Arial" w:hAnsi="Arial" w:cs="Arial"/>
          <w:i/>
          <w:sz w:val="18"/>
          <w:szCs w:val="18"/>
        </w:rPr>
        <w:t>, Review of the road safety remuneration system: final report</w:t>
      </w:r>
      <w:r w:rsidRPr="001B4728">
        <w:rPr>
          <w:rFonts w:ascii="Arial" w:hAnsi="Arial" w:cs="Arial"/>
          <w:sz w:val="18"/>
          <w:szCs w:val="18"/>
        </w:rPr>
        <w:t xml:space="preserve">. January 2016. v. </w:t>
      </w:r>
      <w:hyperlink r:id="rId21" w:history="1">
        <w:r w:rsidRPr="001B4728">
          <w:rPr>
            <w:rStyle w:val="Hyperlink"/>
            <w:rFonts w:ascii="Arial" w:hAnsi="Arial" w:cs="Arial"/>
            <w:sz w:val="18"/>
            <w:szCs w:val="18"/>
          </w:rPr>
          <w:t>Link</w:t>
        </w:r>
      </w:hyperlink>
      <w:r w:rsidRPr="001B4728">
        <w:rPr>
          <w:rFonts w:ascii="Arial" w:hAnsi="Arial" w:cs="Arial"/>
          <w:sz w:val="18"/>
          <w:szCs w:val="18"/>
        </w:rPr>
        <w:t xml:space="preserve">. </w:t>
      </w:r>
    </w:p>
  </w:footnote>
  <w:footnote w:id="33">
    <w:p w:rsidR="000712F9" w:rsidRPr="0022693B" w:rsidRDefault="000712F9" w:rsidP="00BE03A6">
      <w:pPr>
        <w:pStyle w:val="FootnoteText"/>
        <w:rPr>
          <w:rFonts w:ascii="Arial" w:hAnsi="Arial" w:cs="Arial"/>
          <w:sz w:val="18"/>
          <w:szCs w:val="18"/>
        </w:rPr>
      </w:pPr>
      <w:r w:rsidRPr="0022693B">
        <w:rPr>
          <w:rStyle w:val="FootnoteReference"/>
          <w:rFonts w:ascii="Arial" w:hAnsi="Arial" w:cs="Arial"/>
          <w:sz w:val="18"/>
          <w:szCs w:val="18"/>
        </w:rPr>
        <w:footnoteRef/>
      </w:r>
      <w:r w:rsidRPr="0022693B">
        <w:rPr>
          <w:rFonts w:ascii="Arial" w:hAnsi="Arial" w:cs="Arial"/>
          <w:sz w:val="18"/>
          <w:szCs w:val="18"/>
        </w:rPr>
        <w:t xml:space="preserve"> </w:t>
      </w:r>
      <w:r>
        <w:rPr>
          <w:rFonts w:ascii="Arial" w:hAnsi="Arial" w:cs="Arial"/>
          <w:sz w:val="18"/>
          <w:szCs w:val="18"/>
        </w:rPr>
        <w:t>PwC, 50.</w:t>
      </w:r>
    </w:p>
  </w:footnote>
  <w:footnote w:id="34">
    <w:p w:rsidR="000712F9" w:rsidRPr="0022693B" w:rsidRDefault="000712F9" w:rsidP="00BE03A6">
      <w:pPr>
        <w:pStyle w:val="FootnoteText"/>
        <w:rPr>
          <w:rFonts w:ascii="Arial" w:hAnsi="Arial" w:cs="Arial"/>
          <w:sz w:val="18"/>
          <w:szCs w:val="18"/>
        </w:rPr>
      </w:pPr>
      <w:r w:rsidRPr="008216E1">
        <w:rPr>
          <w:rStyle w:val="FootnoteReference"/>
          <w:rFonts w:ascii="Arial" w:hAnsi="Arial" w:cs="Arial"/>
          <w:sz w:val="18"/>
          <w:szCs w:val="18"/>
        </w:rPr>
        <w:footnoteRef/>
      </w:r>
      <w:r w:rsidRPr="008216E1">
        <w:rPr>
          <w:rFonts w:ascii="Arial" w:hAnsi="Arial" w:cs="Arial"/>
          <w:sz w:val="18"/>
          <w:szCs w:val="18"/>
        </w:rPr>
        <w:t xml:space="preserve"> P</w:t>
      </w:r>
      <w:r>
        <w:rPr>
          <w:rFonts w:ascii="Arial" w:hAnsi="Arial" w:cs="Arial"/>
          <w:sz w:val="18"/>
          <w:szCs w:val="18"/>
        </w:rPr>
        <w:t>wC, 52.</w:t>
      </w:r>
    </w:p>
  </w:footnote>
  <w:footnote w:id="35">
    <w:p w:rsidR="000712F9" w:rsidRDefault="000712F9" w:rsidP="00BE03A6">
      <w:pPr>
        <w:pStyle w:val="FootnoteText"/>
      </w:pPr>
      <w:r w:rsidRPr="00E32A3B">
        <w:rPr>
          <w:rStyle w:val="FootnoteReference"/>
          <w:rFonts w:ascii="Arial" w:hAnsi="Arial" w:cs="Arial"/>
          <w:sz w:val="18"/>
          <w:szCs w:val="18"/>
        </w:rPr>
        <w:footnoteRef/>
      </w:r>
      <w:r w:rsidRPr="00E32A3B">
        <w:rPr>
          <w:rFonts w:ascii="Arial" w:hAnsi="Arial" w:cs="Arial"/>
          <w:sz w:val="18"/>
          <w:szCs w:val="18"/>
        </w:rPr>
        <w:t xml:space="preserve"> PwC, 84.</w:t>
      </w:r>
    </w:p>
  </w:footnote>
  <w:footnote w:id="36">
    <w:p w:rsidR="000712F9" w:rsidRPr="003F4675" w:rsidRDefault="000712F9" w:rsidP="00A56D2A">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22" w:history="1">
        <w:r w:rsidRPr="003F4675">
          <w:rPr>
            <w:rStyle w:val="Hyperlink"/>
            <w:rFonts w:ascii="Arial" w:hAnsi="Arial" w:cs="Arial"/>
            <w:sz w:val="18"/>
            <w:szCs w:val="18"/>
          </w:rPr>
          <w:t>NSW Road Users' Handbook</w:t>
        </w:r>
      </w:hyperlink>
    </w:p>
  </w:footnote>
  <w:footnote w:id="37">
    <w:p w:rsidR="000712F9" w:rsidRPr="003F4675" w:rsidRDefault="000712F9" w:rsidP="00A56D2A">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23" w:history="1">
        <w:r w:rsidRPr="003F4675">
          <w:rPr>
            <w:rStyle w:val="Hyperlink"/>
            <w:rFonts w:ascii="Arial" w:hAnsi="Arial" w:cs="Arial"/>
            <w:sz w:val="18"/>
            <w:szCs w:val="18"/>
          </w:rPr>
          <w:t>NSW Driver knowledge test questions</w:t>
        </w:r>
      </w:hyperlink>
    </w:p>
  </w:footnote>
  <w:footnote w:id="38">
    <w:p w:rsidR="000712F9" w:rsidRDefault="000712F9" w:rsidP="00A56D2A">
      <w:pPr>
        <w:pStyle w:val="FootnoteText"/>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24" w:history="1">
        <w:r w:rsidRPr="003F4675">
          <w:rPr>
            <w:rStyle w:val="Hyperlink"/>
            <w:rFonts w:ascii="Arial" w:hAnsi="Arial" w:cs="Arial"/>
            <w:sz w:val="18"/>
            <w:szCs w:val="18"/>
          </w:rPr>
          <w:t>NSW Hazard perception handbook</w:t>
        </w:r>
      </w:hyperlink>
    </w:p>
  </w:footnote>
  <w:footnote w:id="39">
    <w:p w:rsidR="000712F9" w:rsidRPr="003F4675" w:rsidRDefault="000712F9" w:rsidP="00A56D2A">
      <w:pPr>
        <w:pStyle w:val="FootnoteText"/>
        <w:rPr>
          <w:rFonts w:ascii="Arial" w:hAnsi="Arial" w:cs="Arial"/>
          <w:sz w:val="18"/>
          <w:szCs w:val="18"/>
        </w:rPr>
      </w:pPr>
      <w:r w:rsidRPr="003F4675">
        <w:rPr>
          <w:rStyle w:val="FootnoteReference"/>
          <w:rFonts w:ascii="Arial" w:hAnsi="Arial" w:cs="Arial"/>
          <w:sz w:val="18"/>
          <w:szCs w:val="18"/>
        </w:rPr>
        <w:footnoteRef/>
      </w:r>
      <w:r w:rsidRPr="003F4675">
        <w:rPr>
          <w:rFonts w:ascii="Arial" w:hAnsi="Arial" w:cs="Arial"/>
          <w:sz w:val="18"/>
          <w:szCs w:val="18"/>
        </w:rPr>
        <w:t xml:space="preserve"> </w:t>
      </w:r>
      <w:hyperlink r:id="rId25" w:history="1">
        <w:r w:rsidRPr="003F4675">
          <w:rPr>
            <w:rStyle w:val="Hyperlink"/>
            <w:rFonts w:ascii="Arial" w:hAnsi="Arial" w:cs="Arial"/>
            <w:sz w:val="18"/>
            <w:szCs w:val="18"/>
          </w:rPr>
          <w:t>NSW Driver qualification handbook</w:t>
        </w:r>
      </w:hyperlink>
    </w:p>
  </w:footnote>
  <w:footnote w:id="40">
    <w:p w:rsidR="000712F9" w:rsidRDefault="000712F9" w:rsidP="00A56D2A">
      <w:pPr>
        <w:pStyle w:val="FootnoteText"/>
      </w:pPr>
      <w:r>
        <w:rPr>
          <w:rStyle w:val="FootnoteReference"/>
        </w:rPr>
        <w:footnoteRef/>
      </w:r>
      <w:r>
        <w:t xml:space="preserve"> </w:t>
      </w:r>
      <w:r>
        <w:rPr>
          <w:rFonts w:ascii="Arial" w:hAnsi="Arial" w:cs="Arial"/>
          <w:color w:val="000000"/>
          <w:sz w:val="18"/>
          <w:szCs w:val="18"/>
        </w:rPr>
        <w:t xml:space="preserve">VicRoads, </w:t>
      </w:r>
      <w:hyperlink r:id="rId26" w:history="1">
        <w:r w:rsidRPr="0045459B">
          <w:rPr>
            <w:rStyle w:val="Hyperlink"/>
            <w:rFonts w:ascii="Arial" w:hAnsi="Arial" w:cs="Arial"/>
            <w:sz w:val="18"/>
            <w:szCs w:val="18"/>
          </w:rPr>
          <w:t>Your learner handbooks</w:t>
        </w:r>
      </w:hyperlink>
      <w:r>
        <w:rPr>
          <w:rFonts w:ascii="Arial" w:hAnsi="Arial" w:cs="Arial"/>
          <w:color w:val="000000"/>
          <w:sz w:val="18"/>
          <w:szCs w:val="18"/>
        </w:rPr>
        <w:t>, 141-143.</w:t>
      </w:r>
    </w:p>
  </w:footnote>
  <w:footnote w:id="41">
    <w:p w:rsidR="000712F9" w:rsidRDefault="000712F9" w:rsidP="00A56D2A">
      <w:pPr>
        <w:pStyle w:val="FootnoteText"/>
      </w:pPr>
      <w:r>
        <w:rPr>
          <w:rStyle w:val="FootnoteReference"/>
        </w:rPr>
        <w:footnoteRef/>
      </w:r>
      <w:r>
        <w:t xml:space="preserve"> </w:t>
      </w:r>
      <w:r>
        <w:rPr>
          <w:rFonts w:ascii="Arial" w:hAnsi="Arial" w:cs="Arial"/>
          <w:color w:val="000000"/>
          <w:sz w:val="18"/>
          <w:szCs w:val="18"/>
        </w:rPr>
        <w:t xml:space="preserve">Queensland Government, </w:t>
      </w:r>
      <w:hyperlink r:id="rId27" w:history="1">
        <w:r w:rsidRPr="0045459B">
          <w:rPr>
            <w:rStyle w:val="Hyperlink"/>
            <w:rFonts w:ascii="Arial" w:hAnsi="Arial" w:cs="Arial"/>
            <w:sz w:val="18"/>
            <w:szCs w:val="18"/>
          </w:rPr>
          <w:t>Your keys to driving in Queensland,</w:t>
        </w:r>
      </w:hyperlink>
      <w:r>
        <w:rPr>
          <w:rFonts w:ascii="Arial" w:hAnsi="Arial" w:cs="Arial"/>
          <w:color w:val="000000"/>
          <w:sz w:val="18"/>
          <w:szCs w:val="18"/>
        </w:rPr>
        <w:t xml:space="preserve"> 94,132</w:t>
      </w:r>
    </w:p>
  </w:footnote>
  <w:footnote w:id="42">
    <w:p w:rsidR="000712F9" w:rsidRDefault="000712F9" w:rsidP="00A56D2A">
      <w:pPr>
        <w:pStyle w:val="FootnoteText"/>
      </w:pPr>
      <w:hyperlink r:id="rId28" w:history="1">
        <w:r w:rsidRPr="0045459B">
          <w:rPr>
            <w:rStyle w:val="Hyperlink"/>
            <w:vertAlign w:val="superscript"/>
          </w:rPr>
          <w:footnoteRef/>
        </w:r>
        <w:r w:rsidRPr="0045459B">
          <w:rPr>
            <w:rStyle w:val="Hyperlink"/>
          </w:rPr>
          <w:t xml:space="preserve"> </w:t>
        </w:r>
        <w:r w:rsidRPr="0045459B">
          <w:rPr>
            <w:rStyle w:val="Hyperlink"/>
            <w:rFonts w:ascii="Arial" w:hAnsi="Arial" w:cs="Arial"/>
            <w:sz w:val="18"/>
            <w:szCs w:val="18"/>
          </w:rPr>
          <w:t>SA Driver Handbook</w:t>
        </w:r>
      </w:hyperlink>
      <w:r>
        <w:rPr>
          <w:rFonts w:ascii="Arial" w:hAnsi="Arial" w:cs="Arial"/>
          <w:color w:val="000000"/>
          <w:sz w:val="18"/>
          <w:szCs w:val="18"/>
        </w:rPr>
        <w:t>, 35-36</w:t>
      </w:r>
    </w:p>
  </w:footnote>
  <w:footnote w:id="43">
    <w:p w:rsidR="000712F9" w:rsidRDefault="000712F9" w:rsidP="00A56D2A">
      <w:pPr>
        <w:pStyle w:val="FootnoteText"/>
      </w:pPr>
      <w:r>
        <w:rPr>
          <w:rStyle w:val="FootnoteReference"/>
        </w:rPr>
        <w:footnoteRef/>
      </w:r>
      <w:r>
        <w:t xml:space="preserve"> </w:t>
      </w:r>
      <w:hyperlink r:id="rId29" w:history="1">
        <w:r w:rsidRPr="00AF63CB">
          <w:rPr>
            <w:rStyle w:val="Hyperlink"/>
            <w:rFonts w:ascii="Arial" w:hAnsi="Arial" w:cs="Arial"/>
            <w:sz w:val="18"/>
            <w:szCs w:val="18"/>
          </w:rPr>
          <w:t>Drive Safe</w:t>
        </w:r>
      </w:hyperlink>
      <w:r>
        <w:rPr>
          <w:rFonts w:ascii="Arial" w:hAnsi="Arial" w:cs="Arial"/>
          <w:color w:val="000000"/>
          <w:sz w:val="18"/>
          <w:szCs w:val="18"/>
        </w:rPr>
        <w:t>, 78</w:t>
      </w:r>
    </w:p>
  </w:footnote>
  <w:footnote w:id="44">
    <w:p w:rsidR="000712F9" w:rsidRDefault="000712F9" w:rsidP="00A56D2A">
      <w:pPr>
        <w:pStyle w:val="FootnoteText"/>
      </w:pPr>
      <w:r>
        <w:rPr>
          <w:rStyle w:val="FootnoteReference"/>
        </w:rPr>
        <w:footnoteRef/>
      </w:r>
      <w:r>
        <w:t xml:space="preserve"> </w:t>
      </w:r>
      <w:hyperlink r:id="rId30" w:history="1">
        <w:r w:rsidRPr="00AF63CB">
          <w:rPr>
            <w:rStyle w:val="Hyperlink"/>
            <w:rFonts w:ascii="Arial" w:hAnsi="Arial" w:cs="Arial"/>
            <w:sz w:val="18"/>
            <w:szCs w:val="18"/>
          </w:rPr>
          <w:t>Road rules handbook</w:t>
        </w:r>
      </w:hyperlink>
      <w:r>
        <w:rPr>
          <w:rFonts w:ascii="Arial" w:hAnsi="Arial" w:cs="Arial"/>
          <w:color w:val="000000"/>
          <w:sz w:val="18"/>
          <w:szCs w:val="18"/>
        </w:rPr>
        <w:t>,11</w:t>
      </w:r>
    </w:p>
  </w:footnote>
  <w:footnote w:id="45">
    <w:p w:rsidR="000712F9" w:rsidRDefault="000712F9" w:rsidP="00A56D2A">
      <w:pPr>
        <w:pStyle w:val="FootnoteText"/>
      </w:pPr>
      <w:r>
        <w:rPr>
          <w:rStyle w:val="FootnoteReference"/>
        </w:rPr>
        <w:footnoteRef/>
      </w:r>
      <w:r>
        <w:t xml:space="preserve"> </w:t>
      </w:r>
      <w:hyperlink r:id="rId31" w:history="1">
        <w:r w:rsidRPr="00AF63CB">
          <w:rPr>
            <w:rStyle w:val="Hyperlink"/>
            <w:rFonts w:ascii="Arial" w:hAnsi="Arial" w:cs="Arial"/>
            <w:sz w:val="18"/>
            <w:szCs w:val="18"/>
          </w:rPr>
          <w:t>Tasmanian driver knowledge test question bank</w:t>
        </w:r>
      </w:hyperlink>
    </w:p>
  </w:footnote>
  <w:footnote w:id="46">
    <w:p w:rsidR="000712F9" w:rsidRDefault="000712F9" w:rsidP="00A56D2A">
      <w:pPr>
        <w:pStyle w:val="FootnoteText"/>
      </w:pPr>
      <w:r>
        <w:rPr>
          <w:rStyle w:val="FootnoteReference"/>
        </w:rPr>
        <w:footnoteRef/>
      </w:r>
      <w:r>
        <w:t xml:space="preserve"> </w:t>
      </w:r>
      <w:hyperlink r:id="rId32" w:history="1">
        <w:r w:rsidRPr="00AF63CB">
          <w:rPr>
            <w:rStyle w:val="Hyperlink"/>
            <w:rFonts w:ascii="Arial" w:hAnsi="Arial" w:cs="Arial"/>
            <w:sz w:val="18"/>
            <w:szCs w:val="18"/>
          </w:rPr>
          <w:t>ACT Road Rules Handbook</w:t>
        </w:r>
      </w:hyperlink>
      <w:r>
        <w:rPr>
          <w:rFonts w:ascii="Arial" w:hAnsi="Arial" w:cs="Arial"/>
          <w:color w:val="000000"/>
          <w:sz w:val="18"/>
          <w:szCs w:val="18"/>
        </w:rPr>
        <w:t>,104</w:t>
      </w:r>
    </w:p>
  </w:footnote>
  <w:footnote w:id="47">
    <w:p w:rsidR="000712F9" w:rsidRDefault="000712F9" w:rsidP="00A56D2A">
      <w:pPr>
        <w:pStyle w:val="FootnoteText"/>
      </w:pPr>
      <w:r>
        <w:rPr>
          <w:rStyle w:val="FootnoteReference"/>
        </w:rPr>
        <w:footnoteRef/>
      </w:r>
      <w:r>
        <w:t xml:space="preserve"> </w:t>
      </w:r>
      <w:hyperlink r:id="rId33" w:history="1">
        <w:r w:rsidRPr="00AF63CB">
          <w:rPr>
            <w:rStyle w:val="Hyperlink"/>
            <w:rFonts w:ascii="Arial" w:hAnsi="Arial" w:cs="Arial"/>
            <w:sz w:val="18"/>
            <w:szCs w:val="18"/>
          </w:rPr>
          <w:t>Road users’ handbook</w:t>
        </w:r>
      </w:hyperlink>
      <w:r>
        <w:rPr>
          <w:rFonts w:ascii="Arial" w:hAnsi="Arial" w:cs="Arial"/>
          <w:color w:val="000000"/>
          <w:sz w:val="18"/>
          <w:szCs w:val="18"/>
        </w:rPr>
        <w:t>, 49,116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F9" w:rsidRPr="00210ABC" w:rsidRDefault="000712F9" w:rsidP="00210ABC">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p w:rsidR="000712F9" w:rsidRDefault="000712F9" w:rsidP="00B62B1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F9" w:rsidRDefault="000712F9" w:rsidP="00F02B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039"/>
    <w:multiLevelType w:val="hybridMultilevel"/>
    <w:tmpl w:val="D2627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6512C"/>
    <w:multiLevelType w:val="hybridMultilevel"/>
    <w:tmpl w:val="D6CE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16612"/>
    <w:multiLevelType w:val="hybridMultilevel"/>
    <w:tmpl w:val="FA10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A2B79"/>
    <w:multiLevelType w:val="hybridMultilevel"/>
    <w:tmpl w:val="BCA0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C2070"/>
    <w:multiLevelType w:val="hybridMultilevel"/>
    <w:tmpl w:val="3E627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D60E3"/>
    <w:multiLevelType w:val="hybridMultilevel"/>
    <w:tmpl w:val="7A72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D2B43"/>
    <w:multiLevelType w:val="hybridMultilevel"/>
    <w:tmpl w:val="DE3E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7467"/>
    <w:multiLevelType w:val="hybridMultilevel"/>
    <w:tmpl w:val="C33AF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06E22"/>
    <w:multiLevelType w:val="hybridMultilevel"/>
    <w:tmpl w:val="D44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9A2AA2"/>
    <w:multiLevelType w:val="hybridMultilevel"/>
    <w:tmpl w:val="82D6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5E59C2"/>
    <w:multiLevelType w:val="hybridMultilevel"/>
    <w:tmpl w:val="4526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20B23"/>
    <w:multiLevelType w:val="hybridMultilevel"/>
    <w:tmpl w:val="5B9E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B1342"/>
    <w:multiLevelType w:val="hybridMultilevel"/>
    <w:tmpl w:val="E36E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FD4DF5"/>
    <w:multiLevelType w:val="hybridMultilevel"/>
    <w:tmpl w:val="7B84D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2C0FAE"/>
    <w:multiLevelType w:val="hybridMultilevel"/>
    <w:tmpl w:val="5D92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D70ED4"/>
    <w:multiLevelType w:val="hybridMultilevel"/>
    <w:tmpl w:val="15B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827A9"/>
    <w:multiLevelType w:val="hybridMultilevel"/>
    <w:tmpl w:val="2C400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5D1A2B"/>
    <w:multiLevelType w:val="hybridMultilevel"/>
    <w:tmpl w:val="1214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216D3"/>
    <w:multiLevelType w:val="hybridMultilevel"/>
    <w:tmpl w:val="647E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7416CE"/>
    <w:multiLevelType w:val="hybridMultilevel"/>
    <w:tmpl w:val="C21A1966"/>
    <w:lvl w:ilvl="0" w:tplc="3DD0E2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C4501C"/>
    <w:multiLevelType w:val="hybridMultilevel"/>
    <w:tmpl w:val="2E7EF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487141"/>
    <w:multiLevelType w:val="hybridMultilevel"/>
    <w:tmpl w:val="38FA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6"/>
  </w:num>
  <w:num w:numId="5">
    <w:abstractNumId w:val="17"/>
  </w:num>
  <w:num w:numId="6">
    <w:abstractNumId w:val="3"/>
  </w:num>
  <w:num w:numId="7">
    <w:abstractNumId w:val="20"/>
  </w:num>
  <w:num w:numId="8">
    <w:abstractNumId w:val="16"/>
  </w:num>
  <w:num w:numId="9">
    <w:abstractNumId w:val="10"/>
  </w:num>
  <w:num w:numId="10">
    <w:abstractNumId w:val="2"/>
  </w:num>
  <w:num w:numId="11">
    <w:abstractNumId w:val="15"/>
  </w:num>
  <w:num w:numId="12">
    <w:abstractNumId w:val="12"/>
  </w:num>
  <w:num w:numId="13">
    <w:abstractNumId w:val="21"/>
  </w:num>
  <w:num w:numId="14">
    <w:abstractNumId w:val="9"/>
  </w:num>
  <w:num w:numId="15">
    <w:abstractNumId w:val="1"/>
  </w:num>
  <w:num w:numId="16">
    <w:abstractNumId w:val="18"/>
  </w:num>
  <w:num w:numId="17">
    <w:abstractNumId w:val="11"/>
  </w:num>
  <w:num w:numId="18">
    <w:abstractNumId w:val="13"/>
  </w:num>
  <w:num w:numId="19">
    <w:abstractNumId w:val="0"/>
  </w:num>
  <w:num w:numId="20">
    <w:abstractNumId w:val="8"/>
  </w:num>
  <w:num w:numId="21">
    <w:abstractNumId w:val="7"/>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1"/>
    <w:rsid w:val="00004269"/>
    <w:rsid w:val="00017C78"/>
    <w:rsid w:val="00017E62"/>
    <w:rsid w:val="000225AF"/>
    <w:rsid w:val="00032258"/>
    <w:rsid w:val="0004383A"/>
    <w:rsid w:val="00047DB3"/>
    <w:rsid w:val="000515EC"/>
    <w:rsid w:val="000635DA"/>
    <w:rsid w:val="00064DA0"/>
    <w:rsid w:val="000712F9"/>
    <w:rsid w:val="00082FA2"/>
    <w:rsid w:val="00092FF0"/>
    <w:rsid w:val="00096B27"/>
    <w:rsid w:val="000B263F"/>
    <w:rsid w:val="000C168B"/>
    <w:rsid w:val="000D0191"/>
    <w:rsid w:val="000D6BA7"/>
    <w:rsid w:val="000F69F7"/>
    <w:rsid w:val="00102670"/>
    <w:rsid w:val="00107C3C"/>
    <w:rsid w:val="001246E8"/>
    <w:rsid w:val="00125AF1"/>
    <w:rsid w:val="00155D82"/>
    <w:rsid w:val="001833C3"/>
    <w:rsid w:val="001950E8"/>
    <w:rsid w:val="001A46C8"/>
    <w:rsid w:val="001B2957"/>
    <w:rsid w:val="001D4A1F"/>
    <w:rsid w:val="001D6019"/>
    <w:rsid w:val="002057BF"/>
    <w:rsid w:val="00210ABC"/>
    <w:rsid w:val="00215C33"/>
    <w:rsid w:val="002279D7"/>
    <w:rsid w:val="00227ADC"/>
    <w:rsid w:val="00231548"/>
    <w:rsid w:val="00236124"/>
    <w:rsid w:val="002366AE"/>
    <w:rsid w:val="00245A55"/>
    <w:rsid w:val="00247A61"/>
    <w:rsid w:val="00251127"/>
    <w:rsid w:val="002634D8"/>
    <w:rsid w:val="00264EE2"/>
    <w:rsid w:val="002669E8"/>
    <w:rsid w:val="00284D2C"/>
    <w:rsid w:val="00285CB5"/>
    <w:rsid w:val="00286EFB"/>
    <w:rsid w:val="002B5262"/>
    <w:rsid w:val="002B5C61"/>
    <w:rsid w:val="002C72EB"/>
    <w:rsid w:val="002E0EC4"/>
    <w:rsid w:val="002E2CCC"/>
    <w:rsid w:val="002F4C7A"/>
    <w:rsid w:val="003007C4"/>
    <w:rsid w:val="0031580B"/>
    <w:rsid w:val="003206C7"/>
    <w:rsid w:val="00321187"/>
    <w:rsid w:val="003342A5"/>
    <w:rsid w:val="0034734F"/>
    <w:rsid w:val="00347F8E"/>
    <w:rsid w:val="003508D5"/>
    <w:rsid w:val="003539E6"/>
    <w:rsid w:val="00354CDC"/>
    <w:rsid w:val="00356834"/>
    <w:rsid w:val="00364A58"/>
    <w:rsid w:val="00365B7A"/>
    <w:rsid w:val="00366F7B"/>
    <w:rsid w:val="00374146"/>
    <w:rsid w:val="003802E9"/>
    <w:rsid w:val="00382D1C"/>
    <w:rsid w:val="0039477C"/>
    <w:rsid w:val="003A1635"/>
    <w:rsid w:val="003A1BA3"/>
    <w:rsid w:val="003A2B65"/>
    <w:rsid w:val="003A3FE1"/>
    <w:rsid w:val="003A4D15"/>
    <w:rsid w:val="003A7CDD"/>
    <w:rsid w:val="003B5C6A"/>
    <w:rsid w:val="003C6B1F"/>
    <w:rsid w:val="003D124C"/>
    <w:rsid w:val="003D2F70"/>
    <w:rsid w:val="003E1792"/>
    <w:rsid w:val="003F4675"/>
    <w:rsid w:val="004011EB"/>
    <w:rsid w:val="0040570D"/>
    <w:rsid w:val="00411C73"/>
    <w:rsid w:val="0043127E"/>
    <w:rsid w:val="004520A0"/>
    <w:rsid w:val="004537A2"/>
    <w:rsid w:val="0045459B"/>
    <w:rsid w:val="00463789"/>
    <w:rsid w:val="00472F68"/>
    <w:rsid w:val="0048241B"/>
    <w:rsid w:val="004952BA"/>
    <w:rsid w:val="004A7CF4"/>
    <w:rsid w:val="004B3770"/>
    <w:rsid w:val="004B7623"/>
    <w:rsid w:val="004C3B8D"/>
    <w:rsid w:val="004D00B4"/>
    <w:rsid w:val="004D6BD6"/>
    <w:rsid w:val="004E04C4"/>
    <w:rsid w:val="004F15B5"/>
    <w:rsid w:val="004F7441"/>
    <w:rsid w:val="00507DD6"/>
    <w:rsid w:val="00510BF9"/>
    <w:rsid w:val="005171C6"/>
    <w:rsid w:val="00522B25"/>
    <w:rsid w:val="00524AE1"/>
    <w:rsid w:val="00530F1B"/>
    <w:rsid w:val="00535F45"/>
    <w:rsid w:val="005529F6"/>
    <w:rsid w:val="0055722C"/>
    <w:rsid w:val="00561EFF"/>
    <w:rsid w:val="00577E42"/>
    <w:rsid w:val="005812C6"/>
    <w:rsid w:val="005825C4"/>
    <w:rsid w:val="005A08F4"/>
    <w:rsid w:val="005A4DA5"/>
    <w:rsid w:val="005B4FFD"/>
    <w:rsid w:val="005C1DE1"/>
    <w:rsid w:val="005C3AA9"/>
    <w:rsid w:val="005C3C4D"/>
    <w:rsid w:val="005C5858"/>
    <w:rsid w:val="005C6C56"/>
    <w:rsid w:val="005D0174"/>
    <w:rsid w:val="005D720E"/>
    <w:rsid w:val="005E1666"/>
    <w:rsid w:val="005E780B"/>
    <w:rsid w:val="00600F92"/>
    <w:rsid w:val="006269F9"/>
    <w:rsid w:val="00637C78"/>
    <w:rsid w:val="00652965"/>
    <w:rsid w:val="006649A6"/>
    <w:rsid w:val="00671731"/>
    <w:rsid w:val="0068389E"/>
    <w:rsid w:val="00685711"/>
    <w:rsid w:val="006917FC"/>
    <w:rsid w:val="00695DDA"/>
    <w:rsid w:val="006C0CAB"/>
    <w:rsid w:val="006C2C0A"/>
    <w:rsid w:val="006D49CA"/>
    <w:rsid w:val="006D74CD"/>
    <w:rsid w:val="006E59F3"/>
    <w:rsid w:val="006F4FCE"/>
    <w:rsid w:val="00707722"/>
    <w:rsid w:val="007170CC"/>
    <w:rsid w:val="0073727A"/>
    <w:rsid w:val="007418DC"/>
    <w:rsid w:val="007652FE"/>
    <w:rsid w:val="007724F6"/>
    <w:rsid w:val="00775CD0"/>
    <w:rsid w:val="00785F73"/>
    <w:rsid w:val="00793ECB"/>
    <w:rsid w:val="00793F7B"/>
    <w:rsid w:val="00794865"/>
    <w:rsid w:val="007C2843"/>
    <w:rsid w:val="007C4C99"/>
    <w:rsid w:val="007C5B2E"/>
    <w:rsid w:val="007D13DD"/>
    <w:rsid w:val="007E6B9B"/>
    <w:rsid w:val="007F11B5"/>
    <w:rsid w:val="007F2061"/>
    <w:rsid w:val="007F4EBF"/>
    <w:rsid w:val="008022CD"/>
    <w:rsid w:val="00810C88"/>
    <w:rsid w:val="00843A45"/>
    <w:rsid w:val="00850F46"/>
    <w:rsid w:val="00852242"/>
    <w:rsid w:val="00857DDC"/>
    <w:rsid w:val="00860B7C"/>
    <w:rsid w:val="0086399E"/>
    <w:rsid w:val="0086760F"/>
    <w:rsid w:val="00870BD6"/>
    <w:rsid w:val="00873C38"/>
    <w:rsid w:val="00874B63"/>
    <w:rsid w:val="008832C8"/>
    <w:rsid w:val="00892D26"/>
    <w:rsid w:val="00897B16"/>
    <w:rsid w:val="008A63A8"/>
    <w:rsid w:val="008B3BAF"/>
    <w:rsid w:val="008B50EA"/>
    <w:rsid w:val="008C1A78"/>
    <w:rsid w:val="008C5857"/>
    <w:rsid w:val="008D3C76"/>
    <w:rsid w:val="008F449D"/>
    <w:rsid w:val="00900674"/>
    <w:rsid w:val="009056F6"/>
    <w:rsid w:val="00905D6D"/>
    <w:rsid w:val="0091374F"/>
    <w:rsid w:val="00927801"/>
    <w:rsid w:val="0094029E"/>
    <w:rsid w:val="0094730C"/>
    <w:rsid w:val="0095748C"/>
    <w:rsid w:val="00961CFB"/>
    <w:rsid w:val="00982904"/>
    <w:rsid w:val="00986640"/>
    <w:rsid w:val="009A01B0"/>
    <w:rsid w:val="009B3061"/>
    <w:rsid w:val="009C66FE"/>
    <w:rsid w:val="009E2BBF"/>
    <w:rsid w:val="009E353F"/>
    <w:rsid w:val="009E4E1C"/>
    <w:rsid w:val="009F0D29"/>
    <w:rsid w:val="009F1D1D"/>
    <w:rsid w:val="009F6B40"/>
    <w:rsid w:val="00A048DB"/>
    <w:rsid w:val="00A0761D"/>
    <w:rsid w:val="00A1218D"/>
    <w:rsid w:val="00A12DCF"/>
    <w:rsid w:val="00A13D70"/>
    <w:rsid w:val="00A15A1A"/>
    <w:rsid w:val="00A16D61"/>
    <w:rsid w:val="00A372BE"/>
    <w:rsid w:val="00A56D2A"/>
    <w:rsid w:val="00A66A75"/>
    <w:rsid w:val="00A704EB"/>
    <w:rsid w:val="00A73EE3"/>
    <w:rsid w:val="00A86D53"/>
    <w:rsid w:val="00AA6925"/>
    <w:rsid w:val="00AD2D01"/>
    <w:rsid w:val="00AD30B2"/>
    <w:rsid w:val="00AE6269"/>
    <w:rsid w:val="00AE75F4"/>
    <w:rsid w:val="00AF1597"/>
    <w:rsid w:val="00AF5BDA"/>
    <w:rsid w:val="00AF63CB"/>
    <w:rsid w:val="00B03697"/>
    <w:rsid w:val="00B054B1"/>
    <w:rsid w:val="00B076CB"/>
    <w:rsid w:val="00B14D35"/>
    <w:rsid w:val="00B15ADE"/>
    <w:rsid w:val="00B2294C"/>
    <w:rsid w:val="00B30D8D"/>
    <w:rsid w:val="00B34D18"/>
    <w:rsid w:val="00B455AD"/>
    <w:rsid w:val="00B62B11"/>
    <w:rsid w:val="00B654D0"/>
    <w:rsid w:val="00B65F34"/>
    <w:rsid w:val="00B8360C"/>
    <w:rsid w:val="00B925D3"/>
    <w:rsid w:val="00BA042A"/>
    <w:rsid w:val="00BC2D5E"/>
    <w:rsid w:val="00BD000A"/>
    <w:rsid w:val="00BD7B54"/>
    <w:rsid w:val="00BE03A6"/>
    <w:rsid w:val="00BE335D"/>
    <w:rsid w:val="00BE5F0E"/>
    <w:rsid w:val="00BE7C46"/>
    <w:rsid w:val="00BF521B"/>
    <w:rsid w:val="00BF5318"/>
    <w:rsid w:val="00C04B94"/>
    <w:rsid w:val="00C35514"/>
    <w:rsid w:val="00C46845"/>
    <w:rsid w:val="00C758F7"/>
    <w:rsid w:val="00C81564"/>
    <w:rsid w:val="00C86EC5"/>
    <w:rsid w:val="00C94781"/>
    <w:rsid w:val="00CA30DA"/>
    <w:rsid w:val="00CC4B02"/>
    <w:rsid w:val="00CD0D28"/>
    <w:rsid w:val="00CD0E85"/>
    <w:rsid w:val="00CE1BAE"/>
    <w:rsid w:val="00CE2CBB"/>
    <w:rsid w:val="00CE632F"/>
    <w:rsid w:val="00CE6B78"/>
    <w:rsid w:val="00CF7F06"/>
    <w:rsid w:val="00D103BB"/>
    <w:rsid w:val="00D14A58"/>
    <w:rsid w:val="00D20197"/>
    <w:rsid w:val="00D26104"/>
    <w:rsid w:val="00D31B56"/>
    <w:rsid w:val="00D325C9"/>
    <w:rsid w:val="00D456D3"/>
    <w:rsid w:val="00D461EF"/>
    <w:rsid w:val="00D54C58"/>
    <w:rsid w:val="00D56840"/>
    <w:rsid w:val="00D75A01"/>
    <w:rsid w:val="00D8281E"/>
    <w:rsid w:val="00D859A5"/>
    <w:rsid w:val="00D93FE2"/>
    <w:rsid w:val="00D95F7E"/>
    <w:rsid w:val="00D97191"/>
    <w:rsid w:val="00DA42CC"/>
    <w:rsid w:val="00DA721B"/>
    <w:rsid w:val="00DB3BA5"/>
    <w:rsid w:val="00DC0FDF"/>
    <w:rsid w:val="00DD0580"/>
    <w:rsid w:val="00DD7576"/>
    <w:rsid w:val="00DE35C2"/>
    <w:rsid w:val="00DE3FA1"/>
    <w:rsid w:val="00DE5FD5"/>
    <w:rsid w:val="00DF1CA9"/>
    <w:rsid w:val="00E02F8F"/>
    <w:rsid w:val="00E151F1"/>
    <w:rsid w:val="00E15583"/>
    <w:rsid w:val="00E24292"/>
    <w:rsid w:val="00E30C18"/>
    <w:rsid w:val="00E32909"/>
    <w:rsid w:val="00E32A3D"/>
    <w:rsid w:val="00E40951"/>
    <w:rsid w:val="00E410A7"/>
    <w:rsid w:val="00E516FA"/>
    <w:rsid w:val="00E51EC3"/>
    <w:rsid w:val="00E706CB"/>
    <w:rsid w:val="00E73030"/>
    <w:rsid w:val="00E8338C"/>
    <w:rsid w:val="00E91AF6"/>
    <w:rsid w:val="00E95480"/>
    <w:rsid w:val="00EC0174"/>
    <w:rsid w:val="00EC7E40"/>
    <w:rsid w:val="00ED0653"/>
    <w:rsid w:val="00EF01B0"/>
    <w:rsid w:val="00EF067B"/>
    <w:rsid w:val="00EF4662"/>
    <w:rsid w:val="00F02B94"/>
    <w:rsid w:val="00F07C2C"/>
    <w:rsid w:val="00F1089D"/>
    <w:rsid w:val="00F1750A"/>
    <w:rsid w:val="00F24A2D"/>
    <w:rsid w:val="00F52A09"/>
    <w:rsid w:val="00F56DF1"/>
    <w:rsid w:val="00F731B9"/>
    <w:rsid w:val="00F73B99"/>
    <w:rsid w:val="00F74C30"/>
    <w:rsid w:val="00F777A5"/>
    <w:rsid w:val="00F81424"/>
    <w:rsid w:val="00F86DD6"/>
    <w:rsid w:val="00F902E0"/>
    <w:rsid w:val="00F96DE7"/>
    <w:rsid w:val="00FB231B"/>
    <w:rsid w:val="00FD5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7347B226-62C7-4025-8E8C-45D576D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11"/>
  </w:style>
  <w:style w:type="paragraph" w:styleId="Footer">
    <w:name w:val="footer"/>
    <w:basedOn w:val="Normal"/>
    <w:link w:val="FooterChar"/>
    <w:uiPriority w:val="99"/>
    <w:unhideWhenUsed/>
    <w:rsid w:val="00B6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11"/>
  </w:style>
  <w:style w:type="paragraph" w:styleId="ListParagraph">
    <w:name w:val="List Paragraph"/>
    <w:basedOn w:val="Normal"/>
    <w:qFormat/>
    <w:rsid w:val="00B62B11"/>
    <w:pPr>
      <w:ind w:left="720"/>
      <w:contextualSpacing/>
    </w:pPr>
  </w:style>
  <w:style w:type="paragraph" w:styleId="BalloonText">
    <w:name w:val="Balloon Text"/>
    <w:basedOn w:val="Normal"/>
    <w:link w:val="BalloonTextChar"/>
    <w:uiPriority w:val="99"/>
    <w:semiHidden/>
    <w:unhideWhenUsed/>
    <w:rsid w:val="003A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E1"/>
    <w:rPr>
      <w:rFonts w:ascii="Segoe UI" w:hAnsi="Segoe UI" w:cs="Segoe UI"/>
      <w:sz w:val="18"/>
      <w:szCs w:val="18"/>
    </w:rPr>
  </w:style>
  <w:style w:type="paragraph" w:styleId="FootnoteText">
    <w:name w:val="footnote text"/>
    <w:basedOn w:val="Normal"/>
    <w:link w:val="FootnoteTextChar"/>
    <w:uiPriority w:val="99"/>
    <w:unhideWhenUsed/>
    <w:rsid w:val="00DF1CA9"/>
    <w:pPr>
      <w:spacing w:after="0" w:line="240" w:lineRule="auto"/>
    </w:pPr>
    <w:rPr>
      <w:sz w:val="20"/>
      <w:szCs w:val="20"/>
    </w:rPr>
  </w:style>
  <w:style w:type="character" w:customStyle="1" w:styleId="FootnoteTextChar">
    <w:name w:val="Footnote Text Char"/>
    <w:basedOn w:val="DefaultParagraphFont"/>
    <w:link w:val="FootnoteText"/>
    <w:uiPriority w:val="99"/>
    <w:rsid w:val="00DF1CA9"/>
    <w:rPr>
      <w:sz w:val="20"/>
      <w:szCs w:val="20"/>
    </w:rPr>
  </w:style>
  <w:style w:type="character" w:styleId="FootnoteReference">
    <w:name w:val="footnote reference"/>
    <w:basedOn w:val="DefaultParagraphFont"/>
    <w:uiPriority w:val="99"/>
    <w:unhideWhenUsed/>
    <w:rsid w:val="00DF1CA9"/>
    <w:rPr>
      <w:vertAlign w:val="superscript"/>
    </w:rPr>
  </w:style>
  <w:style w:type="character" w:styleId="Hyperlink">
    <w:name w:val="Hyperlink"/>
    <w:basedOn w:val="DefaultParagraphFont"/>
    <w:uiPriority w:val="99"/>
    <w:unhideWhenUsed/>
    <w:rsid w:val="00DF1CA9"/>
    <w:rPr>
      <w:color w:val="0563C1" w:themeColor="hyperlink"/>
      <w:u w:val="single"/>
    </w:rPr>
  </w:style>
  <w:style w:type="paragraph" w:customStyle="1" w:styleId="Default">
    <w:name w:val="Default"/>
    <w:rsid w:val="005E166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A12DCF"/>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0D0191"/>
    <w:rPr>
      <w:color w:val="954F72" w:themeColor="followedHyperlink"/>
      <w:u w:val="single"/>
    </w:rPr>
  </w:style>
  <w:style w:type="paragraph" w:styleId="NoSpacing">
    <w:name w:val="No Spacing"/>
    <w:basedOn w:val="Normal"/>
    <w:uiPriority w:val="1"/>
    <w:qFormat/>
    <w:rsid w:val="00247A61"/>
    <w:pPr>
      <w:spacing w:after="0" w:line="240" w:lineRule="auto"/>
    </w:pPr>
    <w:rPr>
      <w:rFonts w:ascii="Calibri" w:hAnsi="Calibri" w:cs="Times New Roman"/>
      <w:color w:val="404040"/>
      <w:sz w:val="19"/>
      <w:szCs w:val="19"/>
      <w:lang w:eastAsia="en-AU"/>
    </w:rPr>
  </w:style>
  <w:style w:type="character" w:styleId="IntenseEmphasis">
    <w:name w:val="Intense Emphasis"/>
    <w:basedOn w:val="DefaultParagraphFont"/>
    <w:uiPriority w:val="21"/>
    <w:qFormat/>
    <w:rsid w:val="00B03697"/>
    <w:rPr>
      <w:i/>
      <w:iCs/>
      <w:color w:val="5B9BD5" w:themeColor="accent1"/>
    </w:rPr>
  </w:style>
  <w:style w:type="paragraph" w:customStyle="1" w:styleId="BodyText1">
    <w:name w:val="Body Text 1"/>
    <w:basedOn w:val="Normal"/>
    <w:rsid w:val="00BE03A6"/>
    <w:pPr>
      <w:suppressAutoHyphens/>
      <w:spacing w:before="240" w:after="0" w:line="240" w:lineRule="auto"/>
    </w:pPr>
    <w:rPr>
      <w:rFonts w:ascii="Arial" w:eastAsia="Times New Roman" w:hAnsi="Arial"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280">
      <w:bodyDiv w:val="1"/>
      <w:marLeft w:val="0"/>
      <w:marRight w:val="0"/>
      <w:marTop w:val="0"/>
      <w:marBottom w:val="0"/>
      <w:divBdr>
        <w:top w:val="none" w:sz="0" w:space="0" w:color="auto"/>
        <w:left w:val="none" w:sz="0" w:space="0" w:color="auto"/>
        <w:bottom w:val="none" w:sz="0" w:space="0" w:color="auto"/>
        <w:right w:val="none" w:sz="0" w:space="0" w:color="auto"/>
      </w:divBdr>
    </w:div>
    <w:div w:id="735662405">
      <w:bodyDiv w:val="1"/>
      <w:marLeft w:val="0"/>
      <w:marRight w:val="0"/>
      <w:marTop w:val="0"/>
      <w:marBottom w:val="0"/>
      <w:divBdr>
        <w:top w:val="none" w:sz="0" w:space="0" w:color="auto"/>
        <w:left w:val="none" w:sz="0" w:space="0" w:color="auto"/>
        <w:bottom w:val="none" w:sz="0" w:space="0" w:color="auto"/>
        <w:right w:val="none" w:sz="0" w:space="0" w:color="auto"/>
      </w:divBdr>
    </w:div>
    <w:div w:id="1191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net.au/sites/default/files/submissions/ATA%20submission%20-%20clarifying%20control%20of%20automated%20vehicl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uck.net.au/sites/default/files/submissions/Regulatory%20options%20to%20assure%20automated%20vehicle%20safety%20submissio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roadsafety.gov.au/nrss/directions.aspx" TargetMode="External"/><Relationship Id="rId13" Type="http://schemas.openxmlformats.org/officeDocument/2006/relationships/hyperlink" Target="http://www.truck.net.au/sites/default/files/submissions/Regulatory%20options%20to%20assure%20automated%20vehicle%20safety%20submission.pdf" TargetMode="External"/><Relationship Id="rId18" Type="http://schemas.openxmlformats.org/officeDocument/2006/relationships/hyperlink" Target="https://publications.qld.gov.au/dataset/your-keys-to-driving-in-queensland" TargetMode="External"/><Relationship Id="rId26" Type="http://schemas.openxmlformats.org/officeDocument/2006/relationships/hyperlink" Target="https://www.vicroads.vic.gov.au/licences/your-ls/your-learner-handbooks" TargetMode="External"/><Relationship Id="rId3" Type="http://schemas.openxmlformats.org/officeDocument/2006/relationships/hyperlink" Target="http://infrastructureaustralia.gov.au/policy-publications/publications/files/Assessment-Framework-June-2017.pdf" TargetMode="External"/><Relationship Id="rId21" Type="http://schemas.openxmlformats.org/officeDocument/2006/relationships/hyperlink" Target="https://www.google.com.au/url?sa=t&amp;rct=j&amp;q=&amp;esrc=s&amp;source=web&amp;cd=1&amp;cad=rja&amp;uact=8&amp;ved=0ahUKEwiz0Zm2v-jRAhXDJpQKHQfoDckQFggbMAA&amp;url=https%3A%2F%2Fdocs.employment.gov.au%2Fsystem%2Ffiles%2Fdoc%2Fother%2F2016_review_of_the_rsrs.pdf&amp;usg=AFQjCNHpWQTKUdLBNtNQDuzRNCTG-C2lTA&amp;sig2=F2FCJfAO0FI9uwuORNpTaw" TargetMode="External"/><Relationship Id="rId7" Type="http://schemas.openxmlformats.org/officeDocument/2006/relationships/hyperlink" Target="http://www.hse.gov.uk/risk/theory/r2p2.htm" TargetMode="External"/><Relationship Id="rId12" Type="http://schemas.openxmlformats.org/officeDocument/2006/relationships/hyperlink" Target="http://www.truck.net.au/sites/default/files/submissions/ATA%20submission%20-%20clarifying%20control%20of%20automated%20vehicles.pdf" TargetMode="External"/><Relationship Id="rId17" Type="http://schemas.openxmlformats.org/officeDocument/2006/relationships/hyperlink" Target="https://www.vicroads.vic.gov.au/licences/your-ls/your-learner-handbooks" TargetMode="External"/><Relationship Id="rId25" Type="http://schemas.openxmlformats.org/officeDocument/2006/relationships/hyperlink" Target="http://www.rms.nsw.gov.au/documents/roads/licence/driver-qualification-handbook-english.pdf" TargetMode="External"/><Relationship Id="rId33" Type="http://schemas.openxmlformats.org/officeDocument/2006/relationships/hyperlink" Target="https://nt.gov.au/driving/licences/nt-road-users-handbook" TargetMode="External"/><Relationship Id="rId2" Type="http://schemas.openxmlformats.org/officeDocument/2006/relationships/hyperlink" Target="https://bitre.gov.au/publications/2010/report_118.aspx" TargetMode="External"/><Relationship Id="rId16" Type="http://schemas.openxmlformats.org/officeDocument/2006/relationships/hyperlink" Target="http://www.rms.nsw.gov.au/documents/roads/licence/road_users_handbook-english.pdf" TargetMode="External"/><Relationship Id="rId20" Type="http://schemas.openxmlformats.org/officeDocument/2006/relationships/hyperlink" Target="https://www.onlinepublications.austroads.com.au/items/AP-T295-15" TargetMode="External"/><Relationship Id="rId29" Type="http://schemas.openxmlformats.org/officeDocument/2006/relationships/hyperlink" Target="https://www.transport.wa.gov.au/mediaFiles/licensing/DVS_DL_B_DriveSafeFullC.pdf" TargetMode="External"/><Relationship Id="rId1" Type="http://schemas.openxmlformats.org/officeDocument/2006/relationships/hyperlink" Target="http://www.truck.net.au/sites/default/files/submissions/20180202ATAsubmissionStabilityControlRISvFinal.pdf" TargetMode="External"/><Relationship Id="rId6" Type="http://schemas.openxmlformats.org/officeDocument/2006/relationships/hyperlink" Target="https://www.gov.uk/government/uploads/system/uploads/attachment_data/file/191518/Managing_risks_to_the_public_appraisal_guidance.pdf" TargetMode="External"/><Relationship Id="rId11" Type="http://schemas.openxmlformats.org/officeDocument/2006/relationships/hyperlink" Target="https://www.commerce.wa.gov.au/sites/default/files/atoms/files/cop_fatigue_management.pdf" TargetMode="External"/><Relationship Id="rId24" Type="http://schemas.openxmlformats.org/officeDocument/2006/relationships/hyperlink" Target="http://www.rms.nsw.gov.au/documents/roads/licence/hazard-perception-handbook.pdf" TargetMode="External"/><Relationship Id="rId32" Type="http://schemas.openxmlformats.org/officeDocument/2006/relationships/hyperlink" Target="https://www.accesscanberra.act.gov.au/ci/fattach/get/134455/1489105770/redirect/1/filename/ACT+road+rules+handbook.pdf" TargetMode="External"/><Relationship Id="rId5" Type="http://schemas.openxmlformats.org/officeDocument/2006/relationships/hyperlink" Target="http://www.visionzeroinitiative.com/" TargetMode="External"/><Relationship Id="rId15" Type="http://schemas.openxmlformats.org/officeDocument/2006/relationships/hyperlink" Target="https://bitre.gov.au/publications/2016/files/is_078.pdf" TargetMode="External"/><Relationship Id="rId23" Type="http://schemas.openxmlformats.org/officeDocument/2006/relationships/hyperlink" Target="http://www.rms.nsw.gov.au/documents/roads/licence/driver-knowledge-test-questions-car.pdf" TargetMode="External"/><Relationship Id="rId28" Type="http://schemas.openxmlformats.org/officeDocument/2006/relationships/hyperlink" Target="http://mylicence.sa.gov.au/__data/assets/pdf_file/0009/152874/MR200_p1-40.pdf" TargetMode="External"/><Relationship Id="rId10" Type="http://schemas.openxmlformats.org/officeDocument/2006/relationships/hyperlink" Target="https://www.nti.com.au/files/files/20147_NTARC_Report/C666_NTI_2017_Accident_Investigation_Report_LR_2.pdf" TargetMode="External"/><Relationship Id="rId19" Type="http://schemas.openxmlformats.org/officeDocument/2006/relationships/hyperlink" Target="https://www.nti.com.au/files/files/20147_NTARC_Report/C666_NTI_2017_Accident_Investigation_Report_LR_2.pdf" TargetMode="External"/><Relationship Id="rId31" Type="http://schemas.openxmlformats.org/officeDocument/2006/relationships/hyperlink" Target="http://www.transport.tas.gov.au/drkts" TargetMode="External"/><Relationship Id="rId4" Type="http://schemas.openxmlformats.org/officeDocument/2006/relationships/hyperlink" Target="https://atap.gov.au/parameter-values/road-transport/4-crash-costs.aspx" TargetMode="External"/><Relationship Id="rId9" Type="http://schemas.openxmlformats.org/officeDocument/2006/relationships/hyperlink" Target="http://www.aaa.asn.au/storage/ausrap-star-rating-report.original(2).pdf" TargetMode="External"/><Relationship Id="rId14" Type="http://schemas.openxmlformats.org/officeDocument/2006/relationships/hyperlink" Target="http://www.truck.net.au/sites/default/files/submissions/ATA%20Submission%20-%20Changing%20Driving%20Laws%20to%20Support%20Automated%20Vehicles.pdf" TargetMode="External"/><Relationship Id="rId22" Type="http://schemas.openxmlformats.org/officeDocument/2006/relationships/hyperlink" Target="http://www.rms.nsw.gov.au/documents/roads/licence/road_users_handbook-english.pdf" TargetMode="External"/><Relationship Id="rId27" Type="http://schemas.openxmlformats.org/officeDocument/2006/relationships/hyperlink" Target="https://publications.qld.gov.au/dataset/your-keys-to-driving-in-queensland" TargetMode="External"/><Relationship Id="rId30" Type="http://schemas.openxmlformats.org/officeDocument/2006/relationships/hyperlink" Target="http://www.transport.tas.gov.au/__data/assets/pdf_file/0019/161704/Tasmanian_Road_Rules-Nov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4684-9FEA-4945-83BE-E2A6A7CC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21</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Weller</dc:creator>
  <cp:keywords/>
  <dc:description/>
  <cp:lastModifiedBy>Melissa Weller</cp:lastModifiedBy>
  <cp:revision>88</cp:revision>
  <cp:lastPrinted>2018-03-02T03:56:00Z</cp:lastPrinted>
  <dcterms:created xsi:type="dcterms:W3CDTF">2018-02-27T23:34:00Z</dcterms:created>
  <dcterms:modified xsi:type="dcterms:W3CDTF">2018-03-02T04:02:00Z</dcterms:modified>
</cp:coreProperties>
</file>