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653697" w:rsidRPr="0053236A" w:rsidTr="00653697">
        <w:trPr>
          <w:trHeight w:val="756"/>
        </w:trPr>
        <w:tc>
          <w:tcPr>
            <w:tcW w:w="2660" w:type="dxa"/>
            <w:vAlign w:val="center"/>
          </w:tcPr>
          <w:p w:rsidR="00653697" w:rsidRPr="0053236A" w:rsidRDefault="00653697" w:rsidP="00653697">
            <w:pPr>
              <w:pStyle w:val="Header"/>
              <w:rPr>
                <w:rFonts w:ascii="Arial" w:hAnsi="Arial" w:cs="Arial"/>
                <w:b/>
                <w:sz w:val="28"/>
                <w:szCs w:val="28"/>
              </w:rPr>
            </w:pPr>
            <w:r w:rsidRPr="0053236A">
              <w:rPr>
                <w:rFonts w:ascii="Arial" w:hAnsi="Arial" w:cs="Arial"/>
                <w:b/>
                <w:sz w:val="28"/>
                <w:szCs w:val="28"/>
              </w:rPr>
              <w:t>Submission to:</w:t>
            </w:r>
          </w:p>
        </w:tc>
        <w:tc>
          <w:tcPr>
            <w:tcW w:w="6379" w:type="dxa"/>
            <w:vAlign w:val="center"/>
          </w:tcPr>
          <w:p w:rsidR="00653697" w:rsidRPr="0053236A" w:rsidRDefault="00A5489F" w:rsidP="00653697">
            <w:pPr>
              <w:pStyle w:val="Header"/>
              <w:rPr>
                <w:rFonts w:ascii="Arial" w:hAnsi="Arial" w:cs="Arial"/>
                <w:sz w:val="28"/>
                <w:szCs w:val="28"/>
              </w:rPr>
            </w:pPr>
            <w:r>
              <w:rPr>
                <w:rFonts w:ascii="Arial" w:hAnsi="Arial" w:cs="Arial"/>
                <w:sz w:val="28"/>
                <w:szCs w:val="28"/>
              </w:rPr>
              <w:t>Independent Pricing and Regulatory Tribunal</w:t>
            </w:r>
          </w:p>
        </w:tc>
      </w:tr>
      <w:tr w:rsidR="00653697" w:rsidRPr="0053236A" w:rsidTr="00653697">
        <w:trPr>
          <w:trHeight w:val="756"/>
        </w:trPr>
        <w:tc>
          <w:tcPr>
            <w:tcW w:w="2660" w:type="dxa"/>
            <w:vAlign w:val="center"/>
          </w:tcPr>
          <w:p w:rsidR="00653697" w:rsidRPr="0053236A" w:rsidRDefault="00653697" w:rsidP="00653697">
            <w:pPr>
              <w:pStyle w:val="Header"/>
              <w:rPr>
                <w:rFonts w:ascii="Arial" w:hAnsi="Arial" w:cs="Arial"/>
                <w:b/>
                <w:sz w:val="28"/>
                <w:szCs w:val="28"/>
              </w:rPr>
            </w:pPr>
            <w:r w:rsidRPr="0053236A">
              <w:rPr>
                <w:rFonts w:ascii="Arial" w:hAnsi="Arial" w:cs="Arial"/>
                <w:b/>
                <w:sz w:val="28"/>
                <w:szCs w:val="28"/>
              </w:rPr>
              <w:t>Title:</w:t>
            </w:r>
          </w:p>
        </w:tc>
        <w:tc>
          <w:tcPr>
            <w:tcW w:w="6379" w:type="dxa"/>
            <w:vAlign w:val="center"/>
          </w:tcPr>
          <w:p w:rsidR="00653697" w:rsidRPr="0053236A" w:rsidRDefault="00A5489F" w:rsidP="00653697">
            <w:pPr>
              <w:pStyle w:val="Header"/>
              <w:rPr>
                <w:rFonts w:ascii="Arial" w:hAnsi="Arial" w:cs="Arial"/>
                <w:sz w:val="28"/>
                <w:szCs w:val="28"/>
              </w:rPr>
            </w:pPr>
            <w:r>
              <w:rPr>
                <w:rFonts w:ascii="Arial" w:hAnsi="Arial" w:cs="Arial"/>
                <w:sz w:val="28"/>
                <w:szCs w:val="28"/>
              </w:rPr>
              <w:t>The Impact of Local Government Regulation on the</w:t>
            </w:r>
            <w:r w:rsidR="00195889">
              <w:rPr>
                <w:rFonts w:ascii="Arial" w:hAnsi="Arial" w:cs="Arial"/>
                <w:sz w:val="28"/>
                <w:szCs w:val="28"/>
              </w:rPr>
              <w:t xml:space="preserve"> Australian</w:t>
            </w:r>
            <w:r>
              <w:rPr>
                <w:rFonts w:ascii="Arial" w:hAnsi="Arial" w:cs="Arial"/>
                <w:sz w:val="28"/>
                <w:szCs w:val="28"/>
              </w:rPr>
              <w:t xml:space="preserve"> Trucking Industry</w:t>
            </w:r>
          </w:p>
        </w:tc>
      </w:tr>
      <w:tr w:rsidR="00653697" w:rsidRPr="0053236A" w:rsidTr="00653697">
        <w:trPr>
          <w:trHeight w:val="756"/>
        </w:trPr>
        <w:tc>
          <w:tcPr>
            <w:tcW w:w="2660" w:type="dxa"/>
            <w:vAlign w:val="center"/>
          </w:tcPr>
          <w:p w:rsidR="00653697" w:rsidRPr="0053236A" w:rsidRDefault="00653697" w:rsidP="00653697">
            <w:pPr>
              <w:pStyle w:val="Header"/>
              <w:rPr>
                <w:rFonts w:ascii="Arial" w:hAnsi="Arial" w:cs="Arial"/>
                <w:b/>
                <w:sz w:val="28"/>
                <w:szCs w:val="28"/>
              </w:rPr>
            </w:pPr>
            <w:r w:rsidRPr="0053236A">
              <w:rPr>
                <w:rFonts w:ascii="Arial" w:hAnsi="Arial" w:cs="Arial"/>
                <w:b/>
                <w:sz w:val="28"/>
                <w:szCs w:val="28"/>
              </w:rPr>
              <w:t>Date:</w:t>
            </w:r>
          </w:p>
        </w:tc>
        <w:tc>
          <w:tcPr>
            <w:tcW w:w="6379" w:type="dxa"/>
            <w:vAlign w:val="center"/>
          </w:tcPr>
          <w:p w:rsidR="00653697" w:rsidRPr="0053236A" w:rsidRDefault="006A119D" w:rsidP="009C088D">
            <w:pPr>
              <w:pStyle w:val="Header"/>
              <w:rPr>
                <w:rFonts w:ascii="Arial" w:hAnsi="Arial" w:cs="Arial"/>
                <w:sz w:val="28"/>
                <w:szCs w:val="28"/>
              </w:rPr>
            </w:pPr>
            <w:r>
              <w:rPr>
                <w:rFonts w:ascii="Arial" w:hAnsi="Arial" w:cs="Arial"/>
                <w:sz w:val="28"/>
                <w:szCs w:val="28"/>
              </w:rPr>
              <w:t>2</w:t>
            </w:r>
            <w:r w:rsidR="009C088D">
              <w:rPr>
                <w:rFonts w:ascii="Arial" w:hAnsi="Arial" w:cs="Arial"/>
                <w:sz w:val="28"/>
                <w:szCs w:val="28"/>
              </w:rPr>
              <w:t>6</w:t>
            </w:r>
            <w:r>
              <w:rPr>
                <w:rFonts w:ascii="Arial" w:hAnsi="Arial" w:cs="Arial"/>
                <w:sz w:val="28"/>
                <w:szCs w:val="28"/>
              </w:rPr>
              <w:t xml:space="preserve"> </w:t>
            </w:r>
            <w:r w:rsidR="00A5489F">
              <w:rPr>
                <w:rFonts w:ascii="Arial" w:hAnsi="Arial" w:cs="Arial"/>
                <w:sz w:val="28"/>
                <w:szCs w:val="28"/>
              </w:rPr>
              <w:t>October</w:t>
            </w:r>
            <w:r w:rsidR="00653697" w:rsidRPr="0053236A">
              <w:rPr>
                <w:rFonts w:ascii="Arial" w:hAnsi="Arial" w:cs="Arial"/>
                <w:sz w:val="28"/>
                <w:szCs w:val="28"/>
              </w:rPr>
              <w:t xml:space="preserve"> 2012</w:t>
            </w:r>
          </w:p>
        </w:tc>
      </w:tr>
    </w:tbl>
    <w:p w:rsidR="00653697" w:rsidRPr="0053236A" w:rsidRDefault="00653697" w:rsidP="00653697">
      <w:pPr>
        <w:pStyle w:val="Header"/>
        <w:rPr>
          <w:rFonts w:ascii="Arial" w:hAnsi="Arial" w:cs="Arial"/>
          <w:sz w:val="16"/>
          <w:szCs w:val="16"/>
        </w:rPr>
      </w:pPr>
    </w:p>
    <w:p w:rsidR="00653697" w:rsidRPr="0053236A" w:rsidRDefault="00653697" w:rsidP="00653697">
      <w:pPr>
        <w:pStyle w:val="Header"/>
        <w:rPr>
          <w:rFonts w:ascii="Arial" w:hAnsi="Arial" w:cs="Arial"/>
          <w:sz w:val="16"/>
          <w:szCs w:val="16"/>
        </w:rPr>
      </w:pPr>
    </w:p>
    <w:p w:rsidR="00653697" w:rsidRPr="0053236A" w:rsidRDefault="00653697" w:rsidP="00653697">
      <w:pPr>
        <w:pStyle w:val="Header"/>
        <w:rPr>
          <w:rFonts w:ascii="Arial" w:hAnsi="Arial" w:cs="Arial"/>
          <w:sz w:val="16"/>
          <w:szCs w:val="16"/>
        </w:rPr>
      </w:pPr>
    </w:p>
    <w:p w:rsidR="00653697" w:rsidRPr="0053236A" w:rsidRDefault="00653697" w:rsidP="00653697">
      <w:pPr>
        <w:rPr>
          <w:rFonts w:ascii="Arial" w:hAnsi="Arial" w:cs="Arial"/>
        </w:rPr>
        <w:sectPr w:rsidR="00653697" w:rsidRPr="0053236A" w:rsidSect="00653697">
          <w:headerReference w:type="default" r:id="rId8"/>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653697" w:rsidRPr="0053236A" w:rsidRDefault="00653697" w:rsidP="00653697">
      <w:pPr>
        <w:rPr>
          <w:rFonts w:ascii="Arial" w:hAnsi="Arial" w:cs="Arial"/>
          <w:sz w:val="20"/>
          <w:szCs w:val="20"/>
        </w:rPr>
      </w:pPr>
    </w:p>
    <w:p w:rsidR="00653697" w:rsidRPr="0053236A" w:rsidRDefault="00653697" w:rsidP="00653697">
      <w:pPr>
        <w:rPr>
          <w:rFonts w:ascii="Arial" w:hAnsi="Arial" w:cs="Arial"/>
          <w:sz w:val="20"/>
          <w:szCs w:val="20"/>
        </w:rPr>
      </w:pPr>
    </w:p>
    <w:p w:rsidR="00653697" w:rsidRPr="0053236A" w:rsidRDefault="00653697" w:rsidP="00653697">
      <w:pPr>
        <w:rPr>
          <w:rFonts w:ascii="Arial" w:hAnsi="Arial" w:cs="Arial"/>
          <w:sz w:val="20"/>
          <w:szCs w:val="20"/>
        </w:rPr>
      </w:pPr>
    </w:p>
    <w:p w:rsidR="00653697" w:rsidRPr="0053236A" w:rsidRDefault="00653697" w:rsidP="00653697">
      <w:pPr>
        <w:rPr>
          <w:rFonts w:ascii="Arial" w:hAnsi="Arial" w:cs="Arial"/>
          <w:sz w:val="20"/>
          <w:szCs w:val="20"/>
        </w:rPr>
      </w:pPr>
    </w:p>
    <w:p w:rsidR="00653697" w:rsidRPr="0053236A" w:rsidRDefault="00653697" w:rsidP="00653697">
      <w:pPr>
        <w:rPr>
          <w:rFonts w:ascii="Arial" w:hAnsi="Arial" w:cs="Arial"/>
          <w:sz w:val="20"/>
          <w:szCs w:val="20"/>
        </w:rPr>
      </w:pPr>
    </w:p>
    <w:p w:rsidR="00653697" w:rsidRPr="007B6C8E" w:rsidRDefault="00653697" w:rsidP="00653697">
      <w:pPr>
        <w:rPr>
          <w:rFonts w:ascii="Arial" w:hAnsi="Arial" w:cs="Arial"/>
          <w:b/>
          <w:color w:val="000064"/>
          <w:sz w:val="32"/>
          <w:szCs w:val="32"/>
        </w:rPr>
      </w:pPr>
      <w:r w:rsidRPr="007B6C8E">
        <w:rPr>
          <w:rFonts w:ascii="Arial" w:hAnsi="Arial" w:cs="Arial"/>
          <w:b/>
          <w:color w:val="000064"/>
          <w:sz w:val="32"/>
          <w:szCs w:val="32"/>
        </w:rPr>
        <w:t>Contents</w:t>
      </w:r>
    </w:p>
    <w:p w:rsidR="00653697" w:rsidRPr="007B6C8E" w:rsidRDefault="00653697" w:rsidP="00653697">
      <w:pPr>
        <w:spacing w:line="269" w:lineRule="auto"/>
        <w:rPr>
          <w:rFonts w:ascii="Arial" w:hAnsi="Arial" w:cs="Arial"/>
          <w:sz w:val="20"/>
          <w:szCs w:val="20"/>
        </w:rPr>
      </w:pPr>
    </w:p>
    <w:p w:rsidR="00653697" w:rsidRPr="007B6C8E" w:rsidRDefault="00653697" w:rsidP="00653697">
      <w:pPr>
        <w:spacing w:line="269" w:lineRule="auto"/>
        <w:rPr>
          <w:rFonts w:ascii="Arial" w:hAnsi="Arial" w:cs="Arial"/>
          <w:sz w:val="20"/>
          <w:szCs w:val="20"/>
        </w:rPr>
      </w:pPr>
    </w:p>
    <w:p w:rsidR="00653697" w:rsidRPr="00872D59" w:rsidRDefault="00897442" w:rsidP="00653697">
      <w:pPr>
        <w:pStyle w:val="TOC1"/>
        <w:rPr>
          <w:rFonts w:asciiTheme="minorHAnsi" w:eastAsiaTheme="minorEastAsia" w:hAnsiTheme="minorHAnsi" w:cstheme="minorBidi"/>
          <w:b w:val="0"/>
          <w:sz w:val="22"/>
          <w:szCs w:val="22"/>
          <w:lang w:eastAsia="en-AU"/>
        </w:rPr>
      </w:pPr>
      <w:r w:rsidRPr="007B6C8E">
        <w:fldChar w:fldCharType="begin"/>
      </w:r>
      <w:r w:rsidR="00653697" w:rsidRPr="007B6C8E">
        <w:instrText xml:space="preserve"> TOC \o "1-2" \t "ATA Heading 2,2" </w:instrText>
      </w:r>
      <w:r w:rsidRPr="007B6C8E">
        <w:fldChar w:fldCharType="separate"/>
      </w:r>
      <w:r w:rsidR="00653697" w:rsidRPr="00872D59">
        <w:rPr>
          <w:rFonts w:cs="Times New Roman"/>
        </w:rPr>
        <w:t>1.</w:t>
      </w:r>
      <w:r w:rsidR="00653697" w:rsidRPr="00872D59">
        <w:rPr>
          <w:rFonts w:asciiTheme="minorHAnsi" w:eastAsiaTheme="minorEastAsia" w:hAnsiTheme="minorHAnsi" w:cstheme="minorBidi"/>
          <w:b w:val="0"/>
          <w:sz w:val="22"/>
          <w:szCs w:val="22"/>
          <w:lang w:eastAsia="en-AU"/>
        </w:rPr>
        <w:tab/>
      </w:r>
      <w:r w:rsidR="00653697" w:rsidRPr="00872D59">
        <w:t>Introduction</w:t>
      </w:r>
      <w:r w:rsidR="00653697" w:rsidRPr="00872D59">
        <w:tab/>
      </w:r>
      <w:r w:rsidRPr="00872D59">
        <w:fldChar w:fldCharType="begin"/>
      </w:r>
      <w:r w:rsidR="00653697" w:rsidRPr="00872D59">
        <w:instrText xml:space="preserve"> PAGEREF _Toc334702121 \h </w:instrText>
      </w:r>
      <w:r w:rsidRPr="00872D59">
        <w:fldChar w:fldCharType="separate"/>
      </w:r>
      <w:r w:rsidR="00E14D2A">
        <w:t>3</w:t>
      </w:r>
      <w:r w:rsidRPr="00872D59">
        <w:fldChar w:fldCharType="end"/>
      </w:r>
    </w:p>
    <w:p w:rsidR="00653697" w:rsidRPr="00872D59" w:rsidRDefault="00653697" w:rsidP="00653697">
      <w:pPr>
        <w:pStyle w:val="TOC1"/>
        <w:rPr>
          <w:rFonts w:asciiTheme="minorHAnsi" w:eastAsiaTheme="minorEastAsia" w:hAnsiTheme="minorHAnsi" w:cstheme="minorBidi"/>
          <w:b w:val="0"/>
          <w:sz w:val="22"/>
          <w:szCs w:val="22"/>
          <w:lang w:eastAsia="en-AU"/>
        </w:rPr>
      </w:pPr>
      <w:r w:rsidRPr="00872D59">
        <w:rPr>
          <w:rFonts w:cs="Times New Roman"/>
        </w:rPr>
        <w:t>2.</w:t>
      </w:r>
      <w:r w:rsidRPr="00872D59">
        <w:rPr>
          <w:rFonts w:asciiTheme="minorHAnsi" w:eastAsiaTheme="minorEastAsia" w:hAnsiTheme="minorHAnsi" w:cstheme="minorBidi"/>
          <w:b w:val="0"/>
          <w:sz w:val="22"/>
          <w:szCs w:val="22"/>
          <w:lang w:eastAsia="en-AU"/>
        </w:rPr>
        <w:tab/>
      </w:r>
      <w:r w:rsidRPr="00872D59">
        <w:t>A</w:t>
      </w:r>
      <w:r w:rsidR="00696E4A" w:rsidRPr="00872D59">
        <w:t>bout the A</w:t>
      </w:r>
      <w:r w:rsidRPr="00872D59">
        <w:t>ustralian Trucking Association</w:t>
      </w:r>
      <w:r w:rsidR="00696E4A" w:rsidRPr="00872D59">
        <w:t xml:space="preserve"> (ATA)</w:t>
      </w:r>
      <w:r w:rsidRPr="00872D59">
        <w:tab/>
      </w:r>
      <w:r w:rsidR="003C3B8C" w:rsidRPr="00872D59">
        <w:t>3</w:t>
      </w:r>
    </w:p>
    <w:p w:rsidR="00653697" w:rsidRPr="00872D59" w:rsidRDefault="00653697" w:rsidP="00653697">
      <w:pPr>
        <w:pStyle w:val="TOC1"/>
        <w:rPr>
          <w:rFonts w:asciiTheme="minorHAnsi" w:eastAsiaTheme="minorEastAsia" w:hAnsiTheme="minorHAnsi" w:cstheme="minorBidi"/>
          <w:b w:val="0"/>
          <w:sz w:val="22"/>
          <w:szCs w:val="22"/>
          <w:lang w:eastAsia="en-AU"/>
        </w:rPr>
      </w:pPr>
      <w:r w:rsidRPr="00872D59">
        <w:rPr>
          <w:rFonts w:cs="Times New Roman"/>
        </w:rPr>
        <w:t>3.</w:t>
      </w:r>
      <w:r w:rsidRPr="00872D59">
        <w:rPr>
          <w:rFonts w:asciiTheme="minorHAnsi" w:eastAsiaTheme="minorEastAsia" w:hAnsiTheme="minorHAnsi" w:cstheme="minorBidi"/>
          <w:b w:val="0"/>
          <w:sz w:val="22"/>
          <w:szCs w:val="22"/>
          <w:lang w:eastAsia="en-AU"/>
        </w:rPr>
        <w:tab/>
      </w:r>
      <w:r w:rsidRPr="00872D59">
        <w:t>Recommendations</w:t>
      </w:r>
      <w:r w:rsidRPr="00872D59">
        <w:tab/>
      </w:r>
      <w:r w:rsidR="00696E4A" w:rsidRPr="00872D59">
        <w:t>3</w:t>
      </w:r>
    </w:p>
    <w:p w:rsidR="00653697" w:rsidRPr="00872D59" w:rsidRDefault="00653697" w:rsidP="00653697">
      <w:pPr>
        <w:pStyle w:val="TOC1"/>
        <w:rPr>
          <w:rFonts w:asciiTheme="minorHAnsi" w:eastAsiaTheme="minorEastAsia" w:hAnsiTheme="minorHAnsi" w:cstheme="minorBidi"/>
          <w:b w:val="0"/>
          <w:sz w:val="22"/>
          <w:szCs w:val="22"/>
          <w:lang w:eastAsia="en-AU"/>
        </w:rPr>
      </w:pPr>
      <w:r w:rsidRPr="00872D59">
        <w:rPr>
          <w:rFonts w:cs="Times New Roman"/>
        </w:rPr>
        <w:t>4.</w:t>
      </w:r>
      <w:r w:rsidRPr="00872D59">
        <w:rPr>
          <w:rFonts w:asciiTheme="minorHAnsi" w:eastAsiaTheme="minorEastAsia" w:hAnsiTheme="minorHAnsi" w:cstheme="minorBidi"/>
          <w:b w:val="0"/>
          <w:sz w:val="22"/>
          <w:szCs w:val="22"/>
          <w:lang w:eastAsia="en-AU"/>
        </w:rPr>
        <w:tab/>
      </w:r>
      <w:r w:rsidR="00696E4A" w:rsidRPr="00872D59">
        <w:t>Overview of Impacts of Local Government Regulation</w:t>
      </w:r>
      <w:r w:rsidRPr="00872D59">
        <w:tab/>
      </w:r>
      <w:r w:rsidR="00696E4A" w:rsidRPr="00872D59">
        <w:t>4</w:t>
      </w:r>
    </w:p>
    <w:p w:rsidR="00653697" w:rsidRPr="00872D59" w:rsidRDefault="00653697" w:rsidP="00653697">
      <w:pPr>
        <w:pStyle w:val="TOC1"/>
        <w:rPr>
          <w:rFonts w:asciiTheme="minorHAnsi" w:eastAsiaTheme="minorEastAsia" w:hAnsiTheme="minorHAnsi" w:cstheme="minorBidi"/>
          <w:b w:val="0"/>
          <w:sz w:val="22"/>
          <w:szCs w:val="22"/>
          <w:lang w:eastAsia="en-AU"/>
        </w:rPr>
      </w:pPr>
      <w:r w:rsidRPr="00872D59">
        <w:rPr>
          <w:rFonts w:cs="Times New Roman"/>
        </w:rPr>
        <w:t>5.</w:t>
      </w:r>
      <w:r w:rsidRPr="00872D59">
        <w:rPr>
          <w:rFonts w:asciiTheme="minorHAnsi" w:eastAsiaTheme="minorEastAsia" w:hAnsiTheme="minorHAnsi" w:cstheme="minorBidi"/>
          <w:b w:val="0"/>
          <w:sz w:val="22"/>
          <w:szCs w:val="22"/>
          <w:lang w:eastAsia="en-AU"/>
        </w:rPr>
        <w:tab/>
      </w:r>
      <w:r w:rsidR="002A5A89" w:rsidRPr="00872D59">
        <w:t>Conditions and Costs Imposed by Local Governments</w:t>
      </w:r>
      <w:r w:rsidRPr="00872D59">
        <w:tab/>
      </w:r>
      <w:r w:rsidR="003474E3">
        <w:t>4</w:t>
      </w:r>
    </w:p>
    <w:p w:rsidR="00653697" w:rsidRPr="00872D59" w:rsidRDefault="00653697" w:rsidP="00653697">
      <w:pPr>
        <w:pStyle w:val="TOC2"/>
        <w:rPr>
          <w:rFonts w:asciiTheme="minorHAnsi" w:eastAsiaTheme="minorEastAsia" w:hAnsiTheme="minorHAnsi" w:cstheme="minorBidi"/>
          <w:noProof/>
          <w:sz w:val="22"/>
          <w:lang w:eastAsia="en-AU"/>
        </w:rPr>
      </w:pPr>
      <w:r w:rsidRPr="00872D59">
        <w:rPr>
          <w:noProof/>
        </w:rPr>
        <w:t>5.1.</w:t>
      </w:r>
      <w:r w:rsidRPr="00872D59">
        <w:rPr>
          <w:rFonts w:asciiTheme="minorHAnsi" w:eastAsiaTheme="minorEastAsia" w:hAnsiTheme="minorHAnsi" w:cstheme="minorBidi"/>
          <w:noProof/>
          <w:sz w:val="22"/>
          <w:lang w:eastAsia="en-AU"/>
        </w:rPr>
        <w:tab/>
      </w:r>
      <w:r w:rsidR="002A5A89" w:rsidRPr="00872D59">
        <w:rPr>
          <w:noProof/>
        </w:rPr>
        <w:t>Protecting Sensitive Infrastructure</w:t>
      </w:r>
      <w:r w:rsidRPr="00872D59">
        <w:rPr>
          <w:noProof/>
        </w:rPr>
        <w:tab/>
      </w:r>
      <w:r w:rsidR="003474E3">
        <w:rPr>
          <w:noProof/>
        </w:rPr>
        <w:t>4</w:t>
      </w:r>
    </w:p>
    <w:p w:rsidR="00653697" w:rsidRPr="00872D59" w:rsidRDefault="00653697" w:rsidP="00653697">
      <w:pPr>
        <w:pStyle w:val="TOC2"/>
        <w:rPr>
          <w:rFonts w:asciiTheme="minorHAnsi" w:eastAsiaTheme="minorEastAsia" w:hAnsiTheme="minorHAnsi" w:cstheme="minorBidi"/>
          <w:noProof/>
          <w:sz w:val="22"/>
          <w:lang w:eastAsia="en-AU"/>
        </w:rPr>
      </w:pPr>
      <w:r w:rsidRPr="00872D59">
        <w:rPr>
          <w:noProof/>
        </w:rPr>
        <w:t>5.2.</w:t>
      </w:r>
      <w:r w:rsidRPr="00872D59">
        <w:rPr>
          <w:rFonts w:asciiTheme="minorHAnsi" w:eastAsiaTheme="minorEastAsia" w:hAnsiTheme="minorHAnsi" w:cstheme="minorBidi"/>
          <w:noProof/>
          <w:sz w:val="22"/>
          <w:lang w:eastAsia="en-AU"/>
        </w:rPr>
        <w:tab/>
      </w:r>
      <w:r w:rsidR="002A5A89" w:rsidRPr="00872D59">
        <w:rPr>
          <w:noProof/>
        </w:rPr>
        <w:t>Preventing Increase in Noise Pollution and Road Congestion</w:t>
      </w:r>
      <w:r w:rsidRPr="00872D59">
        <w:rPr>
          <w:noProof/>
        </w:rPr>
        <w:tab/>
      </w:r>
      <w:r w:rsidR="002A5A89" w:rsidRPr="00872D59">
        <w:rPr>
          <w:noProof/>
        </w:rPr>
        <w:t>6</w:t>
      </w:r>
    </w:p>
    <w:p w:rsidR="00653697" w:rsidRPr="00872D59" w:rsidRDefault="00653697" w:rsidP="00653697">
      <w:pPr>
        <w:pStyle w:val="TOC2"/>
        <w:rPr>
          <w:rFonts w:asciiTheme="minorHAnsi" w:eastAsiaTheme="minorEastAsia" w:hAnsiTheme="minorHAnsi" w:cstheme="minorBidi"/>
          <w:noProof/>
          <w:sz w:val="22"/>
          <w:lang w:eastAsia="en-AU"/>
        </w:rPr>
      </w:pPr>
      <w:r w:rsidRPr="00872D59">
        <w:rPr>
          <w:noProof/>
        </w:rPr>
        <w:t>5.3.</w:t>
      </w:r>
      <w:r w:rsidRPr="00872D59">
        <w:rPr>
          <w:rFonts w:asciiTheme="minorHAnsi" w:eastAsiaTheme="minorEastAsia" w:hAnsiTheme="minorHAnsi" w:cstheme="minorBidi"/>
          <w:noProof/>
          <w:sz w:val="22"/>
          <w:lang w:eastAsia="en-AU"/>
        </w:rPr>
        <w:tab/>
      </w:r>
      <w:r w:rsidR="003474E3">
        <w:rPr>
          <w:noProof/>
        </w:rPr>
        <w:t>Assessment</w:t>
      </w:r>
      <w:r w:rsidR="002A5A89" w:rsidRPr="00872D59">
        <w:rPr>
          <w:noProof/>
        </w:rPr>
        <w:t xml:space="preserve"> Costs</w:t>
      </w:r>
      <w:r w:rsidRPr="00872D59">
        <w:rPr>
          <w:noProof/>
        </w:rPr>
        <w:tab/>
      </w:r>
      <w:r w:rsidR="003474E3">
        <w:rPr>
          <w:noProof/>
        </w:rPr>
        <w:t>6</w:t>
      </w:r>
    </w:p>
    <w:p w:rsidR="00653697" w:rsidRPr="00872D59" w:rsidRDefault="00653697" w:rsidP="00653697">
      <w:pPr>
        <w:pStyle w:val="TOC1"/>
      </w:pPr>
      <w:r w:rsidRPr="00872D59">
        <w:rPr>
          <w:rFonts w:cs="Times New Roman"/>
        </w:rPr>
        <w:t>6.</w:t>
      </w:r>
      <w:r w:rsidRPr="00872D59">
        <w:rPr>
          <w:rFonts w:asciiTheme="minorHAnsi" w:eastAsiaTheme="minorEastAsia" w:hAnsiTheme="minorHAnsi" w:cstheme="minorBidi"/>
          <w:b w:val="0"/>
          <w:sz w:val="22"/>
          <w:szCs w:val="22"/>
          <w:lang w:eastAsia="en-AU"/>
        </w:rPr>
        <w:tab/>
      </w:r>
      <w:r w:rsidR="002A5A89" w:rsidRPr="00872D59">
        <w:t>Local Government Application Processing Issues</w:t>
      </w:r>
      <w:r w:rsidRPr="00872D59">
        <w:tab/>
      </w:r>
      <w:r w:rsidR="003474E3">
        <w:t>6</w:t>
      </w:r>
    </w:p>
    <w:p w:rsidR="002A5A89" w:rsidRPr="00872D59" w:rsidRDefault="002A5A89" w:rsidP="002A5A89">
      <w:pPr>
        <w:pStyle w:val="TOC2"/>
        <w:rPr>
          <w:rFonts w:asciiTheme="minorHAnsi" w:eastAsiaTheme="minorEastAsia" w:hAnsiTheme="minorHAnsi" w:cstheme="minorBidi"/>
          <w:noProof/>
          <w:sz w:val="22"/>
          <w:lang w:eastAsia="en-AU"/>
        </w:rPr>
      </w:pPr>
      <w:r w:rsidRPr="00872D59">
        <w:rPr>
          <w:noProof/>
        </w:rPr>
        <w:t>6.1.</w:t>
      </w:r>
      <w:r w:rsidRPr="00872D59">
        <w:rPr>
          <w:rFonts w:asciiTheme="minorHAnsi" w:eastAsiaTheme="minorEastAsia" w:hAnsiTheme="minorHAnsi" w:cstheme="minorBidi"/>
          <w:noProof/>
          <w:sz w:val="22"/>
          <w:lang w:eastAsia="en-AU"/>
        </w:rPr>
        <w:tab/>
      </w:r>
      <w:r w:rsidRPr="00872D59">
        <w:rPr>
          <w:noProof/>
        </w:rPr>
        <w:t>De</w:t>
      </w:r>
      <w:r w:rsidR="00FD1CB6">
        <w:rPr>
          <w:noProof/>
        </w:rPr>
        <w:t>lays and Lack of Due-Diligence</w:t>
      </w:r>
      <w:r w:rsidR="00FD1CB6">
        <w:rPr>
          <w:noProof/>
        </w:rPr>
        <w:tab/>
        <w:t>6</w:t>
      </w:r>
    </w:p>
    <w:p w:rsidR="002A5A89" w:rsidRPr="00872D59" w:rsidRDefault="002A5A89" w:rsidP="002A5A89">
      <w:pPr>
        <w:pStyle w:val="TOC2"/>
        <w:rPr>
          <w:rFonts w:asciiTheme="minorHAnsi" w:eastAsiaTheme="minorEastAsia" w:hAnsiTheme="minorHAnsi" w:cstheme="minorBidi"/>
          <w:noProof/>
          <w:sz w:val="22"/>
          <w:lang w:eastAsia="en-AU"/>
        </w:rPr>
      </w:pPr>
      <w:r w:rsidRPr="00872D59">
        <w:rPr>
          <w:noProof/>
        </w:rPr>
        <w:t>6.2.</w:t>
      </w:r>
      <w:r w:rsidRPr="00872D59">
        <w:rPr>
          <w:rFonts w:asciiTheme="minorHAnsi" w:eastAsiaTheme="minorEastAsia" w:hAnsiTheme="minorHAnsi" w:cstheme="minorBidi"/>
          <w:noProof/>
          <w:sz w:val="22"/>
          <w:lang w:eastAsia="en-AU"/>
        </w:rPr>
        <w:tab/>
      </w:r>
      <w:r w:rsidRPr="00872D59">
        <w:rPr>
          <w:noProof/>
        </w:rPr>
        <w:t>Inadequate Review Mechanisms</w:t>
      </w:r>
      <w:r w:rsidRPr="00872D59">
        <w:rPr>
          <w:noProof/>
        </w:rPr>
        <w:tab/>
      </w:r>
      <w:r w:rsidR="003474E3">
        <w:rPr>
          <w:noProof/>
        </w:rPr>
        <w:t>7</w:t>
      </w:r>
    </w:p>
    <w:p w:rsidR="002A5A89" w:rsidRPr="00872D59" w:rsidRDefault="002A5A89" w:rsidP="002A5A89">
      <w:pPr>
        <w:pStyle w:val="TOC2"/>
        <w:rPr>
          <w:rFonts w:asciiTheme="minorHAnsi" w:eastAsiaTheme="minorEastAsia" w:hAnsiTheme="minorHAnsi" w:cstheme="minorBidi"/>
          <w:noProof/>
          <w:sz w:val="22"/>
          <w:lang w:eastAsia="en-AU"/>
        </w:rPr>
      </w:pPr>
      <w:r w:rsidRPr="00872D59">
        <w:rPr>
          <w:noProof/>
        </w:rPr>
        <w:t>6.3.</w:t>
      </w:r>
      <w:r w:rsidRPr="00872D59">
        <w:rPr>
          <w:rFonts w:asciiTheme="minorHAnsi" w:eastAsiaTheme="minorEastAsia" w:hAnsiTheme="minorHAnsi" w:cstheme="minorBidi"/>
          <w:noProof/>
          <w:sz w:val="22"/>
          <w:lang w:eastAsia="en-AU"/>
        </w:rPr>
        <w:tab/>
      </w:r>
      <w:r w:rsidRPr="00872D59">
        <w:rPr>
          <w:noProof/>
        </w:rPr>
        <w:t>Performance Based Standards (PBS) Scheme Issues</w:t>
      </w:r>
      <w:r w:rsidRPr="00872D59">
        <w:rPr>
          <w:noProof/>
        </w:rPr>
        <w:tab/>
      </w:r>
      <w:r w:rsidR="003474E3">
        <w:rPr>
          <w:noProof/>
        </w:rPr>
        <w:t>7</w:t>
      </w:r>
    </w:p>
    <w:p w:rsidR="00653697" w:rsidRPr="00872D59" w:rsidRDefault="00653697" w:rsidP="00653697">
      <w:pPr>
        <w:pStyle w:val="TOC1"/>
      </w:pPr>
      <w:r w:rsidRPr="00872D59">
        <w:rPr>
          <w:rFonts w:cs="Times New Roman"/>
        </w:rPr>
        <w:t>7.</w:t>
      </w:r>
      <w:r w:rsidRPr="00872D59">
        <w:rPr>
          <w:rFonts w:asciiTheme="minorHAnsi" w:eastAsiaTheme="minorEastAsia" w:hAnsiTheme="minorHAnsi" w:cstheme="minorBidi"/>
          <w:b w:val="0"/>
          <w:sz w:val="22"/>
          <w:szCs w:val="22"/>
          <w:lang w:eastAsia="en-AU"/>
        </w:rPr>
        <w:tab/>
      </w:r>
      <w:r w:rsidR="002A5A89" w:rsidRPr="00872D59">
        <w:t>Result of Excessive Regulation</w:t>
      </w:r>
      <w:r w:rsidRPr="00872D59">
        <w:tab/>
      </w:r>
      <w:r w:rsidR="00FD1CB6">
        <w:t>7</w:t>
      </w:r>
    </w:p>
    <w:p w:rsidR="002A5A89" w:rsidRPr="00872D59" w:rsidRDefault="002A5A89" w:rsidP="002A5A89">
      <w:pPr>
        <w:pStyle w:val="TOC1"/>
      </w:pPr>
      <w:r w:rsidRPr="00872D59">
        <w:rPr>
          <w:rFonts w:cs="Times New Roman"/>
        </w:rPr>
        <w:t>8.</w:t>
      </w:r>
      <w:r w:rsidRPr="00872D59">
        <w:rPr>
          <w:rFonts w:asciiTheme="minorHAnsi" w:eastAsiaTheme="minorEastAsia" w:hAnsiTheme="minorHAnsi" w:cstheme="minorBidi"/>
          <w:b w:val="0"/>
          <w:sz w:val="22"/>
          <w:szCs w:val="22"/>
          <w:lang w:eastAsia="en-AU"/>
        </w:rPr>
        <w:tab/>
      </w:r>
      <w:r w:rsidRPr="00872D59">
        <w:t>Conclusion</w:t>
      </w:r>
      <w:r w:rsidRPr="00872D59">
        <w:tab/>
      </w:r>
      <w:r w:rsidR="00FD1CB6">
        <w:t>8</w:t>
      </w:r>
    </w:p>
    <w:p w:rsidR="002A5A89" w:rsidRPr="007B6C8E" w:rsidRDefault="002A5A89" w:rsidP="002A5A89">
      <w:pPr>
        <w:pStyle w:val="TOC1"/>
      </w:pPr>
      <w:r w:rsidRPr="00872D59">
        <w:rPr>
          <w:rFonts w:cs="Times New Roman"/>
        </w:rPr>
        <w:t>9.</w:t>
      </w:r>
      <w:r w:rsidRPr="00872D59">
        <w:rPr>
          <w:rFonts w:asciiTheme="minorHAnsi" w:eastAsiaTheme="minorEastAsia" w:hAnsiTheme="minorHAnsi" w:cstheme="minorBidi"/>
          <w:b w:val="0"/>
          <w:sz w:val="22"/>
          <w:szCs w:val="22"/>
          <w:lang w:eastAsia="en-AU"/>
        </w:rPr>
        <w:tab/>
      </w:r>
      <w:r w:rsidR="00FD1CB6">
        <w:t>References</w:t>
      </w:r>
      <w:r w:rsidR="00FD1CB6">
        <w:tab/>
        <w:t>8</w:t>
      </w:r>
    </w:p>
    <w:p w:rsidR="002A5A89" w:rsidRPr="007B6C8E" w:rsidRDefault="002A5A89" w:rsidP="002A5A89">
      <w:pPr>
        <w:rPr>
          <w:rFonts w:eastAsiaTheme="minorEastAsia"/>
          <w:lang w:eastAsia="en-US"/>
        </w:rPr>
      </w:pPr>
    </w:p>
    <w:p w:rsidR="002A5A89" w:rsidRPr="007B6C8E" w:rsidRDefault="002A5A89" w:rsidP="002A5A89">
      <w:pPr>
        <w:rPr>
          <w:rFonts w:eastAsiaTheme="minorEastAsia"/>
          <w:lang w:eastAsia="en-US"/>
        </w:rPr>
      </w:pPr>
    </w:p>
    <w:p w:rsidR="002A5A89" w:rsidRPr="007B6C8E" w:rsidRDefault="002A5A89" w:rsidP="002A5A89">
      <w:pPr>
        <w:rPr>
          <w:rFonts w:eastAsiaTheme="minorEastAsia"/>
          <w:lang w:eastAsia="en-US"/>
        </w:rPr>
      </w:pPr>
    </w:p>
    <w:p w:rsidR="002A5A89" w:rsidRPr="007B6C8E" w:rsidRDefault="002A5A89" w:rsidP="002A5A89">
      <w:pPr>
        <w:rPr>
          <w:rFonts w:eastAsiaTheme="minorEastAsia"/>
          <w:lang w:eastAsia="en-US"/>
        </w:rPr>
      </w:pPr>
    </w:p>
    <w:p w:rsidR="00653697" w:rsidRPr="0053236A" w:rsidRDefault="00897442" w:rsidP="00653697">
      <w:pPr>
        <w:tabs>
          <w:tab w:val="right" w:leader="dot" w:pos="9645"/>
        </w:tabs>
        <w:rPr>
          <w:rFonts w:ascii="Arial" w:hAnsi="Arial" w:cs="Arial"/>
        </w:rPr>
      </w:pPr>
      <w:r w:rsidRPr="007B6C8E">
        <w:rPr>
          <w:rFonts w:ascii="Arial" w:hAnsi="Arial" w:cs="Arial"/>
          <w:b/>
          <w:noProof/>
          <w:sz w:val="20"/>
          <w:szCs w:val="20"/>
        </w:rPr>
        <w:fldChar w:fldCharType="end"/>
      </w:r>
    </w:p>
    <w:p w:rsidR="00653697" w:rsidRPr="0053236A" w:rsidRDefault="00653697" w:rsidP="00653697">
      <w:pPr>
        <w:rPr>
          <w:rFonts w:ascii="Arial" w:hAnsi="Arial" w:cs="Arial"/>
          <w:sz w:val="20"/>
          <w:szCs w:val="20"/>
        </w:rPr>
      </w:pPr>
      <w:r w:rsidRPr="0053236A">
        <w:rPr>
          <w:rFonts w:ascii="Arial" w:hAnsi="Arial" w:cs="Arial"/>
          <w:sz w:val="20"/>
          <w:szCs w:val="20"/>
        </w:rPr>
        <w:br w:type="page"/>
      </w:r>
    </w:p>
    <w:p w:rsidR="00653697" w:rsidRPr="0053236A" w:rsidRDefault="00653697" w:rsidP="00653697">
      <w:pPr>
        <w:pStyle w:val="Heading1"/>
      </w:pPr>
      <w:bookmarkStart w:id="0" w:name="_Toc334702121"/>
      <w:r w:rsidRPr="0053236A">
        <w:lastRenderedPageBreak/>
        <w:t>Introduction</w:t>
      </w:r>
      <w:bookmarkEnd w:id="0"/>
    </w:p>
    <w:p w:rsidR="00945F75" w:rsidRDefault="00945F75" w:rsidP="00945F75">
      <w:pPr>
        <w:autoSpaceDE w:val="0"/>
        <w:autoSpaceDN w:val="0"/>
        <w:adjustRightInd w:val="0"/>
        <w:spacing w:after="0"/>
        <w:rPr>
          <w:rFonts w:ascii="Helvetica" w:hAnsi="Helvetica" w:cs="Helvetica"/>
        </w:rPr>
      </w:pPr>
    </w:p>
    <w:p w:rsidR="00A5489F" w:rsidRPr="00B27C55" w:rsidRDefault="00FA5B15" w:rsidP="00945F75">
      <w:pPr>
        <w:autoSpaceDE w:val="0"/>
        <w:autoSpaceDN w:val="0"/>
        <w:adjustRightInd w:val="0"/>
        <w:spacing w:after="0"/>
        <w:rPr>
          <w:rFonts w:ascii="Arial" w:hAnsi="Arial" w:cs="Arial"/>
          <w:sz w:val="20"/>
          <w:szCs w:val="20"/>
        </w:rPr>
      </w:pPr>
      <w:r>
        <w:rPr>
          <w:rFonts w:ascii="Arial" w:hAnsi="Arial" w:cs="Arial"/>
          <w:sz w:val="20"/>
          <w:szCs w:val="20"/>
        </w:rPr>
        <w:t>The Australian Trucking Association (ATA)</w:t>
      </w:r>
      <w:r w:rsidR="00A5489F" w:rsidRPr="00B27C55">
        <w:rPr>
          <w:rFonts w:ascii="Arial" w:hAnsi="Arial" w:cs="Arial"/>
          <w:sz w:val="20"/>
          <w:szCs w:val="20"/>
        </w:rPr>
        <w:t xml:space="preserve"> would like to thank the Independent Pricing and Regulatory Tribunal (IPART) </w:t>
      </w:r>
      <w:r w:rsidR="00303613" w:rsidRPr="00B27C55">
        <w:rPr>
          <w:rFonts w:ascii="Arial" w:hAnsi="Arial" w:cs="Arial"/>
          <w:sz w:val="20"/>
          <w:szCs w:val="20"/>
        </w:rPr>
        <w:t xml:space="preserve">for the opportunity </w:t>
      </w:r>
      <w:r>
        <w:rPr>
          <w:rFonts w:ascii="Arial" w:hAnsi="Arial" w:cs="Arial"/>
          <w:sz w:val="20"/>
          <w:szCs w:val="20"/>
        </w:rPr>
        <w:t>to</w:t>
      </w:r>
      <w:r w:rsidR="00A5489F" w:rsidRPr="00B27C55">
        <w:rPr>
          <w:rFonts w:ascii="Arial" w:hAnsi="Arial" w:cs="Arial"/>
          <w:sz w:val="20"/>
          <w:szCs w:val="20"/>
        </w:rPr>
        <w:t xml:space="preserve"> comment on its review of local government compliance and enforcement activity in NSW. Our submission examines the impact of NSW local governments’ compliance and enforcement activity on the trucking industry.</w:t>
      </w:r>
    </w:p>
    <w:p w:rsidR="00A5489F" w:rsidRPr="00B27C55" w:rsidRDefault="00A5489F" w:rsidP="00945F75">
      <w:pPr>
        <w:autoSpaceDE w:val="0"/>
        <w:autoSpaceDN w:val="0"/>
        <w:adjustRightInd w:val="0"/>
        <w:spacing w:after="0"/>
        <w:rPr>
          <w:rFonts w:ascii="Arial" w:hAnsi="Arial" w:cs="Arial"/>
          <w:sz w:val="20"/>
          <w:szCs w:val="20"/>
        </w:rPr>
      </w:pPr>
    </w:p>
    <w:p w:rsidR="00A5489F" w:rsidRPr="00B27C55" w:rsidRDefault="00303613" w:rsidP="00706C98">
      <w:pPr>
        <w:autoSpaceDE w:val="0"/>
        <w:autoSpaceDN w:val="0"/>
        <w:adjustRightInd w:val="0"/>
        <w:spacing w:after="0"/>
        <w:rPr>
          <w:rFonts w:ascii="Arial" w:hAnsi="Arial" w:cs="Arial"/>
          <w:sz w:val="20"/>
          <w:szCs w:val="20"/>
        </w:rPr>
      </w:pPr>
      <w:r w:rsidRPr="00B27C55">
        <w:rPr>
          <w:rFonts w:ascii="Arial" w:hAnsi="Arial" w:cs="Arial"/>
          <w:sz w:val="20"/>
          <w:szCs w:val="20"/>
        </w:rPr>
        <w:t xml:space="preserve">Australia has a federated system of government where power is shared between the Commonwealth, state and local </w:t>
      </w:r>
      <w:r w:rsidR="00977FD1" w:rsidRPr="00B27C55">
        <w:rPr>
          <w:rFonts w:ascii="Arial" w:hAnsi="Arial" w:cs="Arial"/>
          <w:sz w:val="20"/>
          <w:szCs w:val="20"/>
        </w:rPr>
        <w:t>levels of government</w:t>
      </w:r>
      <w:r w:rsidRPr="00B27C55">
        <w:rPr>
          <w:rFonts w:ascii="Arial" w:hAnsi="Arial" w:cs="Arial"/>
          <w:sz w:val="20"/>
          <w:szCs w:val="20"/>
        </w:rPr>
        <w:t xml:space="preserve">. </w:t>
      </w:r>
      <w:r w:rsidR="00127952" w:rsidRPr="00B27C55">
        <w:rPr>
          <w:rFonts w:ascii="Arial" w:hAnsi="Arial" w:cs="Arial"/>
          <w:sz w:val="20"/>
          <w:szCs w:val="20"/>
        </w:rPr>
        <w:t xml:space="preserve">In NSW alone, there are over 150 local governments. </w:t>
      </w:r>
      <w:r w:rsidRPr="00B27C55">
        <w:rPr>
          <w:rFonts w:ascii="Arial" w:hAnsi="Arial" w:cs="Arial"/>
          <w:sz w:val="20"/>
          <w:szCs w:val="20"/>
        </w:rPr>
        <w:t xml:space="preserve">An unfortunate evolutionary consequence of this </w:t>
      </w:r>
      <w:r w:rsidR="007A17F0" w:rsidRPr="00B27C55">
        <w:rPr>
          <w:rFonts w:ascii="Arial" w:hAnsi="Arial" w:cs="Arial"/>
          <w:sz w:val="20"/>
          <w:szCs w:val="20"/>
        </w:rPr>
        <w:t xml:space="preserve">disjointed </w:t>
      </w:r>
      <w:r w:rsidRPr="00B27C55">
        <w:rPr>
          <w:rFonts w:ascii="Arial" w:hAnsi="Arial" w:cs="Arial"/>
          <w:sz w:val="20"/>
          <w:szCs w:val="20"/>
        </w:rPr>
        <w:t xml:space="preserve">system </w:t>
      </w:r>
      <w:r w:rsidR="00977FD1" w:rsidRPr="00B27C55">
        <w:rPr>
          <w:rFonts w:ascii="Arial" w:hAnsi="Arial" w:cs="Arial"/>
          <w:sz w:val="20"/>
          <w:szCs w:val="20"/>
        </w:rPr>
        <w:t xml:space="preserve">is the creation of inconsistent regulations across the different jurisdictions, which can result in compliance </w:t>
      </w:r>
      <w:r w:rsidR="007A17F0" w:rsidRPr="00B27C55">
        <w:rPr>
          <w:rFonts w:ascii="Arial" w:hAnsi="Arial" w:cs="Arial"/>
          <w:sz w:val="20"/>
          <w:szCs w:val="20"/>
        </w:rPr>
        <w:t>complexities</w:t>
      </w:r>
      <w:r w:rsidR="00C02807" w:rsidRPr="00B27C55">
        <w:rPr>
          <w:rFonts w:ascii="Arial" w:hAnsi="Arial" w:cs="Arial"/>
          <w:sz w:val="20"/>
          <w:szCs w:val="20"/>
        </w:rPr>
        <w:t>, inefficiencies</w:t>
      </w:r>
      <w:r w:rsidR="007B6C8E" w:rsidRPr="00B27C55">
        <w:rPr>
          <w:rFonts w:ascii="Arial" w:hAnsi="Arial" w:cs="Arial"/>
          <w:sz w:val="20"/>
          <w:szCs w:val="20"/>
        </w:rPr>
        <w:t xml:space="preserve"> and unnecessary cost burdens</w:t>
      </w:r>
      <w:r w:rsidR="00162582" w:rsidRPr="00B27C55">
        <w:rPr>
          <w:rFonts w:ascii="Arial" w:hAnsi="Arial" w:cs="Arial"/>
          <w:sz w:val="20"/>
          <w:szCs w:val="20"/>
        </w:rPr>
        <w:t xml:space="preserve"> for stakeholders</w:t>
      </w:r>
      <w:r w:rsidR="00977FD1" w:rsidRPr="00B27C55">
        <w:rPr>
          <w:rFonts w:ascii="Arial" w:hAnsi="Arial" w:cs="Arial"/>
          <w:sz w:val="20"/>
          <w:szCs w:val="20"/>
        </w:rPr>
        <w:t xml:space="preserve">. Such </w:t>
      </w:r>
      <w:r w:rsidR="00127952" w:rsidRPr="00B27C55">
        <w:rPr>
          <w:rFonts w:ascii="Arial" w:hAnsi="Arial" w:cs="Arial"/>
          <w:sz w:val="20"/>
          <w:szCs w:val="20"/>
        </w:rPr>
        <w:t xml:space="preserve">negative </w:t>
      </w:r>
      <w:r w:rsidR="00FA5B15">
        <w:rPr>
          <w:rFonts w:ascii="Arial" w:hAnsi="Arial" w:cs="Arial"/>
          <w:sz w:val="20"/>
          <w:szCs w:val="20"/>
        </w:rPr>
        <w:t>consequences are felt</w:t>
      </w:r>
      <w:r w:rsidR="00977FD1" w:rsidRPr="00B27C55">
        <w:rPr>
          <w:rFonts w:ascii="Arial" w:hAnsi="Arial" w:cs="Arial"/>
          <w:sz w:val="20"/>
          <w:szCs w:val="20"/>
        </w:rPr>
        <w:t xml:space="preserve"> heavily by the trucking industry</w:t>
      </w:r>
      <w:r w:rsidR="00C02807" w:rsidRPr="00B27C55">
        <w:rPr>
          <w:rFonts w:ascii="Arial" w:hAnsi="Arial" w:cs="Arial"/>
          <w:sz w:val="20"/>
          <w:szCs w:val="20"/>
        </w:rPr>
        <w:t>,</w:t>
      </w:r>
      <w:r w:rsidR="007A17F0" w:rsidRPr="00B27C55">
        <w:rPr>
          <w:rFonts w:ascii="Arial" w:hAnsi="Arial" w:cs="Arial"/>
          <w:sz w:val="20"/>
          <w:szCs w:val="20"/>
        </w:rPr>
        <w:t xml:space="preserve"> </w:t>
      </w:r>
      <w:r w:rsidR="007B6C8E" w:rsidRPr="00B27C55">
        <w:rPr>
          <w:rFonts w:ascii="Arial" w:hAnsi="Arial" w:cs="Arial"/>
          <w:sz w:val="20"/>
          <w:szCs w:val="20"/>
        </w:rPr>
        <w:t>as it</w:t>
      </w:r>
      <w:r w:rsidR="007A17F0" w:rsidRPr="00B27C55">
        <w:rPr>
          <w:rFonts w:ascii="Arial" w:hAnsi="Arial" w:cs="Arial"/>
          <w:sz w:val="20"/>
          <w:szCs w:val="20"/>
        </w:rPr>
        <w:t xml:space="preserve"> operate</w:t>
      </w:r>
      <w:r w:rsidR="00C02807" w:rsidRPr="00B27C55">
        <w:rPr>
          <w:rFonts w:ascii="Arial" w:hAnsi="Arial" w:cs="Arial"/>
          <w:sz w:val="20"/>
          <w:szCs w:val="20"/>
        </w:rPr>
        <w:t>s</w:t>
      </w:r>
      <w:r w:rsidR="007A17F0" w:rsidRPr="00B27C55">
        <w:rPr>
          <w:rFonts w:ascii="Arial" w:hAnsi="Arial" w:cs="Arial"/>
          <w:sz w:val="20"/>
          <w:szCs w:val="20"/>
        </w:rPr>
        <w:t xml:space="preserve"> across</w:t>
      </w:r>
      <w:r w:rsidR="00C02807" w:rsidRPr="00B27C55">
        <w:rPr>
          <w:rFonts w:ascii="Arial" w:hAnsi="Arial" w:cs="Arial"/>
          <w:sz w:val="20"/>
          <w:szCs w:val="20"/>
        </w:rPr>
        <w:t xml:space="preserve"> all jurisdictions</w:t>
      </w:r>
      <w:r w:rsidR="00977FD1" w:rsidRPr="00B27C55">
        <w:rPr>
          <w:rFonts w:ascii="Arial" w:hAnsi="Arial" w:cs="Arial"/>
          <w:sz w:val="20"/>
          <w:szCs w:val="20"/>
        </w:rPr>
        <w:t>.</w:t>
      </w:r>
      <w:r w:rsidR="00127952" w:rsidRPr="00B27C55">
        <w:rPr>
          <w:rFonts w:ascii="Arial" w:hAnsi="Arial" w:cs="Arial"/>
          <w:sz w:val="20"/>
          <w:szCs w:val="20"/>
        </w:rPr>
        <w:t xml:space="preserve"> It follows that the burdens felt by the trucking industry can be passed on to the wider community.</w:t>
      </w:r>
      <w:r w:rsidR="00706C98" w:rsidRPr="00B27C55">
        <w:rPr>
          <w:rFonts w:ascii="Arial" w:hAnsi="Arial" w:cs="Arial"/>
          <w:sz w:val="20"/>
          <w:szCs w:val="20"/>
        </w:rPr>
        <w:t xml:space="preserve"> Thus</w:t>
      </w:r>
      <w:r w:rsidR="00FA5B15">
        <w:rPr>
          <w:rFonts w:ascii="Arial" w:hAnsi="Arial" w:cs="Arial"/>
          <w:sz w:val="20"/>
          <w:szCs w:val="20"/>
        </w:rPr>
        <w:t>, having consistent regulations</w:t>
      </w:r>
      <w:r w:rsidR="00706C98" w:rsidRPr="00B27C55">
        <w:rPr>
          <w:rFonts w:ascii="Arial" w:hAnsi="Arial" w:cs="Arial"/>
          <w:sz w:val="20"/>
          <w:szCs w:val="20"/>
        </w:rPr>
        <w:t xml:space="preserve"> and </w:t>
      </w:r>
      <w:r w:rsidR="00162582" w:rsidRPr="00B27C55">
        <w:rPr>
          <w:rFonts w:ascii="Arial" w:hAnsi="Arial" w:cs="Arial"/>
          <w:sz w:val="20"/>
          <w:szCs w:val="20"/>
        </w:rPr>
        <w:t xml:space="preserve">consistent </w:t>
      </w:r>
      <w:r w:rsidR="00706C98" w:rsidRPr="00B27C55">
        <w:rPr>
          <w:rFonts w:ascii="Arial" w:hAnsi="Arial" w:cs="Arial"/>
          <w:sz w:val="20"/>
          <w:szCs w:val="20"/>
        </w:rPr>
        <w:t>administration of those regulations acro</w:t>
      </w:r>
      <w:r w:rsidR="00E750CB" w:rsidRPr="00B27C55">
        <w:rPr>
          <w:rFonts w:ascii="Arial" w:hAnsi="Arial" w:cs="Arial"/>
          <w:sz w:val="20"/>
          <w:szCs w:val="20"/>
        </w:rPr>
        <w:t>ss all jurisdictions can</w:t>
      </w:r>
      <w:r w:rsidR="00316CE1" w:rsidRPr="00B27C55">
        <w:rPr>
          <w:rFonts w:ascii="Arial" w:hAnsi="Arial" w:cs="Arial"/>
          <w:sz w:val="20"/>
          <w:szCs w:val="20"/>
        </w:rPr>
        <w:t xml:space="preserve"> </w:t>
      </w:r>
      <w:r w:rsidR="00E750CB" w:rsidRPr="00B27C55">
        <w:rPr>
          <w:rFonts w:ascii="Arial" w:hAnsi="Arial" w:cs="Arial"/>
          <w:sz w:val="20"/>
          <w:szCs w:val="20"/>
        </w:rPr>
        <w:t>alleviate unnecessary burdens on the Australian economy</w:t>
      </w:r>
      <w:r w:rsidR="00162582" w:rsidRPr="00B27C55">
        <w:rPr>
          <w:rFonts w:ascii="Arial" w:hAnsi="Arial" w:cs="Arial"/>
          <w:sz w:val="20"/>
          <w:szCs w:val="20"/>
        </w:rPr>
        <w:t xml:space="preserve"> and ultimately make Austr</w:t>
      </w:r>
      <w:r w:rsidR="00FA5B15">
        <w:rPr>
          <w:rFonts w:ascii="Arial" w:hAnsi="Arial" w:cs="Arial"/>
          <w:sz w:val="20"/>
          <w:szCs w:val="20"/>
        </w:rPr>
        <w:t>alia a more competitive economy</w:t>
      </w:r>
      <w:r w:rsidR="00E750CB" w:rsidRPr="00B27C55">
        <w:rPr>
          <w:rFonts w:ascii="Arial" w:hAnsi="Arial" w:cs="Arial"/>
          <w:sz w:val="20"/>
          <w:szCs w:val="20"/>
        </w:rPr>
        <w:t>.</w:t>
      </w:r>
    </w:p>
    <w:p w:rsidR="00696E4A" w:rsidRPr="00B27C55" w:rsidRDefault="00696E4A" w:rsidP="00945F75">
      <w:pPr>
        <w:autoSpaceDE w:val="0"/>
        <w:autoSpaceDN w:val="0"/>
        <w:adjustRightInd w:val="0"/>
        <w:spacing w:after="0"/>
        <w:rPr>
          <w:rFonts w:ascii="Helvetica" w:hAnsi="Helvetica" w:cs="Helvetica"/>
          <w:sz w:val="20"/>
          <w:szCs w:val="20"/>
        </w:rPr>
      </w:pPr>
    </w:p>
    <w:p w:rsidR="003C3B8C" w:rsidRPr="00B27C55" w:rsidRDefault="003C3B8C" w:rsidP="00945F75">
      <w:pPr>
        <w:autoSpaceDE w:val="0"/>
        <w:autoSpaceDN w:val="0"/>
        <w:adjustRightInd w:val="0"/>
        <w:spacing w:after="0"/>
        <w:rPr>
          <w:rFonts w:ascii="Helvetica" w:hAnsi="Helvetica" w:cs="Helvetica"/>
          <w:sz w:val="20"/>
          <w:szCs w:val="20"/>
        </w:rPr>
      </w:pPr>
    </w:p>
    <w:p w:rsidR="00E750CB" w:rsidRDefault="00783D1A" w:rsidP="00E750CB">
      <w:pPr>
        <w:pStyle w:val="Heading1"/>
      </w:pPr>
      <w:r>
        <w:t>About t</w:t>
      </w:r>
      <w:r w:rsidR="00E750CB">
        <w:t>he Australian Trucking Association (ATA)</w:t>
      </w:r>
    </w:p>
    <w:p w:rsidR="00E750CB" w:rsidRPr="00B27C55" w:rsidRDefault="00E750CB" w:rsidP="00945F75">
      <w:pPr>
        <w:autoSpaceDE w:val="0"/>
        <w:autoSpaceDN w:val="0"/>
        <w:adjustRightInd w:val="0"/>
        <w:spacing w:after="0"/>
        <w:rPr>
          <w:rFonts w:ascii="Arial" w:hAnsi="Arial" w:cs="Arial"/>
          <w:sz w:val="20"/>
          <w:szCs w:val="20"/>
        </w:rPr>
      </w:pPr>
    </w:p>
    <w:p w:rsidR="00C02807" w:rsidRPr="00B27C55" w:rsidRDefault="00E750CB" w:rsidP="00945F75">
      <w:pPr>
        <w:autoSpaceDE w:val="0"/>
        <w:autoSpaceDN w:val="0"/>
        <w:adjustRightInd w:val="0"/>
        <w:spacing w:after="0"/>
        <w:rPr>
          <w:rFonts w:ascii="Arial" w:hAnsi="Arial" w:cs="Arial"/>
          <w:sz w:val="20"/>
          <w:szCs w:val="20"/>
        </w:rPr>
      </w:pPr>
      <w:r w:rsidRPr="00B27C55">
        <w:rPr>
          <w:rFonts w:ascii="Arial" w:hAnsi="Arial" w:cs="Arial"/>
          <w:sz w:val="20"/>
          <w:szCs w:val="20"/>
        </w:rPr>
        <w:t>The Australian Trucking Association (ATA) is the peak body that represents the trucking industry. Its members include the state and sector-based trucking associations, some of the nation’s largest transport companies, and businesses with leading expertise in truck technology.</w:t>
      </w:r>
    </w:p>
    <w:p w:rsidR="00696E4A" w:rsidRPr="00B27C55" w:rsidRDefault="00696E4A" w:rsidP="00945F75">
      <w:pPr>
        <w:autoSpaceDE w:val="0"/>
        <w:autoSpaceDN w:val="0"/>
        <w:adjustRightInd w:val="0"/>
        <w:spacing w:after="0"/>
        <w:rPr>
          <w:rFonts w:ascii="Arial" w:hAnsi="Arial" w:cs="Arial"/>
          <w:sz w:val="20"/>
          <w:szCs w:val="20"/>
        </w:rPr>
      </w:pPr>
    </w:p>
    <w:p w:rsidR="003C3B8C" w:rsidRPr="00B27C55" w:rsidRDefault="003C3B8C" w:rsidP="00945F75">
      <w:pPr>
        <w:autoSpaceDE w:val="0"/>
        <w:autoSpaceDN w:val="0"/>
        <w:adjustRightInd w:val="0"/>
        <w:spacing w:after="0"/>
        <w:rPr>
          <w:rFonts w:ascii="Helvetica" w:hAnsi="Helvetica" w:cs="Helvetica"/>
          <w:sz w:val="20"/>
          <w:szCs w:val="20"/>
        </w:rPr>
      </w:pPr>
    </w:p>
    <w:p w:rsidR="00696E4A" w:rsidRDefault="00696E4A" w:rsidP="00696E4A">
      <w:pPr>
        <w:pStyle w:val="Heading1"/>
      </w:pPr>
      <w:r>
        <w:t>Recommendations</w:t>
      </w:r>
    </w:p>
    <w:p w:rsidR="00696E4A" w:rsidRPr="00B27C55" w:rsidRDefault="00696E4A" w:rsidP="00696E4A">
      <w:pPr>
        <w:autoSpaceDE w:val="0"/>
        <w:autoSpaceDN w:val="0"/>
        <w:adjustRightInd w:val="0"/>
        <w:spacing w:after="0"/>
        <w:rPr>
          <w:rFonts w:ascii="Arial" w:hAnsi="Arial" w:cs="Arial"/>
          <w:sz w:val="20"/>
          <w:szCs w:val="20"/>
        </w:rPr>
      </w:pPr>
    </w:p>
    <w:p w:rsidR="00E67CD9" w:rsidRPr="00B27C55" w:rsidRDefault="00696E4A" w:rsidP="00696E4A">
      <w:pPr>
        <w:autoSpaceDE w:val="0"/>
        <w:autoSpaceDN w:val="0"/>
        <w:adjustRightInd w:val="0"/>
        <w:spacing w:after="0"/>
        <w:rPr>
          <w:rFonts w:ascii="Arial" w:hAnsi="Arial" w:cs="Arial"/>
          <w:b/>
          <w:sz w:val="20"/>
          <w:szCs w:val="20"/>
        </w:rPr>
      </w:pPr>
      <w:r w:rsidRPr="00B27C55">
        <w:rPr>
          <w:rFonts w:ascii="Arial" w:hAnsi="Arial" w:cs="Arial"/>
          <w:b/>
          <w:sz w:val="20"/>
          <w:szCs w:val="20"/>
        </w:rPr>
        <w:t>Recommendation 1</w:t>
      </w:r>
      <w:r w:rsidR="003C3B8C" w:rsidRPr="00B27C55">
        <w:rPr>
          <w:rFonts w:ascii="Arial" w:hAnsi="Arial" w:cs="Arial"/>
          <w:b/>
          <w:sz w:val="20"/>
          <w:szCs w:val="20"/>
        </w:rPr>
        <w:t xml:space="preserve"> </w:t>
      </w:r>
    </w:p>
    <w:p w:rsidR="00E67CD9" w:rsidRPr="00B27C55" w:rsidRDefault="00E67CD9" w:rsidP="00696E4A">
      <w:pPr>
        <w:autoSpaceDE w:val="0"/>
        <w:autoSpaceDN w:val="0"/>
        <w:adjustRightInd w:val="0"/>
        <w:spacing w:after="0"/>
        <w:rPr>
          <w:rFonts w:ascii="Arial" w:hAnsi="Arial" w:cs="Arial"/>
          <w:sz w:val="20"/>
          <w:szCs w:val="20"/>
        </w:rPr>
      </w:pPr>
    </w:p>
    <w:p w:rsidR="00696E4A" w:rsidRPr="00B27C55" w:rsidRDefault="00696E4A" w:rsidP="00696E4A">
      <w:pPr>
        <w:autoSpaceDE w:val="0"/>
        <w:autoSpaceDN w:val="0"/>
        <w:adjustRightInd w:val="0"/>
        <w:spacing w:after="0"/>
        <w:rPr>
          <w:rFonts w:ascii="Arial" w:hAnsi="Arial" w:cs="Arial"/>
          <w:sz w:val="20"/>
          <w:szCs w:val="20"/>
        </w:rPr>
      </w:pPr>
      <w:r w:rsidRPr="00B27C55">
        <w:rPr>
          <w:rFonts w:ascii="Arial" w:hAnsi="Arial" w:cs="Arial"/>
          <w:sz w:val="20"/>
          <w:szCs w:val="20"/>
        </w:rPr>
        <w:t>The</w:t>
      </w:r>
      <w:r w:rsidR="00B93EA4" w:rsidRPr="00B27C55">
        <w:rPr>
          <w:rFonts w:ascii="Arial" w:hAnsi="Arial" w:cs="Arial"/>
          <w:sz w:val="20"/>
          <w:szCs w:val="20"/>
        </w:rPr>
        <w:t xml:space="preserve">re should be </w:t>
      </w:r>
      <w:r w:rsidRPr="00B27C55">
        <w:rPr>
          <w:rFonts w:ascii="Arial" w:hAnsi="Arial" w:cs="Arial"/>
          <w:sz w:val="20"/>
          <w:szCs w:val="20"/>
        </w:rPr>
        <w:t>consistency in regulations affecting the trucking industry across different local government jurisdictions.</w:t>
      </w:r>
    </w:p>
    <w:p w:rsidR="00696E4A" w:rsidRPr="00B27C55" w:rsidRDefault="00696E4A" w:rsidP="00696E4A">
      <w:pPr>
        <w:autoSpaceDE w:val="0"/>
        <w:autoSpaceDN w:val="0"/>
        <w:adjustRightInd w:val="0"/>
        <w:spacing w:after="0"/>
        <w:rPr>
          <w:rFonts w:ascii="Arial" w:hAnsi="Arial" w:cs="Arial"/>
          <w:sz w:val="20"/>
          <w:szCs w:val="20"/>
        </w:rPr>
      </w:pPr>
    </w:p>
    <w:p w:rsidR="00E67CD9" w:rsidRPr="00B27C55" w:rsidRDefault="00E67CD9" w:rsidP="00696E4A">
      <w:pPr>
        <w:autoSpaceDE w:val="0"/>
        <w:autoSpaceDN w:val="0"/>
        <w:adjustRightInd w:val="0"/>
        <w:spacing w:after="0"/>
        <w:rPr>
          <w:rFonts w:ascii="Arial" w:hAnsi="Arial" w:cs="Arial"/>
          <w:b/>
          <w:sz w:val="20"/>
          <w:szCs w:val="20"/>
        </w:rPr>
      </w:pPr>
      <w:r w:rsidRPr="00B27C55">
        <w:rPr>
          <w:rFonts w:ascii="Arial" w:hAnsi="Arial" w:cs="Arial"/>
          <w:b/>
          <w:sz w:val="20"/>
          <w:szCs w:val="20"/>
        </w:rPr>
        <w:t>Recommendation 2</w:t>
      </w:r>
    </w:p>
    <w:p w:rsidR="00E67CD9" w:rsidRPr="00B27C55" w:rsidRDefault="00E67CD9" w:rsidP="00696E4A">
      <w:pPr>
        <w:autoSpaceDE w:val="0"/>
        <w:autoSpaceDN w:val="0"/>
        <w:adjustRightInd w:val="0"/>
        <w:spacing w:after="0"/>
        <w:rPr>
          <w:rFonts w:ascii="Arial" w:hAnsi="Arial" w:cs="Arial"/>
          <w:sz w:val="20"/>
          <w:szCs w:val="20"/>
        </w:rPr>
      </w:pPr>
    </w:p>
    <w:p w:rsidR="00696E4A" w:rsidRPr="00B27C55" w:rsidRDefault="00696E4A" w:rsidP="00696E4A">
      <w:pPr>
        <w:autoSpaceDE w:val="0"/>
        <w:autoSpaceDN w:val="0"/>
        <w:adjustRightInd w:val="0"/>
        <w:spacing w:after="0"/>
        <w:rPr>
          <w:rFonts w:ascii="Arial" w:hAnsi="Arial" w:cs="Arial"/>
          <w:sz w:val="20"/>
          <w:szCs w:val="20"/>
        </w:rPr>
      </w:pPr>
      <w:r w:rsidRPr="00B27C55">
        <w:rPr>
          <w:rFonts w:ascii="Arial" w:hAnsi="Arial" w:cs="Arial"/>
          <w:sz w:val="20"/>
          <w:szCs w:val="20"/>
        </w:rPr>
        <w:t xml:space="preserve">Local governments should allow </w:t>
      </w:r>
      <w:r w:rsidR="00B27C55">
        <w:rPr>
          <w:rFonts w:ascii="Arial" w:hAnsi="Arial" w:cs="Arial"/>
          <w:sz w:val="20"/>
          <w:szCs w:val="20"/>
        </w:rPr>
        <w:t xml:space="preserve">more productive </w:t>
      </w:r>
      <w:r w:rsidRPr="00B27C55">
        <w:rPr>
          <w:rFonts w:ascii="Arial" w:hAnsi="Arial" w:cs="Arial"/>
          <w:sz w:val="20"/>
          <w:szCs w:val="20"/>
        </w:rPr>
        <w:t>heavy vehicles greater local road access and use.</w:t>
      </w:r>
    </w:p>
    <w:p w:rsidR="00696E4A" w:rsidRPr="00B27C55" w:rsidRDefault="00696E4A" w:rsidP="00696E4A">
      <w:pPr>
        <w:autoSpaceDE w:val="0"/>
        <w:autoSpaceDN w:val="0"/>
        <w:adjustRightInd w:val="0"/>
        <w:spacing w:after="0"/>
        <w:rPr>
          <w:rFonts w:ascii="Arial" w:hAnsi="Arial" w:cs="Arial"/>
          <w:sz w:val="20"/>
          <w:szCs w:val="20"/>
        </w:rPr>
      </w:pPr>
    </w:p>
    <w:p w:rsidR="00E67CD9" w:rsidRPr="00B27C55" w:rsidRDefault="00E67CD9" w:rsidP="00696E4A">
      <w:pPr>
        <w:autoSpaceDE w:val="0"/>
        <w:autoSpaceDN w:val="0"/>
        <w:adjustRightInd w:val="0"/>
        <w:spacing w:after="0"/>
        <w:rPr>
          <w:rFonts w:ascii="Arial" w:hAnsi="Arial" w:cs="Arial"/>
          <w:b/>
          <w:sz w:val="20"/>
          <w:szCs w:val="20"/>
        </w:rPr>
      </w:pPr>
      <w:r w:rsidRPr="00B27C55">
        <w:rPr>
          <w:rFonts w:ascii="Arial" w:hAnsi="Arial" w:cs="Arial"/>
          <w:b/>
          <w:sz w:val="20"/>
          <w:szCs w:val="20"/>
        </w:rPr>
        <w:t>Recommendation 3</w:t>
      </w:r>
    </w:p>
    <w:p w:rsidR="00E67CD9" w:rsidRPr="00B27C55" w:rsidRDefault="00E67CD9" w:rsidP="00696E4A">
      <w:pPr>
        <w:autoSpaceDE w:val="0"/>
        <w:autoSpaceDN w:val="0"/>
        <w:adjustRightInd w:val="0"/>
        <w:spacing w:after="0"/>
        <w:rPr>
          <w:rFonts w:ascii="Arial" w:hAnsi="Arial" w:cs="Arial"/>
          <w:sz w:val="20"/>
          <w:szCs w:val="20"/>
        </w:rPr>
      </w:pPr>
    </w:p>
    <w:p w:rsidR="00696E4A" w:rsidRPr="00B27C55" w:rsidRDefault="00696E4A" w:rsidP="00696E4A">
      <w:pPr>
        <w:autoSpaceDE w:val="0"/>
        <w:autoSpaceDN w:val="0"/>
        <w:adjustRightInd w:val="0"/>
        <w:spacing w:after="0"/>
        <w:rPr>
          <w:rFonts w:ascii="Arial" w:hAnsi="Arial" w:cs="Arial"/>
          <w:sz w:val="20"/>
          <w:szCs w:val="20"/>
        </w:rPr>
      </w:pPr>
      <w:r w:rsidRPr="00B27C55">
        <w:rPr>
          <w:rFonts w:ascii="Arial" w:hAnsi="Arial" w:cs="Arial"/>
          <w:sz w:val="20"/>
          <w:szCs w:val="20"/>
        </w:rPr>
        <w:t>Any local government decisions to restrict local road access or use</w:t>
      </w:r>
      <w:r w:rsidR="00422ADD" w:rsidRPr="00B27C55">
        <w:rPr>
          <w:rFonts w:ascii="Arial" w:hAnsi="Arial" w:cs="Arial"/>
          <w:sz w:val="20"/>
          <w:szCs w:val="20"/>
        </w:rPr>
        <w:t xml:space="preserve"> for</w:t>
      </w:r>
      <w:r w:rsidR="00B27C55">
        <w:rPr>
          <w:rFonts w:ascii="Arial" w:hAnsi="Arial" w:cs="Arial"/>
          <w:sz w:val="20"/>
          <w:szCs w:val="20"/>
        </w:rPr>
        <w:t xml:space="preserve"> more productive</w:t>
      </w:r>
      <w:r w:rsidR="00422ADD" w:rsidRPr="00B27C55">
        <w:rPr>
          <w:rFonts w:ascii="Arial" w:hAnsi="Arial" w:cs="Arial"/>
          <w:sz w:val="20"/>
          <w:szCs w:val="20"/>
        </w:rPr>
        <w:t xml:space="preserve"> heavy vehicles</w:t>
      </w:r>
      <w:r w:rsidRPr="00B27C55">
        <w:rPr>
          <w:rFonts w:ascii="Arial" w:hAnsi="Arial" w:cs="Arial"/>
          <w:sz w:val="20"/>
          <w:szCs w:val="20"/>
        </w:rPr>
        <w:t xml:space="preserve"> must be grounded in objective evidence, be fair and be consistent</w:t>
      </w:r>
      <w:r w:rsidR="00B27C55">
        <w:rPr>
          <w:rFonts w:ascii="Arial" w:hAnsi="Arial" w:cs="Arial"/>
          <w:sz w:val="20"/>
          <w:szCs w:val="20"/>
        </w:rPr>
        <w:t xml:space="preserve"> in the interests of the trucking industry and the wider community</w:t>
      </w:r>
      <w:r w:rsidRPr="00B27C55">
        <w:rPr>
          <w:rFonts w:ascii="Arial" w:hAnsi="Arial" w:cs="Arial"/>
          <w:sz w:val="20"/>
          <w:szCs w:val="20"/>
        </w:rPr>
        <w:t xml:space="preserve">. </w:t>
      </w:r>
    </w:p>
    <w:p w:rsidR="00696E4A" w:rsidRPr="00B27C55" w:rsidRDefault="00696E4A" w:rsidP="00696E4A">
      <w:pPr>
        <w:autoSpaceDE w:val="0"/>
        <w:autoSpaceDN w:val="0"/>
        <w:adjustRightInd w:val="0"/>
        <w:spacing w:after="0"/>
        <w:rPr>
          <w:rFonts w:ascii="Arial" w:hAnsi="Arial" w:cs="Arial"/>
          <w:sz w:val="20"/>
          <w:szCs w:val="20"/>
        </w:rPr>
      </w:pPr>
    </w:p>
    <w:p w:rsidR="00E67CD9" w:rsidRPr="00B27C55" w:rsidRDefault="00730710" w:rsidP="00696E4A">
      <w:pPr>
        <w:autoSpaceDE w:val="0"/>
        <w:autoSpaceDN w:val="0"/>
        <w:adjustRightInd w:val="0"/>
        <w:spacing w:after="0"/>
        <w:rPr>
          <w:rFonts w:ascii="Arial" w:hAnsi="Arial" w:cs="Arial"/>
          <w:b/>
          <w:sz w:val="20"/>
          <w:szCs w:val="20"/>
        </w:rPr>
      </w:pPr>
      <w:r>
        <w:rPr>
          <w:rFonts w:ascii="Arial" w:hAnsi="Arial" w:cs="Arial"/>
          <w:b/>
          <w:sz w:val="20"/>
          <w:szCs w:val="20"/>
        </w:rPr>
        <w:t>Recommendation 4</w:t>
      </w:r>
    </w:p>
    <w:p w:rsidR="00E67CD9" w:rsidRDefault="00E67CD9" w:rsidP="00696E4A">
      <w:pPr>
        <w:autoSpaceDE w:val="0"/>
        <w:autoSpaceDN w:val="0"/>
        <w:adjustRightInd w:val="0"/>
        <w:spacing w:after="0"/>
        <w:rPr>
          <w:rFonts w:ascii="Arial" w:hAnsi="Arial" w:cs="Arial"/>
          <w:sz w:val="20"/>
          <w:szCs w:val="20"/>
        </w:rPr>
      </w:pPr>
    </w:p>
    <w:p w:rsidR="00F00A6F" w:rsidRDefault="00F00A6F" w:rsidP="00696E4A">
      <w:pPr>
        <w:autoSpaceDE w:val="0"/>
        <w:autoSpaceDN w:val="0"/>
        <w:adjustRightInd w:val="0"/>
        <w:spacing w:after="0"/>
        <w:rPr>
          <w:rFonts w:ascii="Arial" w:hAnsi="Arial" w:cs="Arial"/>
          <w:sz w:val="20"/>
          <w:szCs w:val="20"/>
        </w:rPr>
      </w:pPr>
      <w:r w:rsidRPr="009B4329">
        <w:rPr>
          <w:rFonts w:ascii="Arial" w:hAnsi="Arial" w:cs="Arial"/>
          <w:sz w:val="20"/>
          <w:szCs w:val="20"/>
        </w:rPr>
        <w:t>Engineering assessment costs imposed by local governments for local road access and use must be reasonable.</w:t>
      </w:r>
    </w:p>
    <w:p w:rsidR="00F00A6F" w:rsidRDefault="00F00A6F" w:rsidP="00696E4A">
      <w:pPr>
        <w:autoSpaceDE w:val="0"/>
        <w:autoSpaceDN w:val="0"/>
        <w:adjustRightInd w:val="0"/>
        <w:spacing w:after="0"/>
        <w:rPr>
          <w:rFonts w:ascii="Arial" w:hAnsi="Arial" w:cs="Arial"/>
          <w:sz w:val="20"/>
          <w:szCs w:val="20"/>
        </w:rPr>
      </w:pPr>
    </w:p>
    <w:p w:rsidR="00F00A6F" w:rsidRPr="00F00A6F" w:rsidRDefault="00F00A6F" w:rsidP="00696E4A">
      <w:pPr>
        <w:autoSpaceDE w:val="0"/>
        <w:autoSpaceDN w:val="0"/>
        <w:adjustRightInd w:val="0"/>
        <w:spacing w:after="0"/>
        <w:rPr>
          <w:rFonts w:ascii="Arial" w:hAnsi="Arial" w:cs="Arial"/>
          <w:b/>
          <w:sz w:val="20"/>
          <w:szCs w:val="20"/>
        </w:rPr>
      </w:pPr>
      <w:r>
        <w:rPr>
          <w:rFonts w:ascii="Arial" w:hAnsi="Arial" w:cs="Arial"/>
          <w:b/>
          <w:sz w:val="20"/>
          <w:szCs w:val="20"/>
        </w:rPr>
        <w:t>Recommendation 5</w:t>
      </w:r>
    </w:p>
    <w:p w:rsidR="00F00A6F" w:rsidRPr="00B27C55" w:rsidRDefault="00F00A6F" w:rsidP="00696E4A">
      <w:pPr>
        <w:autoSpaceDE w:val="0"/>
        <w:autoSpaceDN w:val="0"/>
        <w:adjustRightInd w:val="0"/>
        <w:spacing w:after="0"/>
        <w:rPr>
          <w:rFonts w:ascii="Arial" w:hAnsi="Arial" w:cs="Arial"/>
          <w:sz w:val="20"/>
          <w:szCs w:val="20"/>
        </w:rPr>
      </w:pPr>
    </w:p>
    <w:p w:rsidR="00696E4A" w:rsidRPr="00B27C55" w:rsidRDefault="00696E4A" w:rsidP="00696E4A">
      <w:pPr>
        <w:autoSpaceDE w:val="0"/>
        <w:autoSpaceDN w:val="0"/>
        <w:adjustRightInd w:val="0"/>
        <w:spacing w:after="0"/>
        <w:rPr>
          <w:rFonts w:ascii="Arial" w:hAnsi="Arial" w:cs="Arial"/>
          <w:sz w:val="20"/>
          <w:szCs w:val="20"/>
        </w:rPr>
      </w:pPr>
      <w:r w:rsidRPr="00B27C55">
        <w:rPr>
          <w:rFonts w:ascii="Arial" w:hAnsi="Arial" w:cs="Arial"/>
          <w:sz w:val="20"/>
          <w:szCs w:val="20"/>
        </w:rPr>
        <w:t>Local governments need</w:t>
      </w:r>
      <w:r w:rsidR="00FA5B15">
        <w:rPr>
          <w:rFonts w:ascii="Arial" w:hAnsi="Arial" w:cs="Arial"/>
          <w:sz w:val="20"/>
          <w:szCs w:val="20"/>
        </w:rPr>
        <w:t xml:space="preserve"> to</w:t>
      </w:r>
      <w:r w:rsidRPr="00B27C55">
        <w:rPr>
          <w:rFonts w:ascii="Arial" w:hAnsi="Arial" w:cs="Arial"/>
          <w:sz w:val="20"/>
          <w:szCs w:val="20"/>
        </w:rPr>
        <w:t xml:space="preserve"> </w:t>
      </w:r>
      <w:r w:rsidR="00730710">
        <w:rPr>
          <w:rFonts w:ascii="Arial" w:hAnsi="Arial" w:cs="Arial"/>
          <w:sz w:val="20"/>
          <w:szCs w:val="20"/>
        </w:rPr>
        <w:t xml:space="preserve">improve </w:t>
      </w:r>
      <w:r w:rsidR="00FA5B15">
        <w:rPr>
          <w:rFonts w:ascii="Arial" w:hAnsi="Arial" w:cs="Arial"/>
          <w:sz w:val="20"/>
          <w:szCs w:val="20"/>
        </w:rPr>
        <w:t>their</w:t>
      </w:r>
      <w:r w:rsidR="00730710">
        <w:rPr>
          <w:rFonts w:ascii="Arial" w:hAnsi="Arial" w:cs="Arial"/>
          <w:sz w:val="20"/>
          <w:szCs w:val="20"/>
        </w:rPr>
        <w:t xml:space="preserve"> efficienc</w:t>
      </w:r>
      <w:r w:rsidR="00FA5B15">
        <w:rPr>
          <w:rFonts w:ascii="Arial" w:hAnsi="Arial" w:cs="Arial"/>
          <w:sz w:val="20"/>
          <w:szCs w:val="20"/>
        </w:rPr>
        <w:t>y</w:t>
      </w:r>
      <w:r w:rsidR="00730710">
        <w:rPr>
          <w:rFonts w:ascii="Arial" w:hAnsi="Arial" w:cs="Arial"/>
          <w:sz w:val="20"/>
          <w:szCs w:val="20"/>
        </w:rPr>
        <w:t xml:space="preserve"> and due-diligence</w:t>
      </w:r>
      <w:r w:rsidRPr="00B27C55">
        <w:rPr>
          <w:rFonts w:ascii="Arial" w:hAnsi="Arial" w:cs="Arial"/>
          <w:sz w:val="20"/>
          <w:szCs w:val="20"/>
        </w:rPr>
        <w:t xml:space="preserve"> when processing applications</w:t>
      </w:r>
      <w:r w:rsidR="00B93EA4" w:rsidRPr="00B27C55">
        <w:rPr>
          <w:rFonts w:ascii="Arial" w:hAnsi="Arial" w:cs="Arial"/>
          <w:sz w:val="20"/>
          <w:szCs w:val="20"/>
        </w:rPr>
        <w:t xml:space="preserve"> for local road access and use</w:t>
      </w:r>
      <w:r w:rsidR="00422ADD" w:rsidRPr="00B27C55">
        <w:rPr>
          <w:rFonts w:ascii="Arial" w:hAnsi="Arial" w:cs="Arial"/>
          <w:sz w:val="20"/>
          <w:szCs w:val="20"/>
        </w:rPr>
        <w:t xml:space="preserve"> for heavy vehicles</w:t>
      </w:r>
      <w:r w:rsidRPr="00B27C55">
        <w:rPr>
          <w:rFonts w:ascii="Arial" w:hAnsi="Arial" w:cs="Arial"/>
          <w:sz w:val="20"/>
          <w:szCs w:val="20"/>
        </w:rPr>
        <w:t>.</w:t>
      </w:r>
    </w:p>
    <w:p w:rsidR="00B27C55" w:rsidRDefault="00B27C55" w:rsidP="00696E4A">
      <w:pPr>
        <w:autoSpaceDE w:val="0"/>
        <w:autoSpaceDN w:val="0"/>
        <w:adjustRightInd w:val="0"/>
        <w:spacing w:after="0"/>
        <w:rPr>
          <w:rFonts w:ascii="Helvetica" w:hAnsi="Helvetica" w:cs="Helvetica"/>
        </w:rPr>
      </w:pPr>
    </w:p>
    <w:p w:rsidR="00F00A6F" w:rsidRPr="00E67CD9" w:rsidRDefault="00F00A6F" w:rsidP="00696E4A">
      <w:pPr>
        <w:autoSpaceDE w:val="0"/>
        <w:autoSpaceDN w:val="0"/>
        <w:adjustRightInd w:val="0"/>
        <w:spacing w:after="0"/>
        <w:rPr>
          <w:rFonts w:ascii="Helvetica" w:hAnsi="Helvetica" w:cs="Helvetica"/>
        </w:rPr>
      </w:pPr>
    </w:p>
    <w:p w:rsidR="00E67CD9" w:rsidRPr="00B27C55" w:rsidRDefault="00730710" w:rsidP="00696E4A">
      <w:pPr>
        <w:autoSpaceDE w:val="0"/>
        <w:autoSpaceDN w:val="0"/>
        <w:adjustRightInd w:val="0"/>
        <w:spacing w:after="0"/>
        <w:rPr>
          <w:rFonts w:ascii="Arial" w:hAnsi="Arial" w:cs="Arial"/>
          <w:b/>
          <w:sz w:val="20"/>
          <w:szCs w:val="20"/>
        </w:rPr>
      </w:pPr>
      <w:r>
        <w:rPr>
          <w:rFonts w:ascii="Arial" w:hAnsi="Arial" w:cs="Arial"/>
          <w:b/>
          <w:sz w:val="20"/>
          <w:szCs w:val="20"/>
        </w:rPr>
        <w:lastRenderedPageBreak/>
        <w:t xml:space="preserve">Recommendation </w:t>
      </w:r>
      <w:r w:rsidR="00F00A6F">
        <w:rPr>
          <w:rFonts w:ascii="Arial" w:hAnsi="Arial" w:cs="Arial"/>
          <w:b/>
          <w:sz w:val="20"/>
          <w:szCs w:val="20"/>
        </w:rPr>
        <w:t>6</w:t>
      </w:r>
    </w:p>
    <w:p w:rsidR="00E67CD9" w:rsidRPr="00B27C55" w:rsidRDefault="00E67CD9" w:rsidP="00696E4A">
      <w:pPr>
        <w:autoSpaceDE w:val="0"/>
        <w:autoSpaceDN w:val="0"/>
        <w:adjustRightInd w:val="0"/>
        <w:spacing w:after="0"/>
        <w:rPr>
          <w:rFonts w:ascii="Arial" w:hAnsi="Arial" w:cs="Arial"/>
          <w:sz w:val="20"/>
          <w:szCs w:val="20"/>
        </w:rPr>
      </w:pPr>
    </w:p>
    <w:p w:rsidR="00696E4A" w:rsidRPr="00B27C55" w:rsidRDefault="00696E4A" w:rsidP="00696E4A">
      <w:pPr>
        <w:autoSpaceDE w:val="0"/>
        <w:autoSpaceDN w:val="0"/>
        <w:adjustRightInd w:val="0"/>
        <w:spacing w:after="0"/>
        <w:rPr>
          <w:rFonts w:ascii="Arial" w:hAnsi="Arial" w:cs="Arial"/>
          <w:sz w:val="20"/>
          <w:szCs w:val="20"/>
        </w:rPr>
      </w:pPr>
      <w:r w:rsidRPr="00B27C55">
        <w:rPr>
          <w:rFonts w:ascii="Arial" w:hAnsi="Arial" w:cs="Arial"/>
          <w:sz w:val="20"/>
          <w:szCs w:val="20"/>
        </w:rPr>
        <w:t xml:space="preserve">Local governments </w:t>
      </w:r>
      <w:r w:rsidR="00730710">
        <w:rPr>
          <w:rFonts w:ascii="Arial" w:hAnsi="Arial" w:cs="Arial"/>
          <w:sz w:val="20"/>
          <w:szCs w:val="20"/>
        </w:rPr>
        <w:t>must</w:t>
      </w:r>
      <w:r w:rsidRPr="00B27C55">
        <w:rPr>
          <w:rFonts w:ascii="Arial" w:hAnsi="Arial" w:cs="Arial"/>
          <w:sz w:val="20"/>
          <w:szCs w:val="20"/>
        </w:rPr>
        <w:t xml:space="preserve"> be required to provide a statement of reasons </w:t>
      </w:r>
      <w:r w:rsidR="00B93EA4" w:rsidRPr="00B27C55">
        <w:rPr>
          <w:rFonts w:ascii="Arial" w:hAnsi="Arial" w:cs="Arial"/>
          <w:sz w:val="20"/>
          <w:szCs w:val="20"/>
        </w:rPr>
        <w:t>for any</w:t>
      </w:r>
      <w:r w:rsidRPr="00B27C55">
        <w:rPr>
          <w:rFonts w:ascii="Arial" w:hAnsi="Arial" w:cs="Arial"/>
          <w:sz w:val="20"/>
          <w:szCs w:val="20"/>
        </w:rPr>
        <w:t xml:space="preserve"> adverse decisions on applications</w:t>
      </w:r>
      <w:r w:rsidR="00B93EA4" w:rsidRPr="00B27C55">
        <w:rPr>
          <w:rFonts w:ascii="Arial" w:hAnsi="Arial" w:cs="Arial"/>
          <w:sz w:val="20"/>
          <w:szCs w:val="20"/>
        </w:rPr>
        <w:t xml:space="preserve"> for local road access and use</w:t>
      </w:r>
      <w:r w:rsidR="00422ADD" w:rsidRPr="00B27C55">
        <w:rPr>
          <w:rFonts w:ascii="Arial" w:hAnsi="Arial" w:cs="Arial"/>
          <w:sz w:val="20"/>
          <w:szCs w:val="20"/>
        </w:rPr>
        <w:t xml:space="preserve"> for heavy vehicles</w:t>
      </w:r>
      <w:r w:rsidR="00730710">
        <w:rPr>
          <w:rFonts w:ascii="Arial" w:hAnsi="Arial" w:cs="Arial"/>
          <w:sz w:val="20"/>
          <w:szCs w:val="20"/>
        </w:rPr>
        <w:t xml:space="preserve">, and local government decisions must be subject to external review options in order to </w:t>
      </w:r>
      <w:r w:rsidR="00730710" w:rsidRPr="00B27C55">
        <w:rPr>
          <w:rFonts w:ascii="Arial" w:hAnsi="Arial" w:cs="Arial"/>
          <w:sz w:val="20"/>
          <w:szCs w:val="20"/>
        </w:rPr>
        <w:t xml:space="preserve">improve accountability and ensure </w:t>
      </w:r>
      <w:r w:rsidR="00FA5B15">
        <w:rPr>
          <w:rFonts w:ascii="Arial" w:hAnsi="Arial" w:cs="Arial"/>
          <w:sz w:val="20"/>
          <w:szCs w:val="20"/>
        </w:rPr>
        <w:t>good</w:t>
      </w:r>
      <w:r w:rsidR="00730710" w:rsidRPr="00B27C55">
        <w:rPr>
          <w:rFonts w:ascii="Arial" w:hAnsi="Arial" w:cs="Arial"/>
          <w:sz w:val="20"/>
          <w:szCs w:val="20"/>
        </w:rPr>
        <w:t xml:space="preserve"> decision-making</w:t>
      </w:r>
      <w:r w:rsidRPr="00B27C55">
        <w:rPr>
          <w:rFonts w:ascii="Arial" w:hAnsi="Arial" w:cs="Arial"/>
          <w:sz w:val="20"/>
          <w:szCs w:val="20"/>
        </w:rPr>
        <w:t>.</w:t>
      </w:r>
    </w:p>
    <w:p w:rsidR="00696E4A" w:rsidRDefault="00696E4A" w:rsidP="00696E4A">
      <w:pPr>
        <w:autoSpaceDE w:val="0"/>
        <w:autoSpaceDN w:val="0"/>
        <w:adjustRightInd w:val="0"/>
        <w:spacing w:after="0"/>
        <w:rPr>
          <w:rFonts w:ascii="Arial" w:hAnsi="Arial" w:cs="Arial"/>
          <w:sz w:val="20"/>
          <w:szCs w:val="20"/>
        </w:rPr>
      </w:pPr>
    </w:p>
    <w:p w:rsidR="00E67CD9" w:rsidRPr="00B27C55" w:rsidRDefault="00730710" w:rsidP="00696E4A">
      <w:pPr>
        <w:autoSpaceDE w:val="0"/>
        <w:autoSpaceDN w:val="0"/>
        <w:adjustRightInd w:val="0"/>
        <w:spacing w:after="0"/>
        <w:rPr>
          <w:rFonts w:ascii="Arial" w:hAnsi="Arial" w:cs="Arial"/>
          <w:b/>
          <w:sz w:val="20"/>
          <w:szCs w:val="20"/>
        </w:rPr>
      </w:pPr>
      <w:r>
        <w:rPr>
          <w:rFonts w:ascii="Arial" w:hAnsi="Arial" w:cs="Arial"/>
          <w:b/>
          <w:sz w:val="20"/>
          <w:szCs w:val="20"/>
        </w:rPr>
        <w:t xml:space="preserve">Recommendation </w:t>
      </w:r>
      <w:r w:rsidR="00F00A6F">
        <w:rPr>
          <w:rFonts w:ascii="Arial" w:hAnsi="Arial" w:cs="Arial"/>
          <w:b/>
          <w:sz w:val="20"/>
          <w:szCs w:val="20"/>
        </w:rPr>
        <w:t>7</w:t>
      </w:r>
    </w:p>
    <w:p w:rsidR="00E67CD9" w:rsidRPr="00B27C55" w:rsidRDefault="00E67CD9" w:rsidP="00696E4A">
      <w:pPr>
        <w:autoSpaceDE w:val="0"/>
        <w:autoSpaceDN w:val="0"/>
        <w:adjustRightInd w:val="0"/>
        <w:spacing w:after="0"/>
        <w:rPr>
          <w:rFonts w:ascii="Arial" w:hAnsi="Arial" w:cs="Arial"/>
          <w:sz w:val="20"/>
          <w:szCs w:val="20"/>
        </w:rPr>
      </w:pPr>
    </w:p>
    <w:p w:rsidR="00696E4A" w:rsidRPr="00B27C55" w:rsidRDefault="00B93EA4" w:rsidP="00696E4A">
      <w:pPr>
        <w:autoSpaceDE w:val="0"/>
        <w:autoSpaceDN w:val="0"/>
        <w:adjustRightInd w:val="0"/>
        <w:spacing w:after="0"/>
        <w:rPr>
          <w:rFonts w:ascii="Arial" w:hAnsi="Arial" w:cs="Arial"/>
          <w:sz w:val="20"/>
          <w:szCs w:val="20"/>
        </w:rPr>
      </w:pPr>
      <w:r w:rsidRPr="00B27C55">
        <w:rPr>
          <w:rFonts w:ascii="Arial" w:hAnsi="Arial" w:cs="Arial"/>
          <w:sz w:val="20"/>
          <w:szCs w:val="20"/>
        </w:rPr>
        <w:t>Local g</w:t>
      </w:r>
      <w:r w:rsidR="00696E4A" w:rsidRPr="00B27C55">
        <w:rPr>
          <w:rFonts w:ascii="Arial" w:hAnsi="Arial" w:cs="Arial"/>
          <w:sz w:val="20"/>
          <w:szCs w:val="20"/>
        </w:rPr>
        <w:t>overnments need to ensure that PBS mapping is kept up-to-date.</w:t>
      </w:r>
    </w:p>
    <w:p w:rsidR="00696E4A" w:rsidRPr="00B27C55" w:rsidRDefault="00696E4A" w:rsidP="00696E4A">
      <w:pPr>
        <w:autoSpaceDE w:val="0"/>
        <w:autoSpaceDN w:val="0"/>
        <w:adjustRightInd w:val="0"/>
        <w:spacing w:after="0"/>
        <w:rPr>
          <w:rFonts w:ascii="Arial" w:hAnsi="Arial" w:cs="Arial"/>
          <w:sz w:val="20"/>
          <w:szCs w:val="20"/>
        </w:rPr>
      </w:pPr>
    </w:p>
    <w:p w:rsidR="00E67CD9" w:rsidRPr="00B27C55" w:rsidRDefault="00730710" w:rsidP="00696E4A">
      <w:pPr>
        <w:autoSpaceDE w:val="0"/>
        <w:autoSpaceDN w:val="0"/>
        <w:adjustRightInd w:val="0"/>
        <w:spacing w:after="0"/>
        <w:rPr>
          <w:rFonts w:ascii="Arial" w:hAnsi="Arial" w:cs="Arial"/>
          <w:b/>
          <w:sz w:val="20"/>
          <w:szCs w:val="20"/>
        </w:rPr>
      </w:pPr>
      <w:r>
        <w:rPr>
          <w:rFonts w:ascii="Arial" w:hAnsi="Arial" w:cs="Arial"/>
          <w:b/>
          <w:sz w:val="20"/>
          <w:szCs w:val="20"/>
        </w:rPr>
        <w:t xml:space="preserve">Recommendation </w:t>
      </w:r>
      <w:r w:rsidR="00F00A6F">
        <w:rPr>
          <w:rFonts w:ascii="Arial" w:hAnsi="Arial" w:cs="Arial"/>
          <w:b/>
          <w:sz w:val="20"/>
          <w:szCs w:val="20"/>
        </w:rPr>
        <w:t>8</w:t>
      </w:r>
    </w:p>
    <w:p w:rsidR="00E67CD9" w:rsidRPr="00B27C55" w:rsidRDefault="00E67CD9" w:rsidP="00696E4A">
      <w:pPr>
        <w:autoSpaceDE w:val="0"/>
        <w:autoSpaceDN w:val="0"/>
        <w:adjustRightInd w:val="0"/>
        <w:spacing w:after="0"/>
        <w:rPr>
          <w:rFonts w:ascii="Arial" w:hAnsi="Arial" w:cs="Arial"/>
          <w:sz w:val="20"/>
          <w:szCs w:val="20"/>
        </w:rPr>
      </w:pPr>
    </w:p>
    <w:p w:rsidR="00696E4A" w:rsidRPr="00B27C55" w:rsidRDefault="00696E4A" w:rsidP="00696E4A">
      <w:pPr>
        <w:autoSpaceDE w:val="0"/>
        <w:autoSpaceDN w:val="0"/>
        <w:adjustRightInd w:val="0"/>
        <w:spacing w:after="0"/>
        <w:rPr>
          <w:rFonts w:ascii="Arial" w:hAnsi="Arial" w:cs="Arial"/>
          <w:sz w:val="20"/>
          <w:szCs w:val="20"/>
        </w:rPr>
      </w:pPr>
      <w:r w:rsidRPr="00B27C55">
        <w:rPr>
          <w:rFonts w:ascii="Arial" w:hAnsi="Arial" w:cs="Arial"/>
          <w:sz w:val="20"/>
          <w:szCs w:val="20"/>
        </w:rPr>
        <w:t>Local governments should encourage engagement and interaction with the</w:t>
      </w:r>
      <w:r w:rsidR="00422ADD" w:rsidRPr="00B27C55">
        <w:rPr>
          <w:rFonts w:ascii="Arial" w:hAnsi="Arial" w:cs="Arial"/>
          <w:sz w:val="20"/>
          <w:szCs w:val="20"/>
        </w:rPr>
        <w:t xml:space="preserve"> trucking</w:t>
      </w:r>
      <w:r w:rsidRPr="00B27C55">
        <w:rPr>
          <w:rFonts w:ascii="Arial" w:hAnsi="Arial" w:cs="Arial"/>
          <w:sz w:val="20"/>
          <w:szCs w:val="20"/>
        </w:rPr>
        <w:t xml:space="preserve"> industry.</w:t>
      </w:r>
    </w:p>
    <w:p w:rsidR="00696E4A" w:rsidRPr="00B27C55" w:rsidRDefault="00696E4A" w:rsidP="00696E4A">
      <w:pPr>
        <w:autoSpaceDE w:val="0"/>
        <w:autoSpaceDN w:val="0"/>
        <w:adjustRightInd w:val="0"/>
        <w:spacing w:after="0"/>
        <w:rPr>
          <w:rFonts w:ascii="Arial" w:hAnsi="Arial" w:cs="Arial"/>
          <w:sz w:val="20"/>
          <w:szCs w:val="20"/>
        </w:rPr>
      </w:pPr>
    </w:p>
    <w:p w:rsidR="003C3B8C" w:rsidRPr="00B27C55" w:rsidRDefault="003C3B8C" w:rsidP="00696E4A">
      <w:pPr>
        <w:autoSpaceDE w:val="0"/>
        <w:autoSpaceDN w:val="0"/>
        <w:adjustRightInd w:val="0"/>
        <w:spacing w:after="0"/>
        <w:rPr>
          <w:rFonts w:ascii="Arial" w:hAnsi="Arial" w:cs="Arial"/>
          <w:sz w:val="20"/>
          <w:szCs w:val="20"/>
        </w:rPr>
      </w:pPr>
    </w:p>
    <w:p w:rsidR="00E750CB" w:rsidRDefault="00A11CF6" w:rsidP="00E750CB">
      <w:pPr>
        <w:pStyle w:val="Heading1"/>
      </w:pPr>
      <w:r>
        <w:t xml:space="preserve">Overview of </w:t>
      </w:r>
      <w:r w:rsidR="00E750CB">
        <w:t>Impacts of Local Government Regulation</w:t>
      </w:r>
    </w:p>
    <w:p w:rsidR="00C5408E" w:rsidRPr="00B27C55" w:rsidRDefault="00C5408E" w:rsidP="00C5408E">
      <w:pPr>
        <w:autoSpaceDE w:val="0"/>
        <w:autoSpaceDN w:val="0"/>
        <w:adjustRightInd w:val="0"/>
        <w:spacing w:after="0"/>
        <w:rPr>
          <w:rFonts w:ascii="Arial" w:hAnsi="Arial" w:cs="Arial"/>
          <w:sz w:val="20"/>
          <w:szCs w:val="20"/>
        </w:rPr>
      </w:pPr>
    </w:p>
    <w:p w:rsidR="00C5408E" w:rsidRPr="00B27C55" w:rsidRDefault="00C5408E" w:rsidP="00C5408E">
      <w:pPr>
        <w:autoSpaceDE w:val="0"/>
        <w:autoSpaceDN w:val="0"/>
        <w:adjustRightInd w:val="0"/>
        <w:spacing w:after="0"/>
        <w:rPr>
          <w:rFonts w:ascii="Arial" w:hAnsi="Arial" w:cs="Arial"/>
          <w:sz w:val="20"/>
          <w:szCs w:val="20"/>
        </w:rPr>
      </w:pPr>
      <w:r w:rsidRPr="00B27C55">
        <w:rPr>
          <w:rFonts w:ascii="Arial" w:hAnsi="Arial" w:cs="Arial"/>
          <w:sz w:val="20"/>
          <w:szCs w:val="20"/>
        </w:rPr>
        <w:t>Australian businesses are heavily dependent on the road network fo</w:t>
      </w:r>
      <w:r w:rsidR="00316CE1" w:rsidRPr="00B27C55">
        <w:rPr>
          <w:rFonts w:ascii="Arial" w:hAnsi="Arial" w:cs="Arial"/>
          <w:sz w:val="20"/>
          <w:szCs w:val="20"/>
        </w:rPr>
        <w:t>r delivering to their customer b</w:t>
      </w:r>
      <w:r w:rsidRPr="00B27C55">
        <w:rPr>
          <w:rFonts w:ascii="Arial" w:hAnsi="Arial" w:cs="Arial"/>
          <w:sz w:val="20"/>
          <w:szCs w:val="20"/>
        </w:rPr>
        <w:t>ase and for the receipt and dispatch of goods. With Australia’s freight task estimated to triple between 2008 and 2050, this dependence on road transport is likely to increase and place more demands on the road network (PriceWaterhouseCoopers,</w:t>
      </w:r>
      <w:r w:rsidR="00940E30" w:rsidRPr="00B27C55">
        <w:rPr>
          <w:rFonts w:ascii="Arial" w:hAnsi="Arial" w:cs="Arial"/>
          <w:sz w:val="20"/>
          <w:szCs w:val="20"/>
        </w:rPr>
        <w:t xml:space="preserve"> 2009). Thus, the accessibility and quality of the road network from origin to destination is critical to the performance of freight vehicles. Access constraints can impact on the efficiency of the entire supply chain and the economic productivity of freight industries and their customers</w:t>
      </w:r>
      <w:r w:rsidR="003A34A3" w:rsidRPr="00B27C55">
        <w:rPr>
          <w:rFonts w:ascii="Arial" w:hAnsi="Arial" w:cs="Arial"/>
          <w:sz w:val="20"/>
          <w:szCs w:val="20"/>
        </w:rPr>
        <w:t xml:space="preserve"> (Australian Government Productivity Commission, 2012)</w:t>
      </w:r>
      <w:r w:rsidR="00940E30" w:rsidRPr="00B27C55">
        <w:rPr>
          <w:rFonts w:ascii="Arial" w:hAnsi="Arial" w:cs="Arial"/>
          <w:sz w:val="20"/>
          <w:szCs w:val="20"/>
        </w:rPr>
        <w:t>.</w:t>
      </w:r>
    </w:p>
    <w:p w:rsidR="00E750CB" w:rsidRPr="00B27C55" w:rsidRDefault="00E750CB" w:rsidP="00945F75">
      <w:pPr>
        <w:autoSpaceDE w:val="0"/>
        <w:autoSpaceDN w:val="0"/>
        <w:adjustRightInd w:val="0"/>
        <w:spacing w:after="0"/>
        <w:rPr>
          <w:rFonts w:ascii="Arial" w:hAnsi="Arial" w:cs="Arial"/>
          <w:sz w:val="20"/>
          <w:szCs w:val="20"/>
        </w:rPr>
      </w:pPr>
    </w:p>
    <w:p w:rsidR="00C5408E" w:rsidRPr="00B27C55" w:rsidRDefault="00F01435" w:rsidP="00945F75">
      <w:pPr>
        <w:autoSpaceDE w:val="0"/>
        <w:autoSpaceDN w:val="0"/>
        <w:adjustRightInd w:val="0"/>
        <w:spacing w:after="0"/>
        <w:rPr>
          <w:rFonts w:ascii="Arial" w:hAnsi="Arial" w:cs="Arial"/>
          <w:sz w:val="20"/>
          <w:szCs w:val="20"/>
        </w:rPr>
      </w:pPr>
      <w:r w:rsidRPr="00B27C55">
        <w:rPr>
          <w:rFonts w:ascii="Arial" w:hAnsi="Arial" w:cs="Arial"/>
          <w:sz w:val="20"/>
          <w:szCs w:val="20"/>
        </w:rPr>
        <w:t xml:space="preserve">Local governments own and manage around 80 percent of Australia’s total road network. </w:t>
      </w:r>
      <w:r w:rsidR="00316CE1" w:rsidRPr="00B27C55">
        <w:rPr>
          <w:rFonts w:ascii="Arial" w:hAnsi="Arial" w:cs="Arial"/>
          <w:sz w:val="20"/>
          <w:szCs w:val="20"/>
        </w:rPr>
        <w:t>Local governments are able to declare certain roads or bridges inaccessible to particular vehicle types</w:t>
      </w:r>
      <w:r w:rsidR="00730710">
        <w:rPr>
          <w:rFonts w:ascii="Arial" w:hAnsi="Arial" w:cs="Arial"/>
          <w:sz w:val="20"/>
          <w:szCs w:val="20"/>
        </w:rPr>
        <w:t>, or place restrictions or conditions on access and use</w:t>
      </w:r>
      <w:r w:rsidR="00984C88">
        <w:rPr>
          <w:rFonts w:ascii="Arial" w:hAnsi="Arial" w:cs="Arial"/>
          <w:sz w:val="20"/>
          <w:szCs w:val="20"/>
        </w:rPr>
        <w:t xml:space="preserve"> (including parking)</w:t>
      </w:r>
      <w:r w:rsidR="00316CE1" w:rsidRPr="00B27C55">
        <w:rPr>
          <w:rFonts w:ascii="Arial" w:hAnsi="Arial" w:cs="Arial"/>
          <w:sz w:val="20"/>
          <w:szCs w:val="20"/>
        </w:rPr>
        <w:t>. Local government road access</w:t>
      </w:r>
      <w:r w:rsidR="008D1404" w:rsidRPr="00B27C55">
        <w:rPr>
          <w:rFonts w:ascii="Arial" w:hAnsi="Arial" w:cs="Arial"/>
          <w:sz w:val="20"/>
          <w:szCs w:val="20"/>
        </w:rPr>
        <w:t xml:space="preserve"> and use</w:t>
      </w:r>
      <w:r w:rsidR="00316CE1" w:rsidRPr="00B27C55">
        <w:rPr>
          <w:rFonts w:ascii="Arial" w:hAnsi="Arial" w:cs="Arial"/>
          <w:sz w:val="20"/>
          <w:szCs w:val="20"/>
        </w:rPr>
        <w:t xml:space="preserve"> decisions </w:t>
      </w:r>
      <w:r w:rsidR="005B6BCE" w:rsidRPr="00B27C55">
        <w:rPr>
          <w:rFonts w:ascii="Arial" w:hAnsi="Arial" w:cs="Arial"/>
          <w:sz w:val="20"/>
          <w:szCs w:val="20"/>
        </w:rPr>
        <w:t>frequently</w:t>
      </w:r>
      <w:r w:rsidR="00316CE1" w:rsidRPr="00B27C55">
        <w:rPr>
          <w:rFonts w:ascii="Arial" w:hAnsi="Arial" w:cs="Arial"/>
          <w:sz w:val="20"/>
          <w:szCs w:val="20"/>
        </w:rPr>
        <w:t xml:space="preserve"> affect heavy vehicles</w:t>
      </w:r>
      <w:r w:rsidR="0029688D" w:rsidRPr="00B27C55">
        <w:rPr>
          <w:rFonts w:ascii="Arial" w:hAnsi="Arial" w:cs="Arial"/>
          <w:sz w:val="20"/>
          <w:szCs w:val="20"/>
        </w:rPr>
        <w:t xml:space="preserve"> (that is, vehicles that weigh more than 4.5 tonnes)</w:t>
      </w:r>
      <w:r w:rsidR="00316CE1" w:rsidRPr="00B27C55">
        <w:rPr>
          <w:rFonts w:ascii="Arial" w:hAnsi="Arial" w:cs="Arial"/>
          <w:sz w:val="20"/>
          <w:szCs w:val="20"/>
        </w:rPr>
        <w:t xml:space="preserve">. </w:t>
      </w:r>
      <w:r w:rsidR="00783D1A" w:rsidRPr="00B27C55">
        <w:rPr>
          <w:rFonts w:ascii="Arial" w:hAnsi="Arial" w:cs="Arial"/>
          <w:sz w:val="20"/>
          <w:szCs w:val="20"/>
        </w:rPr>
        <w:t>Around 20 percent of all heavy vehicle travel is undertaken on local roads</w:t>
      </w:r>
      <w:r w:rsidR="00195889" w:rsidRPr="00B27C55">
        <w:rPr>
          <w:rFonts w:ascii="Arial" w:hAnsi="Arial" w:cs="Arial"/>
          <w:sz w:val="20"/>
          <w:szCs w:val="20"/>
        </w:rPr>
        <w:t xml:space="preserve"> and this is where access</w:t>
      </w:r>
      <w:r w:rsidR="0029688D" w:rsidRPr="00B27C55">
        <w:rPr>
          <w:rFonts w:ascii="Arial" w:hAnsi="Arial" w:cs="Arial"/>
          <w:sz w:val="20"/>
          <w:szCs w:val="20"/>
        </w:rPr>
        <w:t xml:space="preserve"> and use</w:t>
      </w:r>
      <w:r w:rsidR="00195889" w:rsidRPr="00B27C55">
        <w:rPr>
          <w:rFonts w:ascii="Arial" w:hAnsi="Arial" w:cs="Arial"/>
          <w:sz w:val="20"/>
          <w:szCs w:val="20"/>
        </w:rPr>
        <w:t xml:space="preserve"> issues arise</w:t>
      </w:r>
      <w:r w:rsidR="00316CE1" w:rsidRPr="00B27C55">
        <w:rPr>
          <w:rFonts w:ascii="Arial" w:hAnsi="Arial" w:cs="Arial"/>
          <w:sz w:val="20"/>
          <w:szCs w:val="20"/>
        </w:rPr>
        <w:t xml:space="preserve"> for heavy vehicles</w:t>
      </w:r>
      <w:r w:rsidR="00FA5B15">
        <w:rPr>
          <w:rFonts w:ascii="Arial" w:hAnsi="Arial" w:cs="Arial"/>
          <w:sz w:val="20"/>
          <w:szCs w:val="20"/>
        </w:rPr>
        <w:t xml:space="preserve"> most often</w:t>
      </w:r>
      <w:r w:rsidRPr="00B27C55">
        <w:rPr>
          <w:rFonts w:ascii="Arial" w:hAnsi="Arial" w:cs="Arial"/>
          <w:sz w:val="20"/>
          <w:szCs w:val="20"/>
        </w:rPr>
        <w:t xml:space="preserve"> (Australian Government Productivity Commission, 2012).</w:t>
      </w:r>
      <w:r w:rsidR="00C5408E" w:rsidRPr="00B27C55">
        <w:rPr>
          <w:rFonts w:ascii="Arial" w:hAnsi="Arial" w:cs="Arial"/>
          <w:sz w:val="20"/>
          <w:szCs w:val="20"/>
        </w:rPr>
        <w:t xml:space="preserve"> </w:t>
      </w:r>
    </w:p>
    <w:p w:rsidR="00934BE7" w:rsidRPr="00B27C55" w:rsidRDefault="00934BE7" w:rsidP="00945F75">
      <w:pPr>
        <w:autoSpaceDE w:val="0"/>
        <w:autoSpaceDN w:val="0"/>
        <w:adjustRightInd w:val="0"/>
        <w:spacing w:after="0"/>
        <w:rPr>
          <w:rFonts w:ascii="Arial" w:hAnsi="Arial" w:cs="Arial"/>
          <w:sz w:val="20"/>
          <w:szCs w:val="20"/>
        </w:rPr>
      </w:pPr>
    </w:p>
    <w:p w:rsidR="00934BE7" w:rsidRPr="00B27C55" w:rsidRDefault="00934BE7" w:rsidP="00945F75">
      <w:pPr>
        <w:autoSpaceDE w:val="0"/>
        <w:autoSpaceDN w:val="0"/>
        <w:adjustRightInd w:val="0"/>
        <w:spacing w:after="0"/>
        <w:rPr>
          <w:rFonts w:ascii="Arial" w:hAnsi="Arial" w:cs="Arial"/>
          <w:sz w:val="20"/>
          <w:szCs w:val="20"/>
        </w:rPr>
      </w:pPr>
      <w:r w:rsidRPr="00B27C55">
        <w:rPr>
          <w:rFonts w:ascii="Arial" w:hAnsi="Arial" w:cs="Arial"/>
          <w:sz w:val="20"/>
          <w:szCs w:val="20"/>
        </w:rPr>
        <w:t xml:space="preserve">In NSW, the Roads and Maritime Services </w:t>
      </w:r>
      <w:r w:rsidR="00FB12E3" w:rsidRPr="00B27C55">
        <w:rPr>
          <w:rFonts w:ascii="Arial" w:hAnsi="Arial" w:cs="Arial"/>
          <w:sz w:val="20"/>
          <w:szCs w:val="20"/>
        </w:rPr>
        <w:t xml:space="preserve">government agency </w:t>
      </w:r>
      <w:r w:rsidRPr="00B27C55">
        <w:rPr>
          <w:rFonts w:ascii="Arial" w:hAnsi="Arial" w:cs="Arial"/>
          <w:sz w:val="20"/>
          <w:szCs w:val="20"/>
        </w:rPr>
        <w:t xml:space="preserve">coordinates road access and use requests with local governments on behalf of applicants. From 1 January 2013, the soon-to-be-established National Heavy Vehicle Regulator (NHVR) will coordinate access requests with local governments on behalf of all heavy vehicle applicants (COAG 2009). </w:t>
      </w:r>
      <w:r w:rsidR="00FA5B15">
        <w:rPr>
          <w:rFonts w:ascii="Arial" w:hAnsi="Arial" w:cs="Arial"/>
          <w:sz w:val="20"/>
          <w:szCs w:val="20"/>
        </w:rPr>
        <w:t xml:space="preserve">There will be no external appeals against local government decisions. </w:t>
      </w:r>
      <w:r w:rsidRPr="00B27C55">
        <w:rPr>
          <w:rFonts w:ascii="Arial" w:hAnsi="Arial" w:cs="Arial"/>
          <w:sz w:val="20"/>
          <w:szCs w:val="20"/>
        </w:rPr>
        <w:t xml:space="preserve">As such, local governments will continue to be the responsible authority for determining road access and use for heavy vehicles on local roads. </w:t>
      </w:r>
    </w:p>
    <w:p w:rsidR="00FB12E3" w:rsidRPr="00B27C55" w:rsidRDefault="00FB12E3" w:rsidP="00945F75">
      <w:pPr>
        <w:autoSpaceDE w:val="0"/>
        <w:autoSpaceDN w:val="0"/>
        <w:adjustRightInd w:val="0"/>
        <w:spacing w:after="0"/>
        <w:rPr>
          <w:rFonts w:ascii="Arial" w:hAnsi="Arial" w:cs="Arial"/>
          <w:sz w:val="20"/>
          <w:szCs w:val="20"/>
        </w:rPr>
      </w:pPr>
    </w:p>
    <w:p w:rsidR="004F1A23" w:rsidRPr="00B27C55" w:rsidRDefault="004F1A23" w:rsidP="00945F75">
      <w:pPr>
        <w:autoSpaceDE w:val="0"/>
        <w:autoSpaceDN w:val="0"/>
        <w:adjustRightInd w:val="0"/>
        <w:spacing w:after="0"/>
        <w:rPr>
          <w:rFonts w:ascii="Arial" w:hAnsi="Arial" w:cs="Arial"/>
          <w:sz w:val="20"/>
          <w:szCs w:val="20"/>
        </w:rPr>
      </w:pPr>
    </w:p>
    <w:p w:rsidR="00A11CF6" w:rsidRDefault="00A11CF6" w:rsidP="00A11CF6">
      <w:pPr>
        <w:pStyle w:val="Heading1"/>
      </w:pPr>
      <w:r>
        <w:t xml:space="preserve">Conditions </w:t>
      </w:r>
      <w:r w:rsidR="00EA3F6F">
        <w:t xml:space="preserve">and Costs </w:t>
      </w:r>
      <w:r>
        <w:t xml:space="preserve">Imposed by Local </w:t>
      </w:r>
      <w:r w:rsidR="00EA3F6F">
        <w:t>Governments</w:t>
      </w:r>
    </w:p>
    <w:p w:rsidR="00A11CF6" w:rsidRPr="00B27C55" w:rsidRDefault="00A11CF6" w:rsidP="00945F75">
      <w:pPr>
        <w:autoSpaceDE w:val="0"/>
        <w:autoSpaceDN w:val="0"/>
        <w:adjustRightInd w:val="0"/>
        <w:spacing w:after="0"/>
        <w:rPr>
          <w:rFonts w:ascii="Arial" w:hAnsi="Arial" w:cs="Arial"/>
          <w:sz w:val="20"/>
          <w:szCs w:val="20"/>
        </w:rPr>
      </w:pPr>
    </w:p>
    <w:p w:rsidR="00910BCA" w:rsidRPr="00B27C55" w:rsidRDefault="002340FB"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Reasons for local government decisions to refuse or restrict </w:t>
      </w:r>
      <w:r w:rsidR="00ED2DA4" w:rsidRPr="00B27C55">
        <w:rPr>
          <w:rFonts w:ascii="Arial" w:hAnsi="Arial" w:cs="Arial"/>
          <w:sz w:val="20"/>
          <w:szCs w:val="20"/>
        </w:rPr>
        <w:t xml:space="preserve">local </w:t>
      </w:r>
      <w:r w:rsidR="00D11F84" w:rsidRPr="00B27C55">
        <w:rPr>
          <w:rFonts w:ascii="Arial" w:hAnsi="Arial" w:cs="Arial"/>
          <w:sz w:val="20"/>
          <w:szCs w:val="20"/>
        </w:rPr>
        <w:t xml:space="preserve">road </w:t>
      </w:r>
      <w:r w:rsidRPr="00B27C55">
        <w:rPr>
          <w:rFonts w:ascii="Arial" w:hAnsi="Arial" w:cs="Arial"/>
          <w:sz w:val="20"/>
          <w:szCs w:val="20"/>
        </w:rPr>
        <w:t xml:space="preserve">access or use to heavy vehicles </w:t>
      </w:r>
      <w:r w:rsidR="00D11F84" w:rsidRPr="00B27C55">
        <w:rPr>
          <w:rFonts w:ascii="Arial" w:hAnsi="Arial" w:cs="Arial"/>
          <w:sz w:val="20"/>
          <w:szCs w:val="20"/>
        </w:rPr>
        <w:t xml:space="preserve">generally </w:t>
      </w:r>
      <w:r w:rsidRPr="00B27C55">
        <w:rPr>
          <w:rFonts w:ascii="Arial" w:hAnsi="Arial" w:cs="Arial"/>
          <w:sz w:val="20"/>
          <w:szCs w:val="20"/>
        </w:rPr>
        <w:t>include:</w:t>
      </w:r>
      <w:r w:rsidR="00910BCA" w:rsidRPr="00B27C55">
        <w:rPr>
          <w:rFonts w:ascii="Arial" w:hAnsi="Arial" w:cs="Arial"/>
          <w:sz w:val="20"/>
          <w:szCs w:val="20"/>
        </w:rPr>
        <w:t xml:space="preserve"> protecting sensitive infrastructure; preventing increase in noise pollution; </w:t>
      </w:r>
      <w:r w:rsidR="00DE1FB1" w:rsidRPr="00B27C55">
        <w:rPr>
          <w:rFonts w:ascii="Arial" w:hAnsi="Arial" w:cs="Arial"/>
          <w:sz w:val="20"/>
          <w:szCs w:val="20"/>
        </w:rPr>
        <w:t xml:space="preserve">and </w:t>
      </w:r>
      <w:r w:rsidR="00910BCA" w:rsidRPr="00B27C55">
        <w:rPr>
          <w:rFonts w:ascii="Arial" w:hAnsi="Arial" w:cs="Arial"/>
          <w:sz w:val="20"/>
          <w:szCs w:val="20"/>
        </w:rPr>
        <w:t xml:space="preserve">preventing increase in road congestion. </w:t>
      </w:r>
      <w:r w:rsidR="00ED2DA4" w:rsidRPr="00B27C55">
        <w:rPr>
          <w:rFonts w:ascii="Arial" w:hAnsi="Arial" w:cs="Arial"/>
          <w:sz w:val="20"/>
          <w:szCs w:val="20"/>
        </w:rPr>
        <w:t xml:space="preserve">Where access and use to local roads is granted, </w:t>
      </w:r>
      <w:r w:rsidR="00F00A6F">
        <w:rPr>
          <w:rFonts w:ascii="Arial" w:hAnsi="Arial" w:cs="Arial"/>
          <w:sz w:val="20"/>
          <w:szCs w:val="20"/>
        </w:rPr>
        <w:t>the initial local government assessment costs</w:t>
      </w:r>
      <w:r w:rsidR="00ED2DA4" w:rsidRPr="00B27C55">
        <w:rPr>
          <w:rFonts w:ascii="Arial" w:hAnsi="Arial" w:cs="Arial"/>
          <w:sz w:val="20"/>
          <w:szCs w:val="20"/>
        </w:rPr>
        <w:t xml:space="preserve"> can be </w:t>
      </w:r>
      <w:r w:rsidR="00F00A6F">
        <w:rPr>
          <w:rFonts w:ascii="Arial" w:hAnsi="Arial" w:cs="Arial"/>
          <w:sz w:val="20"/>
          <w:szCs w:val="20"/>
        </w:rPr>
        <w:t>prohibitive</w:t>
      </w:r>
      <w:r w:rsidR="00ED2DA4" w:rsidRPr="00B27C55">
        <w:rPr>
          <w:rFonts w:ascii="Arial" w:hAnsi="Arial" w:cs="Arial"/>
          <w:sz w:val="20"/>
          <w:szCs w:val="20"/>
        </w:rPr>
        <w:t>.</w:t>
      </w:r>
      <w:r w:rsidR="00B92612" w:rsidRPr="00B27C55">
        <w:rPr>
          <w:rFonts w:ascii="Arial" w:hAnsi="Arial" w:cs="Arial"/>
          <w:sz w:val="20"/>
          <w:szCs w:val="20"/>
        </w:rPr>
        <w:t xml:space="preserve"> These issues are discussed below.</w:t>
      </w:r>
    </w:p>
    <w:p w:rsidR="00910BCA" w:rsidRPr="00B27C55" w:rsidRDefault="00910BCA" w:rsidP="00910BCA">
      <w:pPr>
        <w:autoSpaceDE w:val="0"/>
        <w:autoSpaceDN w:val="0"/>
        <w:adjustRightInd w:val="0"/>
        <w:spacing w:after="0"/>
        <w:rPr>
          <w:rFonts w:ascii="Arial" w:hAnsi="Arial" w:cs="Arial"/>
          <w:sz w:val="20"/>
          <w:szCs w:val="20"/>
        </w:rPr>
      </w:pPr>
    </w:p>
    <w:p w:rsidR="005C3F13" w:rsidRPr="00B27C55" w:rsidRDefault="002A5A89" w:rsidP="00910BCA">
      <w:pPr>
        <w:autoSpaceDE w:val="0"/>
        <w:autoSpaceDN w:val="0"/>
        <w:adjustRightInd w:val="0"/>
        <w:spacing w:after="0"/>
        <w:rPr>
          <w:rFonts w:ascii="Arial" w:hAnsi="Arial" w:cs="Arial"/>
          <w:b/>
          <w:color w:val="17365D" w:themeColor="text2" w:themeShade="BF"/>
          <w:sz w:val="20"/>
          <w:szCs w:val="20"/>
        </w:rPr>
      </w:pPr>
      <w:r w:rsidRPr="00B27C55">
        <w:rPr>
          <w:rFonts w:ascii="Arial" w:hAnsi="Arial" w:cs="Arial"/>
          <w:b/>
          <w:color w:val="17365D" w:themeColor="text2" w:themeShade="BF"/>
          <w:sz w:val="20"/>
          <w:szCs w:val="20"/>
        </w:rPr>
        <w:t>5</w:t>
      </w:r>
      <w:r w:rsidR="002258BD" w:rsidRPr="00B27C55">
        <w:rPr>
          <w:rFonts w:ascii="Arial" w:hAnsi="Arial" w:cs="Arial"/>
          <w:b/>
          <w:color w:val="17365D" w:themeColor="text2" w:themeShade="BF"/>
          <w:sz w:val="20"/>
          <w:szCs w:val="20"/>
        </w:rPr>
        <w:t xml:space="preserve">.1. </w:t>
      </w:r>
      <w:r w:rsidR="00EA3F6F" w:rsidRPr="00B27C55">
        <w:rPr>
          <w:rFonts w:ascii="Arial" w:hAnsi="Arial" w:cs="Arial"/>
          <w:b/>
          <w:color w:val="17365D" w:themeColor="text2" w:themeShade="BF"/>
          <w:sz w:val="20"/>
          <w:szCs w:val="20"/>
        </w:rPr>
        <w:t>Protecting Sensitive Infrastructure</w:t>
      </w:r>
    </w:p>
    <w:p w:rsidR="00EA3F6F" w:rsidRPr="00B27C55" w:rsidRDefault="00EA3F6F" w:rsidP="00910BCA">
      <w:pPr>
        <w:autoSpaceDE w:val="0"/>
        <w:autoSpaceDN w:val="0"/>
        <w:adjustRightInd w:val="0"/>
        <w:spacing w:after="0"/>
        <w:rPr>
          <w:rFonts w:ascii="Arial" w:hAnsi="Arial" w:cs="Arial"/>
          <w:sz w:val="20"/>
          <w:szCs w:val="20"/>
        </w:rPr>
      </w:pPr>
    </w:p>
    <w:p w:rsidR="007B4731" w:rsidRPr="00B27C55" w:rsidRDefault="00EA3F6F"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The </w:t>
      </w:r>
      <w:r w:rsidR="000037BB" w:rsidRPr="00B27C55">
        <w:rPr>
          <w:rFonts w:ascii="Arial" w:hAnsi="Arial" w:cs="Arial"/>
          <w:sz w:val="20"/>
          <w:szCs w:val="20"/>
        </w:rPr>
        <w:t xml:space="preserve">heavy vehicle </w:t>
      </w:r>
      <w:r w:rsidRPr="00B27C55">
        <w:rPr>
          <w:rFonts w:ascii="Arial" w:hAnsi="Arial" w:cs="Arial"/>
          <w:sz w:val="20"/>
          <w:szCs w:val="20"/>
        </w:rPr>
        <w:t>industry</w:t>
      </w:r>
      <w:r w:rsidR="000037BB" w:rsidRPr="00B27C55">
        <w:rPr>
          <w:rFonts w:ascii="Arial" w:hAnsi="Arial" w:cs="Arial"/>
          <w:sz w:val="20"/>
          <w:szCs w:val="20"/>
        </w:rPr>
        <w:t>’s workhorse is the</w:t>
      </w:r>
      <w:r w:rsidRPr="00B27C55">
        <w:rPr>
          <w:rFonts w:ascii="Arial" w:hAnsi="Arial" w:cs="Arial"/>
          <w:sz w:val="20"/>
          <w:szCs w:val="20"/>
        </w:rPr>
        <w:t xml:space="preserve"> B-double</w:t>
      </w:r>
      <w:r w:rsidR="000037BB" w:rsidRPr="00B27C55">
        <w:rPr>
          <w:rFonts w:ascii="Arial" w:hAnsi="Arial" w:cs="Arial"/>
          <w:sz w:val="20"/>
          <w:szCs w:val="20"/>
        </w:rPr>
        <w:t xml:space="preserve"> </w:t>
      </w:r>
      <w:r w:rsidR="00730710">
        <w:rPr>
          <w:rFonts w:ascii="Arial" w:hAnsi="Arial" w:cs="Arial"/>
          <w:sz w:val="20"/>
          <w:szCs w:val="20"/>
        </w:rPr>
        <w:t>combination</w:t>
      </w:r>
      <w:r w:rsidRPr="00B27C55">
        <w:rPr>
          <w:rFonts w:ascii="Arial" w:hAnsi="Arial" w:cs="Arial"/>
          <w:sz w:val="20"/>
          <w:szCs w:val="20"/>
        </w:rPr>
        <w:t>. This vehicle allows for improved productivity due to its size compared to a semi-trailer</w:t>
      </w:r>
      <w:r w:rsidR="002258BD" w:rsidRPr="00B27C55">
        <w:rPr>
          <w:rFonts w:ascii="Arial" w:hAnsi="Arial" w:cs="Arial"/>
          <w:sz w:val="20"/>
          <w:szCs w:val="20"/>
        </w:rPr>
        <w:t>,</w:t>
      </w:r>
      <w:r w:rsidR="00B90FD1" w:rsidRPr="00B27C55">
        <w:rPr>
          <w:rFonts w:ascii="Arial" w:hAnsi="Arial" w:cs="Arial"/>
          <w:sz w:val="20"/>
          <w:szCs w:val="20"/>
        </w:rPr>
        <w:t xml:space="preserve"> and </w:t>
      </w:r>
      <w:r w:rsidR="002258BD" w:rsidRPr="00B27C55">
        <w:rPr>
          <w:rFonts w:ascii="Arial" w:hAnsi="Arial" w:cs="Arial"/>
          <w:sz w:val="20"/>
          <w:szCs w:val="20"/>
        </w:rPr>
        <w:t xml:space="preserve">it </w:t>
      </w:r>
      <w:r w:rsidR="00B90FD1" w:rsidRPr="00B27C55">
        <w:rPr>
          <w:rFonts w:ascii="Arial" w:hAnsi="Arial" w:cs="Arial"/>
          <w:sz w:val="20"/>
          <w:szCs w:val="20"/>
        </w:rPr>
        <w:t>has been the main contributor to the trucking industry’s productivity gains over the past 20 years.</w:t>
      </w:r>
      <w:r w:rsidR="007B4731" w:rsidRPr="00B27C55">
        <w:rPr>
          <w:rFonts w:ascii="Arial" w:hAnsi="Arial" w:cs="Arial"/>
          <w:sz w:val="20"/>
          <w:szCs w:val="20"/>
        </w:rPr>
        <w:t xml:space="preserve"> For further explanation of productivity capabilities, see </w:t>
      </w:r>
      <w:r w:rsidR="007B4731" w:rsidRPr="00B27C55">
        <w:rPr>
          <w:rFonts w:ascii="Arial" w:hAnsi="Arial" w:cs="Arial"/>
          <w:b/>
          <w:sz w:val="20"/>
          <w:szCs w:val="20"/>
        </w:rPr>
        <w:t>Table 1</w:t>
      </w:r>
      <w:r w:rsidR="007B4731" w:rsidRPr="00B27C55">
        <w:rPr>
          <w:rFonts w:ascii="Arial" w:hAnsi="Arial" w:cs="Arial"/>
          <w:sz w:val="20"/>
          <w:szCs w:val="20"/>
        </w:rPr>
        <w:t xml:space="preserve"> below.</w:t>
      </w:r>
      <w:r w:rsidRPr="00B27C55">
        <w:rPr>
          <w:rFonts w:ascii="Arial" w:hAnsi="Arial" w:cs="Arial"/>
          <w:sz w:val="20"/>
          <w:szCs w:val="20"/>
        </w:rPr>
        <w:t xml:space="preserve"> </w:t>
      </w:r>
      <w:r w:rsidR="00B90FD1" w:rsidRPr="00B27C55">
        <w:rPr>
          <w:rFonts w:ascii="Arial" w:hAnsi="Arial" w:cs="Arial"/>
          <w:sz w:val="20"/>
          <w:szCs w:val="20"/>
        </w:rPr>
        <w:t>B-double vehicles, as well as B-triple vehicles,</w:t>
      </w:r>
      <w:r w:rsidR="002258BD" w:rsidRPr="00B27C55">
        <w:rPr>
          <w:rFonts w:ascii="Arial" w:hAnsi="Arial" w:cs="Arial"/>
          <w:sz w:val="20"/>
          <w:szCs w:val="20"/>
        </w:rPr>
        <w:t xml:space="preserve"> </w:t>
      </w:r>
      <w:r w:rsidRPr="00B27C55">
        <w:rPr>
          <w:rFonts w:ascii="Arial" w:hAnsi="Arial" w:cs="Arial"/>
          <w:sz w:val="20"/>
          <w:szCs w:val="20"/>
        </w:rPr>
        <w:t xml:space="preserve">provide improved safety due to </w:t>
      </w:r>
      <w:r w:rsidR="000037BB" w:rsidRPr="00B27C55">
        <w:rPr>
          <w:rFonts w:ascii="Arial" w:hAnsi="Arial" w:cs="Arial"/>
          <w:sz w:val="20"/>
          <w:szCs w:val="20"/>
        </w:rPr>
        <w:t xml:space="preserve">increased </w:t>
      </w:r>
      <w:r w:rsidR="000037BB" w:rsidRPr="00B27C55">
        <w:rPr>
          <w:rFonts w:ascii="Arial" w:hAnsi="Arial" w:cs="Arial"/>
          <w:sz w:val="20"/>
          <w:szCs w:val="20"/>
        </w:rPr>
        <w:lastRenderedPageBreak/>
        <w:t xml:space="preserve">stability because of the way </w:t>
      </w:r>
      <w:r w:rsidR="00B90FD1" w:rsidRPr="00B27C55">
        <w:rPr>
          <w:rFonts w:ascii="Arial" w:hAnsi="Arial" w:cs="Arial"/>
          <w:sz w:val="20"/>
          <w:szCs w:val="20"/>
        </w:rPr>
        <w:t xml:space="preserve">the </w:t>
      </w:r>
      <w:r w:rsidR="002258BD" w:rsidRPr="00B27C55">
        <w:rPr>
          <w:rFonts w:ascii="Arial" w:hAnsi="Arial" w:cs="Arial"/>
          <w:sz w:val="20"/>
          <w:szCs w:val="20"/>
        </w:rPr>
        <w:t>trailers are combined</w:t>
      </w:r>
      <w:r w:rsidR="00F26299" w:rsidRPr="00B27C55">
        <w:rPr>
          <w:rFonts w:ascii="Arial" w:hAnsi="Arial" w:cs="Arial"/>
          <w:sz w:val="20"/>
          <w:szCs w:val="20"/>
        </w:rPr>
        <w:t xml:space="preserve"> (usi</w:t>
      </w:r>
      <w:r w:rsidR="002258BD" w:rsidRPr="00B27C55">
        <w:rPr>
          <w:rFonts w:ascii="Arial" w:hAnsi="Arial" w:cs="Arial"/>
          <w:sz w:val="20"/>
          <w:szCs w:val="20"/>
        </w:rPr>
        <w:t xml:space="preserve">ng a </w:t>
      </w:r>
      <w:r w:rsidR="00B10325" w:rsidRPr="00B27C55">
        <w:rPr>
          <w:rFonts w:ascii="Arial" w:hAnsi="Arial" w:cs="Arial"/>
          <w:sz w:val="20"/>
          <w:szCs w:val="20"/>
        </w:rPr>
        <w:t>“</w:t>
      </w:r>
      <w:r w:rsidR="002258BD" w:rsidRPr="00B27C55">
        <w:rPr>
          <w:rFonts w:ascii="Arial" w:hAnsi="Arial" w:cs="Arial"/>
          <w:sz w:val="20"/>
          <w:szCs w:val="20"/>
        </w:rPr>
        <w:t>B</w:t>
      </w:r>
      <w:r w:rsidR="00B10325" w:rsidRPr="00B27C55">
        <w:rPr>
          <w:rFonts w:ascii="Arial" w:hAnsi="Arial" w:cs="Arial"/>
          <w:sz w:val="20"/>
          <w:szCs w:val="20"/>
        </w:rPr>
        <w:t xml:space="preserve">” </w:t>
      </w:r>
      <w:r w:rsidR="002258BD" w:rsidRPr="00B27C55">
        <w:rPr>
          <w:rFonts w:ascii="Arial" w:hAnsi="Arial" w:cs="Arial"/>
          <w:sz w:val="20"/>
          <w:szCs w:val="20"/>
        </w:rPr>
        <w:t xml:space="preserve">coupling) </w:t>
      </w:r>
      <w:r w:rsidR="00FA5B15">
        <w:rPr>
          <w:rFonts w:ascii="Arial" w:hAnsi="Arial" w:cs="Arial"/>
          <w:sz w:val="20"/>
          <w:szCs w:val="20"/>
        </w:rPr>
        <w:t xml:space="preserve">compare to the couplings in traditional road trains or truck and dog combinations </w:t>
      </w:r>
      <w:r w:rsidR="002258BD" w:rsidRPr="00B27C55">
        <w:rPr>
          <w:rFonts w:ascii="Arial" w:hAnsi="Arial" w:cs="Arial"/>
          <w:sz w:val="20"/>
          <w:szCs w:val="20"/>
        </w:rPr>
        <w:t>(usi</w:t>
      </w:r>
      <w:r w:rsidR="007B4731" w:rsidRPr="00B27C55">
        <w:rPr>
          <w:rFonts w:ascii="Arial" w:hAnsi="Arial" w:cs="Arial"/>
          <w:sz w:val="20"/>
          <w:szCs w:val="20"/>
        </w:rPr>
        <w:t xml:space="preserve">ng an </w:t>
      </w:r>
      <w:r w:rsidR="00B10325" w:rsidRPr="00B27C55">
        <w:rPr>
          <w:rFonts w:ascii="Arial" w:hAnsi="Arial" w:cs="Arial"/>
          <w:sz w:val="20"/>
          <w:szCs w:val="20"/>
        </w:rPr>
        <w:t>“</w:t>
      </w:r>
      <w:r w:rsidR="007B4731" w:rsidRPr="00B27C55">
        <w:rPr>
          <w:rFonts w:ascii="Arial" w:hAnsi="Arial" w:cs="Arial"/>
          <w:sz w:val="20"/>
          <w:szCs w:val="20"/>
        </w:rPr>
        <w:t>A</w:t>
      </w:r>
      <w:r w:rsidR="00B10325" w:rsidRPr="00B27C55">
        <w:rPr>
          <w:rFonts w:ascii="Arial" w:hAnsi="Arial" w:cs="Arial"/>
          <w:sz w:val="20"/>
          <w:szCs w:val="20"/>
        </w:rPr>
        <w:t xml:space="preserve">” </w:t>
      </w:r>
      <w:r w:rsidR="007B4731" w:rsidRPr="00B27C55">
        <w:rPr>
          <w:rFonts w:ascii="Arial" w:hAnsi="Arial" w:cs="Arial"/>
          <w:sz w:val="20"/>
          <w:szCs w:val="20"/>
        </w:rPr>
        <w:t xml:space="preserve">coupling) (see </w:t>
      </w:r>
      <w:r w:rsidR="007B4731" w:rsidRPr="00B27C55">
        <w:rPr>
          <w:rFonts w:ascii="Arial" w:hAnsi="Arial" w:cs="Arial"/>
          <w:b/>
          <w:sz w:val="20"/>
          <w:szCs w:val="20"/>
        </w:rPr>
        <w:t xml:space="preserve">Picture </w:t>
      </w:r>
      <w:r w:rsidR="00F26299" w:rsidRPr="00B27C55">
        <w:rPr>
          <w:rFonts w:ascii="Arial" w:hAnsi="Arial" w:cs="Arial"/>
          <w:b/>
          <w:sz w:val="20"/>
          <w:szCs w:val="20"/>
        </w:rPr>
        <w:t>1</w:t>
      </w:r>
      <w:r w:rsidR="002258BD" w:rsidRPr="00B27C55">
        <w:rPr>
          <w:rFonts w:ascii="Arial" w:hAnsi="Arial" w:cs="Arial"/>
          <w:sz w:val="20"/>
          <w:szCs w:val="20"/>
        </w:rPr>
        <w:t xml:space="preserve"> below). Despite their size, because of the way they are built, B-double and B-triple vehicles are</w:t>
      </w:r>
      <w:r w:rsidR="0042313E" w:rsidRPr="00B27C55">
        <w:rPr>
          <w:rFonts w:ascii="Arial" w:hAnsi="Arial" w:cs="Arial"/>
          <w:sz w:val="20"/>
          <w:szCs w:val="20"/>
        </w:rPr>
        <w:t xml:space="preserve"> also</w:t>
      </w:r>
      <w:r w:rsidR="002258BD" w:rsidRPr="00B27C55">
        <w:rPr>
          <w:rFonts w:ascii="Arial" w:hAnsi="Arial" w:cs="Arial"/>
          <w:sz w:val="20"/>
          <w:szCs w:val="20"/>
        </w:rPr>
        <w:t xml:space="preserve"> less likely to cause significant infrastructure damage</w:t>
      </w:r>
      <w:r w:rsidR="002A55A9" w:rsidRPr="00B27C55">
        <w:rPr>
          <w:rFonts w:ascii="Arial" w:hAnsi="Arial" w:cs="Arial"/>
          <w:sz w:val="20"/>
          <w:szCs w:val="20"/>
        </w:rPr>
        <w:t xml:space="preserve"> compared to, for example, rigid trucks</w:t>
      </w:r>
      <w:r w:rsidR="007B4731" w:rsidRPr="00B27C55">
        <w:rPr>
          <w:rFonts w:ascii="Arial" w:hAnsi="Arial" w:cs="Arial"/>
          <w:sz w:val="20"/>
          <w:szCs w:val="20"/>
        </w:rPr>
        <w:t xml:space="preserve"> </w:t>
      </w:r>
      <w:r w:rsidR="002A55A9" w:rsidRPr="00B27C55">
        <w:rPr>
          <w:rFonts w:ascii="Arial" w:hAnsi="Arial" w:cs="Arial"/>
          <w:sz w:val="20"/>
          <w:szCs w:val="20"/>
        </w:rPr>
        <w:t xml:space="preserve">and </w:t>
      </w:r>
      <w:r w:rsidR="007B4731" w:rsidRPr="00B27C55">
        <w:rPr>
          <w:rFonts w:ascii="Arial" w:hAnsi="Arial" w:cs="Arial"/>
          <w:sz w:val="20"/>
          <w:szCs w:val="20"/>
        </w:rPr>
        <w:t>semi-trailers.</w:t>
      </w:r>
      <w:r w:rsidR="002258BD" w:rsidRPr="00B27C55">
        <w:rPr>
          <w:rFonts w:ascii="Arial" w:hAnsi="Arial" w:cs="Arial"/>
          <w:sz w:val="20"/>
          <w:szCs w:val="20"/>
        </w:rPr>
        <w:t xml:space="preserve"> </w:t>
      </w:r>
      <w:r w:rsidR="007B4731" w:rsidRPr="00B27C55">
        <w:rPr>
          <w:rFonts w:ascii="Arial" w:hAnsi="Arial" w:cs="Arial"/>
          <w:sz w:val="20"/>
          <w:szCs w:val="20"/>
        </w:rPr>
        <w:t xml:space="preserve">To further </w:t>
      </w:r>
      <w:r w:rsidR="0042313E" w:rsidRPr="00B27C55">
        <w:rPr>
          <w:rFonts w:ascii="Arial" w:hAnsi="Arial" w:cs="Arial"/>
          <w:sz w:val="20"/>
          <w:szCs w:val="20"/>
        </w:rPr>
        <w:t>clarify</w:t>
      </w:r>
      <w:r w:rsidR="007B4731" w:rsidRPr="00B27C55">
        <w:rPr>
          <w:rFonts w:ascii="Arial" w:hAnsi="Arial" w:cs="Arial"/>
          <w:sz w:val="20"/>
          <w:szCs w:val="20"/>
        </w:rPr>
        <w:t xml:space="preserve">, damage to roads is caused by axle weights, not by a vehicle’s gross mass. Axle weights and impact </w:t>
      </w:r>
      <w:r w:rsidR="00FA5B15">
        <w:rPr>
          <w:rFonts w:ascii="Arial" w:hAnsi="Arial" w:cs="Arial"/>
          <w:sz w:val="20"/>
          <w:szCs w:val="20"/>
        </w:rPr>
        <w:t xml:space="preserve">can be </w:t>
      </w:r>
      <w:r w:rsidR="007B4731" w:rsidRPr="00B27C55">
        <w:rPr>
          <w:rFonts w:ascii="Arial" w:hAnsi="Arial" w:cs="Arial"/>
          <w:sz w:val="20"/>
          <w:szCs w:val="20"/>
        </w:rPr>
        <w:t xml:space="preserve">measured by Equivalent Standard Axles (ESA) per 1000 tonnes. The more axles a vehicle’s gross mass is spread over, the less impact there is to roads. For further explanation of axle impact, see </w:t>
      </w:r>
      <w:r w:rsidR="007B4731" w:rsidRPr="00B27C55">
        <w:rPr>
          <w:rFonts w:ascii="Arial" w:hAnsi="Arial" w:cs="Arial"/>
          <w:b/>
          <w:sz w:val="20"/>
          <w:szCs w:val="20"/>
        </w:rPr>
        <w:t>Table 1</w:t>
      </w:r>
      <w:r w:rsidR="007B4731" w:rsidRPr="00B27C55">
        <w:rPr>
          <w:rFonts w:ascii="Arial" w:hAnsi="Arial" w:cs="Arial"/>
          <w:sz w:val="20"/>
          <w:szCs w:val="20"/>
        </w:rPr>
        <w:t xml:space="preserve"> below.</w:t>
      </w:r>
    </w:p>
    <w:p w:rsidR="00EA3F6F" w:rsidRPr="00B27C55" w:rsidRDefault="00EA3F6F" w:rsidP="00910BCA">
      <w:pPr>
        <w:autoSpaceDE w:val="0"/>
        <w:autoSpaceDN w:val="0"/>
        <w:adjustRightInd w:val="0"/>
        <w:spacing w:after="0"/>
        <w:rPr>
          <w:rFonts w:ascii="Arial" w:hAnsi="Arial" w:cs="Arial"/>
          <w:sz w:val="20"/>
          <w:szCs w:val="20"/>
        </w:rPr>
      </w:pPr>
    </w:p>
    <w:p w:rsidR="00260FFB" w:rsidRPr="00385491" w:rsidRDefault="00385491" w:rsidP="00910BCA">
      <w:pPr>
        <w:autoSpaceDE w:val="0"/>
        <w:autoSpaceDN w:val="0"/>
        <w:adjustRightInd w:val="0"/>
        <w:spacing w:after="0"/>
        <w:rPr>
          <w:rFonts w:ascii="Helvetica" w:hAnsi="Helvetica" w:cs="Helvetica"/>
          <w:b/>
          <w:sz w:val="20"/>
          <w:szCs w:val="20"/>
        </w:rPr>
      </w:pPr>
      <w:r w:rsidRPr="00385491">
        <w:rPr>
          <w:rFonts w:ascii="Helvetica" w:hAnsi="Helvetica" w:cs="Helvetica"/>
          <w:b/>
          <w:sz w:val="20"/>
          <w:szCs w:val="20"/>
        </w:rPr>
        <w:t xml:space="preserve">Picture 1: </w:t>
      </w:r>
      <w:r w:rsidR="00E86A45">
        <w:rPr>
          <w:rFonts w:ascii="Helvetica" w:hAnsi="Helvetica" w:cs="Helvetica"/>
          <w:b/>
          <w:sz w:val="20"/>
          <w:szCs w:val="20"/>
        </w:rPr>
        <w:t>Types of Trailer</w:t>
      </w:r>
      <w:r w:rsidR="00CC1614">
        <w:rPr>
          <w:rFonts w:ascii="Helvetica" w:hAnsi="Helvetica" w:cs="Helvetica"/>
          <w:b/>
          <w:sz w:val="20"/>
          <w:szCs w:val="20"/>
        </w:rPr>
        <w:t xml:space="preserve"> Connection</w:t>
      </w:r>
      <w:r w:rsidR="00E86A45">
        <w:rPr>
          <w:rFonts w:ascii="Helvetica" w:hAnsi="Helvetica" w:cs="Helvetica"/>
          <w:b/>
          <w:sz w:val="20"/>
          <w:szCs w:val="20"/>
        </w:rPr>
        <w:t xml:space="preserve"> Coupling</w:t>
      </w:r>
    </w:p>
    <w:p w:rsidR="00C5778D" w:rsidRDefault="00C5778D" w:rsidP="00910BCA">
      <w:pPr>
        <w:autoSpaceDE w:val="0"/>
        <w:autoSpaceDN w:val="0"/>
        <w:adjustRightInd w:val="0"/>
        <w:spacing w:after="0"/>
        <w:rPr>
          <w:rFonts w:ascii="Helvetica" w:hAnsi="Helvetica" w:cs="Helvetica"/>
        </w:rPr>
      </w:pPr>
    </w:p>
    <w:p w:rsidR="00385491" w:rsidRDefault="00C5778D" w:rsidP="00910BCA">
      <w:pPr>
        <w:autoSpaceDE w:val="0"/>
        <w:autoSpaceDN w:val="0"/>
        <w:adjustRightInd w:val="0"/>
        <w:spacing w:after="0"/>
        <w:rPr>
          <w:rFonts w:ascii="Helvetica" w:hAnsi="Helvetica" w:cs="Helvetica"/>
        </w:rPr>
      </w:pPr>
      <w:r>
        <w:rPr>
          <w:rFonts w:ascii="Helvetica" w:hAnsi="Helvetica" w:cs="Helvetica"/>
          <w:noProof/>
        </w:rPr>
        <w:drawing>
          <wp:anchor distT="0" distB="0" distL="114300" distR="114300" simplePos="0" relativeHeight="251670528" behindDoc="0" locked="0" layoutInCell="1" allowOverlap="1">
            <wp:simplePos x="0" y="0"/>
            <wp:positionH relativeFrom="column">
              <wp:posOffset>3379076</wp:posOffset>
            </wp:positionH>
            <wp:positionV relativeFrom="paragraph">
              <wp:posOffset>27436</wp:posOffset>
            </wp:positionV>
            <wp:extent cx="2825049" cy="542334"/>
            <wp:effectExtent l="19050" t="0" r="0" b="0"/>
            <wp:wrapNone/>
            <wp:docPr id="7" name="Picture 3" descr="get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Asset"/>
                    <pic:cNvPicPr>
                      <a:picLocks noChangeAspect="1" noChangeArrowheads="1"/>
                    </pic:cNvPicPr>
                  </pic:nvPicPr>
                  <pic:blipFill>
                    <a:blip r:embed="rId12"/>
                    <a:srcRect/>
                    <a:stretch>
                      <a:fillRect/>
                    </a:stretch>
                  </pic:blipFill>
                  <pic:spPr bwMode="auto">
                    <a:xfrm>
                      <a:off x="0" y="0"/>
                      <a:ext cx="2825049" cy="542334"/>
                    </a:xfrm>
                    <a:prstGeom prst="rect">
                      <a:avLst/>
                    </a:prstGeom>
                    <a:noFill/>
                    <a:ln w="9525">
                      <a:noFill/>
                      <a:miter lim="800000"/>
                      <a:headEnd/>
                      <a:tailEnd/>
                    </a:ln>
                  </pic:spPr>
                </pic:pic>
              </a:graphicData>
            </a:graphic>
          </wp:anchor>
        </w:drawing>
      </w:r>
      <w:r>
        <w:rPr>
          <w:rFonts w:ascii="Helvetica" w:hAnsi="Helvetica" w:cs="Helvetica"/>
          <w:noProof/>
        </w:rPr>
        <w:drawing>
          <wp:anchor distT="0" distB="0" distL="114300" distR="114300" simplePos="0" relativeHeight="251672576" behindDoc="0" locked="0" layoutInCell="1" allowOverlap="1">
            <wp:simplePos x="0" y="0"/>
            <wp:positionH relativeFrom="column">
              <wp:posOffset>19685</wp:posOffset>
            </wp:positionH>
            <wp:positionV relativeFrom="paragraph">
              <wp:posOffset>27940</wp:posOffset>
            </wp:positionV>
            <wp:extent cx="3020060" cy="459740"/>
            <wp:effectExtent l="19050" t="0" r="889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20060" cy="459740"/>
                    </a:xfrm>
                    <a:prstGeom prst="rect">
                      <a:avLst/>
                    </a:prstGeom>
                    <a:noFill/>
                    <a:ln w="9525">
                      <a:noFill/>
                      <a:miter lim="800000"/>
                      <a:headEnd/>
                      <a:tailEnd/>
                    </a:ln>
                  </pic:spPr>
                </pic:pic>
              </a:graphicData>
            </a:graphic>
          </wp:anchor>
        </w:drawing>
      </w:r>
    </w:p>
    <w:p w:rsidR="00E86A45" w:rsidRDefault="00897442" w:rsidP="00C5778D">
      <w:pPr>
        <w:spacing w:line="280" w:lineRule="atLeast"/>
        <w:jc w:val="both"/>
        <w:rPr>
          <w:rFonts w:ascii="Verdana" w:hAnsi="Verdana"/>
          <w:color w:val="004800"/>
        </w:rPr>
      </w:pPr>
      <w:r w:rsidRPr="00897442">
        <w:rPr>
          <w:rFonts w:ascii="Helvetica" w:hAnsi="Helvetica" w:cs="Helvetica"/>
          <w:noProof/>
        </w:rPr>
        <w:pict>
          <v:shapetype id="_x0000_t32" coordsize="21600,21600" o:spt="32" o:oned="t" path="m,l21600,21600e" filled="f">
            <v:path arrowok="t" fillok="f" o:connecttype="none"/>
            <o:lock v:ext="edit" shapetype="t"/>
          </v:shapetype>
          <v:shape id="_x0000_s1150" type="#_x0000_t32" style="position:absolute;left:0;text-align:left;margin-left:318.5pt;margin-top:22.75pt;width:.05pt;height:19.95pt;flip:y;z-index:251671552" o:connectortype="straight" strokecolor="red">
            <v:stroke endarrow="block"/>
          </v:shape>
        </w:pict>
      </w:r>
      <w:r>
        <w:rPr>
          <w:rFonts w:ascii="Verdana" w:hAnsi="Verdana"/>
          <w:noProof/>
          <w:color w:val="004800"/>
        </w:rPr>
        <w:pict>
          <v:shape id="_x0000_s1151" type="#_x0000_t32" style="position:absolute;left:0;text-align:left;margin-left:126.55pt;margin-top:20pt;width:0;height:25.7pt;flip:y;z-index:251673600" o:connectortype="straight" strokecolor="red">
            <v:stroke endarrow="block"/>
          </v:shape>
        </w:pict>
      </w:r>
    </w:p>
    <w:p w:rsidR="00385491" w:rsidRDefault="00385491" w:rsidP="00910BCA">
      <w:pPr>
        <w:autoSpaceDE w:val="0"/>
        <w:autoSpaceDN w:val="0"/>
        <w:adjustRightInd w:val="0"/>
        <w:spacing w:after="0"/>
        <w:rPr>
          <w:rFonts w:ascii="Helvetica" w:hAnsi="Helvetica" w:cs="Helvetica"/>
        </w:rPr>
      </w:pPr>
    </w:p>
    <w:p w:rsidR="00260FFB" w:rsidRDefault="00897442" w:rsidP="00910BCA">
      <w:pPr>
        <w:autoSpaceDE w:val="0"/>
        <w:autoSpaceDN w:val="0"/>
        <w:adjustRightInd w:val="0"/>
        <w:spacing w:after="0"/>
        <w:rPr>
          <w:rFonts w:ascii="Helvetica" w:hAnsi="Helvetica" w:cs="Helvetica"/>
        </w:rPr>
      </w:pPr>
      <w:r w:rsidRPr="00897442">
        <w:rPr>
          <w:rFonts w:ascii="Verdana" w:hAnsi="Verdana"/>
          <w:noProof/>
          <w:color w:val="004800"/>
        </w:rPr>
        <w:pict>
          <v:shapetype id="_x0000_t202" coordsize="21600,21600" o:spt="202" path="m,l,21600r21600,l21600,xe">
            <v:stroke joinstyle="miter"/>
            <v:path gradientshapeok="t" o:connecttype="rect"/>
          </v:shapetype>
          <v:shape id="_x0000_s1148" type="#_x0000_t202" style="position:absolute;margin-left:285.3pt;margin-top:4.15pt;width:65pt;height:18.05pt;z-index:251669504;mso-width-relative:margin;mso-height-relative:margin">
            <v:textbox>
              <w:txbxContent>
                <w:p w:rsidR="00141CDC" w:rsidRPr="00591918" w:rsidRDefault="00141CDC" w:rsidP="00591918">
                  <w:pPr>
                    <w:jc w:val="center"/>
                    <w:rPr>
                      <w:rFonts w:ascii="Arial" w:hAnsi="Arial" w:cs="Arial"/>
                      <w:b/>
                      <w:sz w:val="16"/>
                      <w:szCs w:val="16"/>
                    </w:rPr>
                  </w:pPr>
                  <w:r w:rsidRPr="00591918">
                    <w:rPr>
                      <w:rFonts w:ascii="Arial" w:hAnsi="Arial" w:cs="Arial"/>
                      <w:b/>
                      <w:sz w:val="16"/>
                      <w:szCs w:val="16"/>
                    </w:rPr>
                    <w:t xml:space="preserve">“B” coupling </w:t>
                  </w:r>
                </w:p>
              </w:txbxContent>
            </v:textbox>
          </v:shape>
        </w:pict>
      </w:r>
      <w:r w:rsidRPr="00897442">
        <w:rPr>
          <w:rFonts w:ascii="Arial" w:hAnsi="Arial" w:cs="Arial"/>
          <w:noProof/>
        </w:rPr>
        <w:pict>
          <v:shape id="_x0000_s1146" type="#_x0000_t202" style="position:absolute;margin-left:93.1pt;margin-top:7.15pt;width:67.95pt;height:19.15pt;z-index:251665408;mso-width-relative:margin;mso-height-relative:margin">
            <v:textbox style="mso-next-textbox:#_x0000_s1146">
              <w:txbxContent>
                <w:p w:rsidR="00141CDC" w:rsidRPr="00591918" w:rsidRDefault="00141CDC" w:rsidP="00E86A45">
                  <w:pPr>
                    <w:jc w:val="center"/>
                    <w:rPr>
                      <w:rFonts w:ascii="Arial" w:hAnsi="Arial" w:cs="Arial"/>
                      <w:b/>
                      <w:sz w:val="16"/>
                      <w:szCs w:val="16"/>
                    </w:rPr>
                  </w:pPr>
                  <w:r w:rsidRPr="00591918">
                    <w:rPr>
                      <w:rFonts w:ascii="Arial" w:hAnsi="Arial" w:cs="Arial"/>
                      <w:b/>
                      <w:sz w:val="16"/>
                      <w:szCs w:val="16"/>
                    </w:rPr>
                    <w:t xml:space="preserve">“A” coupling </w:t>
                  </w:r>
                </w:p>
              </w:txbxContent>
            </v:textbox>
          </v:shape>
        </w:pict>
      </w:r>
    </w:p>
    <w:p w:rsidR="007B4731" w:rsidRDefault="007B4731" w:rsidP="00910BCA">
      <w:pPr>
        <w:autoSpaceDE w:val="0"/>
        <w:autoSpaceDN w:val="0"/>
        <w:adjustRightInd w:val="0"/>
        <w:spacing w:after="0"/>
        <w:rPr>
          <w:rFonts w:ascii="Helvetica" w:hAnsi="Helvetica" w:cs="Helvetica"/>
        </w:rPr>
      </w:pPr>
    </w:p>
    <w:p w:rsidR="00FA5B15" w:rsidRDefault="00FA5B15" w:rsidP="00910BCA">
      <w:pPr>
        <w:autoSpaceDE w:val="0"/>
        <w:autoSpaceDN w:val="0"/>
        <w:adjustRightInd w:val="0"/>
        <w:spacing w:after="0"/>
        <w:rPr>
          <w:rFonts w:ascii="Helvetica" w:hAnsi="Helvetica" w:cs="Helvetica"/>
        </w:rPr>
      </w:pPr>
    </w:p>
    <w:p w:rsidR="00FA5B15" w:rsidRDefault="00FA5B15" w:rsidP="00910BCA">
      <w:pPr>
        <w:autoSpaceDE w:val="0"/>
        <w:autoSpaceDN w:val="0"/>
        <w:adjustRightInd w:val="0"/>
        <w:spacing w:after="0"/>
        <w:rPr>
          <w:rFonts w:ascii="Helvetica" w:hAnsi="Helvetica" w:cs="Helvetica"/>
        </w:rPr>
      </w:pPr>
    </w:p>
    <w:p w:rsidR="00FA5B15" w:rsidRPr="00F26299" w:rsidRDefault="00FA5B15" w:rsidP="00FA5B15">
      <w:pPr>
        <w:autoSpaceDE w:val="0"/>
        <w:autoSpaceDN w:val="0"/>
        <w:adjustRightInd w:val="0"/>
        <w:spacing w:after="0"/>
        <w:rPr>
          <w:rFonts w:ascii="Helvetica" w:hAnsi="Helvetica" w:cs="Helvetica"/>
          <w:b/>
          <w:sz w:val="20"/>
          <w:szCs w:val="20"/>
        </w:rPr>
      </w:pPr>
      <w:r w:rsidRPr="00F26299">
        <w:rPr>
          <w:rFonts w:ascii="Helvetica" w:hAnsi="Helvetica" w:cs="Helvetica"/>
          <w:b/>
          <w:sz w:val="20"/>
          <w:szCs w:val="20"/>
        </w:rPr>
        <w:t>Table 1</w:t>
      </w:r>
      <w:r>
        <w:rPr>
          <w:rFonts w:ascii="Helvetica" w:hAnsi="Helvetica" w:cs="Helvetica"/>
          <w:b/>
          <w:sz w:val="20"/>
          <w:szCs w:val="20"/>
        </w:rPr>
        <w:t xml:space="preserve">: ESA Measurements </w:t>
      </w:r>
    </w:p>
    <w:tbl>
      <w:tblPr>
        <w:tblStyle w:val="TableGrid"/>
        <w:tblW w:w="0" w:type="auto"/>
        <w:tblInd w:w="4077" w:type="dxa"/>
        <w:tblLook w:val="04A0"/>
      </w:tblPr>
      <w:tblGrid>
        <w:gridCol w:w="2876"/>
        <w:gridCol w:w="1843"/>
        <w:gridCol w:w="851"/>
      </w:tblGrid>
      <w:tr w:rsidR="00FA5B15" w:rsidTr="00141CDC">
        <w:tc>
          <w:tcPr>
            <w:tcW w:w="2876" w:type="dxa"/>
            <w:shd w:val="clear" w:color="auto" w:fill="92CDDC" w:themeFill="accent5" w:themeFillTint="99"/>
            <w:vAlign w:val="center"/>
          </w:tcPr>
          <w:p w:rsidR="00FA5B15" w:rsidRPr="00F26299" w:rsidRDefault="00FA5B15" w:rsidP="00141CDC">
            <w:pPr>
              <w:autoSpaceDE w:val="0"/>
              <w:autoSpaceDN w:val="0"/>
              <w:adjustRightInd w:val="0"/>
              <w:spacing w:after="0"/>
              <w:rPr>
                <w:rFonts w:ascii="Helvetica" w:hAnsi="Helvetica" w:cs="Helvetica"/>
                <w:b/>
                <w:sz w:val="20"/>
                <w:szCs w:val="20"/>
              </w:rPr>
            </w:pPr>
            <w:r w:rsidRPr="00F26299">
              <w:rPr>
                <w:rFonts w:ascii="Helvetica" w:hAnsi="Helvetica" w:cs="Helvetica"/>
                <w:b/>
                <w:sz w:val="20"/>
                <w:szCs w:val="20"/>
              </w:rPr>
              <w:t>Heavy vehicle type</w:t>
            </w:r>
          </w:p>
        </w:tc>
        <w:tc>
          <w:tcPr>
            <w:tcW w:w="1843" w:type="dxa"/>
            <w:shd w:val="clear" w:color="auto" w:fill="92CDDC" w:themeFill="accent5" w:themeFillTint="99"/>
          </w:tcPr>
          <w:p w:rsidR="00FA5B15" w:rsidRPr="00F26299" w:rsidRDefault="00FA5B15" w:rsidP="00141CDC">
            <w:pPr>
              <w:autoSpaceDE w:val="0"/>
              <w:autoSpaceDN w:val="0"/>
              <w:adjustRightInd w:val="0"/>
              <w:spacing w:after="0"/>
              <w:rPr>
                <w:rFonts w:ascii="Helvetica" w:hAnsi="Helvetica" w:cs="Helvetica"/>
                <w:b/>
                <w:sz w:val="20"/>
                <w:szCs w:val="20"/>
              </w:rPr>
            </w:pPr>
            <w:r w:rsidRPr="00F26299">
              <w:rPr>
                <w:rFonts w:ascii="Helvetica" w:hAnsi="Helvetica" w:cs="Helvetica"/>
                <w:b/>
                <w:sz w:val="20"/>
                <w:szCs w:val="20"/>
              </w:rPr>
              <w:t>No. of trips per 1000 tonnes</w:t>
            </w:r>
          </w:p>
        </w:tc>
        <w:tc>
          <w:tcPr>
            <w:tcW w:w="851" w:type="dxa"/>
            <w:shd w:val="clear" w:color="auto" w:fill="92CDDC" w:themeFill="accent5" w:themeFillTint="99"/>
            <w:vAlign w:val="center"/>
          </w:tcPr>
          <w:p w:rsidR="00FA5B15" w:rsidRPr="00F26299" w:rsidRDefault="00FA5B15" w:rsidP="00141CDC">
            <w:pPr>
              <w:autoSpaceDE w:val="0"/>
              <w:autoSpaceDN w:val="0"/>
              <w:adjustRightInd w:val="0"/>
              <w:spacing w:after="0"/>
              <w:rPr>
                <w:rFonts w:ascii="Helvetica" w:hAnsi="Helvetica" w:cs="Helvetica"/>
                <w:b/>
                <w:sz w:val="20"/>
                <w:szCs w:val="20"/>
              </w:rPr>
            </w:pPr>
            <w:r w:rsidRPr="00F26299">
              <w:rPr>
                <w:rFonts w:ascii="Helvetica" w:hAnsi="Helvetica" w:cs="Helvetica"/>
                <w:b/>
                <w:sz w:val="20"/>
                <w:szCs w:val="20"/>
              </w:rPr>
              <w:t>ESA</w:t>
            </w:r>
          </w:p>
        </w:tc>
      </w:tr>
      <w:tr w:rsidR="00FA5B15" w:rsidTr="00141CDC">
        <w:trPr>
          <w:trHeight w:val="577"/>
        </w:trPr>
        <w:tc>
          <w:tcPr>
            <w:tcW w:w="2876" w:type="dxa"/>
          </w:tcPr>
          <w:p w:rsidR="00FA5B15" w:rsidRPr="00F26299" w:rsidRDefault="00FA5B15" w:rsidP="00141CDC">
            <w:pPr>
              <w:autoSpaceDE w:val="0"/>
              <w:autoSpaceDN w:val="0"/>
              <w:adjustRightInd w:val="0"/>
              <w:spacing w:after="0"/>
              <w:rPr>
                <w:rFonts w:ascii="Helvetica" w:hAnsi="Helvetica" w:cs="Helvetica"/>
                <w:sz w:val="20"/>
                <w:szCs w:val="20"/>
              </w:rPr>
            </w:pPr>
            <w:r>
              <w:rPr>
                <w:rFonts w:ascii="Helvetica" w:hAnsi="Helvetica" w:cs="Helvetica"/>
                <w:noProof/>
                <w:sz w:val="20"/>
                <w:szCs w:val="20"/>
              </w:rPr>
              <w:drawing>
                <wp:anchor distT="0" distB="0" distL="114300" distR="114300" simplePos="0" relativeHeight="251675648" behindDoc="0" locked="0" layoutInCell="1" allowOverlap="1">
                  <wp:simplePos x="0" y="0"/>
                  <wp:positionH relativeFrom="column">
                    <wp:posOffset>-871637</wp:posOffset>
                  </wp:positionH>
                  <wp:positionV relativeFrom="paragraph">
                    <wp:posOffset>15041</wp:posOffset>
                  </wp:positionV>
                  <wp:extent cx="725083" cy="321617"/>
                  <wp:effectExtent l="19050" t="0" r="0" b="0"/>
                  <wp:wrapNone/>
                  <wp:docPr id="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srcRect/>
                          <a:stretch>
                            <a:fillRect/>
                          </a:stretch>
                        </pic:blipFill>
                        <pic:spPr bwMode="auto">
                          <a:xfrm>
                            <a:off x="0" y="0"/>
                            <a:ext cx="725083" cy="321617"/>
                          </a:xfrm>
                          <a:prstGeom prst="rect">
                            <a:avLst/>
                          </a:prstGeom>
                          <a:noFill/>
                        </pic:spPr>
                      </pic:pic>
                    </a:graphicData>
                  </a:graphic>
                </wp:anchor>
              </w:drawing>
            </w:r>
            <w:r>
              <w:rPr>
                <w:rFonts w:ascii="Helvetica" w:hAnsi="Helvetica" w:cs="Helvetica"/>
                <w:noProof/>
                <w:sz w:val="20"/>
                <w:szCs w:val="20"/>
              </w:rPr>
              <w:drawing>
                <wp:anchor distT="0" distB="0" distL="114300" distR="114300" simplePos="0" relativeHeight="251676672" behindDoc="0" locked="0" layoutInCell="1" allowOverlap="1">
                  <wp:simplePos x="0" y="0"/>
                  <wp:positionH relativeFrom="column">
                    <wp:posOffset>-1086485</wp:posOffset>
                  </wp:positionH>
                  <wp:positionV relativeFrom="paragraph">
                    <wp:posOffset>336550</wp:posOffset>
                  </wp:positionV>
                  <wp:extent cx="939165" cy="377825"/>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939165" cy="377825"/>
                          </a:xfrm>
                          <a:prstGeom prst="rect">
                            <a:avLst/>
                          </a:prstGeom>
                          <a:noFill/>
                          <a:ln w="9525">
                            <a:noFill/>
                            <a:miter lim="800000"/>
                            <a:headEnd/>
                            <a:tailEnd/>
                          </a:ln>
                        </pic:spPr>
                      </pic:pic>
                    </a:graphicData>
                  </a:graphic>
                </wp:anchor>
              </w:drawing>
            </w:r>
            <w:r w:rsidRPr="00F26299">
              <w:rPr>
                <w:rFonts w:ascii="Helvetica" w:hAnsi="Helvetica" w:cs="Helvetica"/>
                <w:sz w:val="20"/>
                <w:szCs w:val="20"/>
              </w:rPr>
              <w:t>Traditional 3 axle rigid</w:t>
            </w:r>
          </w:p>
        </w:tc>
        <w:tc>
          <w:tcPr>
            <w:tcW w:w="1843"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77</w:t>
            </w:r>
          </w:p>
        </w:tc>
        <w:tc>
          <w:tcPr>
            <w:tcW w:w="851"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316</w:t>
            </w:r>
          </w:p>
        </w:tc>
      </w:tr>
      <w:tr w:rsidR="00FA5B15" w:rsidTr="00141CDC">
        <w:trPr>
          <w:trHeight w:val="571"/>
        </w:trPr>
        <w:tc>
          <w:tcPr>
            <w:tcW w:w="2876" w:type="dxa"/>
          </w:tcPr>
          <w:p w:rsidR="00FA5B15" w:rsidRPr="00F26299" w:rsidRDefault="00FA5B15" w:rsidP="00141CDC">
            <w:pPr>
              <w:autoSpaceDE w:val="0"/>
              <w:autoSpaceDN w:val="0"/>
              <w:adjustRightInd w:val="0"/>
              <w:spacing w:after="0"/>
              <w:rPr>
                <w:rFonts w:ascii="Helvetica" w:hAnsi="Helvetica" w:cs="Helvetica"/>
                <w:sz w:val="20"/>
                <w:szCs w:val="20"/>
              </w:rPr>
            </w:pPr>
            <w:r w:rsidRPr="00F26299">
              <w:rPr>
                <w:rFonts w:ascii="Helvetica" w:hAnsi="Helvetica" w:cs="Helvetica"/>
                <w:sz w:val="20"/>
                <w:szCs w:val="20"/>
              </w:rPr>
              <w:t>Traditional 6 axle semi-trailer</w:t>
            </w:r>
          </w:p>
        </w:tc>
        <w:tc>
          <w:tcPr>
            <w:tcW w:w="1843"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42</w:t>
            </w:r>
          </w:p>
        </w:tc>
        <w:tc>
          <w:tcPr>
            <w:tcW w:w="851"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257</w:t>
            </w:r>
          </w:p>
        </w:tc>
      </w:tr>
      <w:tr w:rsidR="00FA5B15" w:rsidTr="00141CDC">
        <w:trPr>
          <w:trHeight w:val="552"/>
        </w:trPr>
        <w:tc>
          <w:tcPr>
            <w:tcW w:w="2876" w:type="dxa"/>
          </w:tcPr>
          <w:p w:rsidR="00FA5B15" w:rsidRPr="00F26299" w:rsidRDefault="00FA5B15" w:rsidP="00141CDC">
            <w:pPr>
              <w:autoSpaceDE w:val="0"/>
              <w:autoSpaceDN w:val="0"/>
              <w:adjustRightInd w:val="0"/>
              <w:spacing w:after="0"/>
              <w:rPr>
                <w:rFonts w:ascii="Helvetica" w:hAnsi="Helvetica" w:cs="Helvetica"/>
                <w:sz w:val="20"/>
                <w:szCs w:val="20"/>
              </w:rPr>
            </w:pPr>
            <w:r>
              <w:rPr>
                <w:rFonts w:ascii="Helvetica" w:hAnsi="Helvetica" w:cs="Helvetica"/>
                <w:noProof/>
                <w:sz w:val="20"/>
                <w:szCs w:val="20"/>
              </w:rPr>
              <w:drawing>
                <wp:anchor distT="0" distB="0" distL="114300" distR="114300" simplePos="0" relativeHeight="251677696" behindDoc="0" locked="0" layoutInCell="1" allowOverlap="1">
                  <wp:simplePos x="0" y="0"/>
                  <wp:positionH relativeFrom="column">
                    <wp:posOffset>-1376045</wp:posOffset>
                  </wp:positionH>
                  <wp:positionV relativeFrom="paragraph">
                    <wp:posOffset>-27940</wp:posOffset>
                  </wp:positionV>
                  <wp:extent cx="1226820" cy="34036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226820" cy="340360"/>
                          </a:xfrm>
                          <a:prstGeom prst="rect">
                            <a:avLst/>
                          </a:prstGeom>
                          <a:noFill/>
                          <a:ln w="9525">
                            <a:noFill/>
                            <a:miter lim="800000"/>
                            <a:headEnd/>
                            <a:tailEnd/>
                          </a:ln>
                        </pic:spPr>
                      </pic:pic>
                    </a:graphicData>
                  </a:graphic>
                </wp:anchor>
              </w:drawing>
            </w:r>
            <w:r w:rsidRPr="00F26299">
              <w:rPr>
                <w:rFonts w:ascii="Helvetica" w:hAnsi="Helvetica" w:cs="Helvetica"/>
                <w:sz w:val="20"/>
                <w:szCs w:val="20"/>
              </w:rPr>
              <w:t>Innovative 9 axle B-double</w:t>
            </w:r>
          </w:p>
        </w:tc>
        <w:tc>
          <w:tcPr>
            <w:tcW w:w="1843"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26</w:t>
            </w:r>
          </w:p>
        </w:tc>
        <w:tc>
          <w:tcPr>
            <w:tcW w:w="851"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195</w:t>
            </w:r>
          </w:p>
        </w:tc>
      </w:tr>
      <w:tr w:rsidR="00FA5B15" w:rsidTr="00141CDC">
        <w:trPr>
          <w:trHeight w:val="560"/>
        </w:trPr>
        <w:tc>
          <w:tcPr>
            <w:tcW w:w="2876" w:type="dxa"/>
          </w:tcPr>
          <w:p w:rsidR="00FA5B15" w:rsidRPr="00F26299" w:rsidRDefault="00FA5B15" w:rsidP="00141CDC">
            <w:pPr>
              <w:autoSpaceDE w:val="0"/>
              <w:autoSpaceDN w:val="0"/>
              <w:adjustRightInd w:val="0"/>
              <w:spacing w:after="0"/>
              <w:rPr>
                <w:rFonts w:ascii="Helvetica" w:hAnsi="Helvetica" w:cs="Helvetica"/>
                <w:sz w:val="20"/>
                <w:szCs w:val="20"/>
              </w:rPr>
            </w:pPr>
            <w:r>
              <w:rPr>
                <w:rFonts w:ascii="Helvetica" w:hAnsi="Helvetica" w:cs="Helvetica"/>
                <w:noProof/>
                <w:sz w:val="20"/>
                <w:szCs w:val="20"/>
              </w:rPr>
              <w:drawing>
                <wp:anchor distT="0" distB="0" distL="114300" distR="114300" simplePos="0" relativeHeight="251678720" behindDoc="0" locked="0" layoutInCell="1" allowOverlap="1">
                  <wp:simplePos x="0" y="0"/>
                  <wp:positionH relativeFrom="column">
                    <wp:posOffset>-1918466</wp:posOffset>
                  </wp:positionH>
                  <wp:positionV relativeFrom="paragraph">
                    <wp:posOffset>13706</wp:posOffset>
                  </wp:positionV>
                  <wp:extent cx="1804670" cy="372067"/>
                  <wp:effectExtent l="19050" t="0" r="508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04670" cy="372067"/>
                          </a:xfrm>
                          <a:prstGeom prst="rect">
                            <a:avLst/>
                          </a:prstGeom>
                          <a:noFill/>
                          <a:ln w="9525">
                            <a:noFill/>
                            <a:miter lim="800000"/>
                            <a:headEnd/>
                            <a:tailEnd/>
                          </a:ln>
                        </pic:spPr>
                      </pic:pic>
                    </a:graphicData>
                  </a:graphic>
                </wp:anchor>
              </w:drawing>
            </w:r>
            <w:r w:rsidRPr="00F26299">
              <w:rPr>
                <w:rFonts w:ascii="Helvetica" w:hAnsi="Helvetica" w:cs="Helvetica"/>
                <w:sz w:val="20"/>
                <w:szCs w:val="20"/>
              </w:rPr>
              <w:t>Innovative 12 axle B-triple</w:t>
            </w:r>
          </w:p>
        </w:tc>
        <w:tc>
          <w:tcPr>
            <w:tcW w:w="1843"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20</w:t>
            </w:r>
          </w:p>
        </w:tc>
        <w:tc>
          <w:tcPr>
            <w:tcW w:w="851"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178</w:t>
            </w:r>
          </w:p>
        </w:tc>
      </w:tr>
      <w:tr w:rsidR="00FA5B15" w:rsidTr="00141CDC">
        <w:trPr>
          <w:trHeight w:val="554"/>
        </w:trPr>
        <w:tc>
          <w:tcPr>
            <w:tcW w:w="2876" w:type="dxa"/>
          </w:tcPr>
          <w:p w:rsidR="00FA5B15" w:rsidRPr="00F26299" w:rsidRDefault="00FA5B15" w:rsidP="00141CDC">
            <w:pPr>
              <w:autoSpaceDE w:val="0"/>
              <w:autoSpaceDN w:val="0"/>
              <w:adjustRightInd w:val="0"/>
              <w:spacing w:after="0"/>
              <w:rPr>
                <w:rFonts w:ascii="Helvetica" w:hAnsi="Helvetica" w:cs="Helvetica"/>
                <w:sz w:val="20"/>
                <w:szCs w:val="20"/>
              </w:rPr>
            </w:pPr>
            <w:r>
              <w:rPr>
                <w:rFonts w:ascii="Helvetica" w:hAnsi="Helvetica" w:cs="Helvetica"/>
                <w:noProof/>
                <w:sz w:val="20"/>
                <w:szCs w:val="20"/>
              </w:rPr>
              <w:drawing>
                <wp:anchor distT="0" distB="0" distL="114300" distR="114300" simplePos="0" relativeHeight="251679744" behindDoc="0" locked="0" layoutInCell="1" allowOverlap="1">
                  <wp:simplePos x="0" y="0"/>
                  <wp:positionH relativeFrom="column">
                    <wp:posOffset>-2632863</wp:posOffset>
                  </wp:positionH>
                  <wp:positionV relativeFrom="paragraph">
                    <wp:posOffset>23886</wp:posOffset>
                  </wp:positionV>
                  <wp:extent cx="2516045" cy="353148"/>
                  <wp:effectExtent l="19050" t="0" r="0" b="0"/>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2516045" cy="353148"/>
                          </a:xfrm>
                          <a:prstGeom prst="rect">
                            <a:avLst/>
                          </a:prstGeom>
                          <a:noFill/>
                          <a:ln w="9525">
                            <a:noFill/>
                            <a:miter lim="800000"/>
                            <a:headEnd/>
                            <a:tailEnd/>
                          </a:ln>
                        </pic:spPr>
                      </pic:pic>
                    </a:graphicData>
                  </a:graphic>
                </wp:anchor>
              </w:drawing>
            </w:r>
            <w:r w:rsidRPr="00F26299">
              <w:rPr>
                <w:rFonts w:ascii="Helvetica" w:hAnsi="Helvetica" w:cs="Helvetica"/>
                <w:sz w:val="20"/>
                <w:szCs w:val="20"/>
              </w:rPr>
              <w:t>Traditional 16 axle road train</w:t>
            </w:r>
          </w:p>
        </w:tc>
        <w:tc>
          <w:tcPr>
            <w:tcW w:w="1843"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15</w:t>
            </w:r>
          </w:p>
        </w:tc>
        <w:tc>
          <w:tcPr>
            <w:tcW w:w="851" w:type="dxa"/>
          </w:tcPr>
          <w:p w:rsidR="00FA5B15" w:rsidRPr="00F26299" w:rsidRDefault="00FA5B15" w:rsidP="00141CDC">
            <w:pPr>
              <w:autoSpaceDE w:val="0"/>
              <w:autoSpaceDN w:val="0"/>
              <w:adjustRightInd w:val="0"/>
              <w:spacing w:after="0"/>
              <w:jc w:val="center"/>
              <w:rPr>
                <w:rFonts w:ascii="Helvetica" w:hAnsi="Helvetica" w:cs="Helvetica"/>
                <w:sz w:val="20"/>
                <w:szCs w:val="20"/>
              </w:rPr>
            </w:pPr>
            <w:r w:rsidRPr="00F26299">
              <w:rPr>
                <w:rFonts w:ascii="Helvetica" w:hAnsi="Helvetica" w:cs="Helvetica"/>
                <w:sz w:val="20"/>
                <w:szCs w:val="20"/>
              </w:rPr>
              <w:t>197</w:t>
            </w:r>
          </w:p>
        </w:tc>
      </w:tr>
    </w:tbl>
    <w:p w:rsidR="00FA5B15" w:rsidRPr="00385491" w:rsidRDefault="00FA5B15" w:rsidP="00FA5B15">
      <w:pPr>
        <w:autoSpaceDE w:val="0"/>
        <w:autoSpaceDN w:val="0"/>
        <w:adjustRightInd w:val="0"/>
        <w:spacing w:after="0"/>
        <w:rPr>
          <w:rFonts w:ascii="Helvetica" w:hAnsi="Helvetica" w:cs="Helvetica"/>
          <w:sz w:val="16"/>
          <w:szCs w:val="16"/>
        </w:rPr>
      </w:pPr>
      <w:r>
        <w:rPr>
          <w:rFonts w:ascii="Helvetica" w:hAnsi="Helvetica" w:cs="Helvetica"/>
          <w:sz w:val="16"/>
          <w:szCs w:val="16"/>
        </w:rPr>
        <w:t xml:space="preserve">Source: ATA and </w:t>
      </w:r>
      <w:proofErr w:type="spellStart"/>
      <w:r>
        <w:rPr>
          <w:rFonts w:ascii="Helvetica" w:hAnsi="Helvetica" w:cs="Helvetica"/>
          <w:sz w:val="16"/>
          <w:szCs w:val="16"/>
        </w:rPr>
        <w:t>Barkwood</w:t>
      </w:r>
      <w:proofErr w:type="spellEnd"/>
      <w:r>
        <w:rPr>
          <w:rFonts w:ascii="Helvetica" w:hAnsi="Helvetica" w:cs="Helvetica"/>
          <w:sz w:val="16"/>
          <w:szCs w:val="16"/>
        </w:rPr>
        <w:t xml:space="preserve"> Consulting Pty Ltd</w:t>
      </w:r>
    </w:p>
    <w:p w:rsidR="00FA5B15" w:rsidRDefault="00FA5B15" w:rsidP="00FA5B15">
      <w:pPr>
        <w:autoSpaceDE w:val="0"/>
        <w:autoSpaceDN w:val="0"/>
        <w:adjustRightInd w:val="0"/>
        <w:spacing w:after="0"/>
        <w:rPr>
          <w:rFonts w:ascii="Helvetica" w:hAnsi="Helvetica" w:cs="Helvetica"/>
        </w:rPr>
      </w:pPr>
    </w:p>
    <w:p w:rsidR="00A318E3" w:rsidRPr="00B27C55" w:rsidRDefault="00C46B2F" w:rsidP="00C46B2F">
      <w:pPr>
        <w:autoSpaceDE w:val="0"/>
        <w:autoSpaceDN w:val="0"/>
        <w:adjustRightInd w:val="0"/>
        <w:spacing w:after="0"/>
        <w:rPr>
          <w:rFonts w:ascii="Arial" w:hAnsi="Arial" w:cs="Arial"/>
          <w:sz w:val="20"/>
          <w:szCs w:val="20"/>
        </w:rPr>
      </w:pPr>
      <w:r w:rsidRPr="00B27C55">
        <w:rPr>
          <w:rFonts w:ascii="Arial" w:hAnsi="Arial" w:cs="Arial"/>
          <w:sz w:val="20"/>
          <w:szCs w:val="20"/>
        </w:rPr>
        <w:t xml:space="preserve">What can be seen from </w:t>
      </w:r>
      <w:r w:rsidRPr="00B27C55">
        <w:rPr>
          <w:rFonts w:ascii="Arial" w:hAnsi="Arial" w:cs="Arial"/>
          <w:b/>
          <w:sz w:val="20"/>
          <w:szCs w:val="20"/>
        </w:rPr>
        <w:t>Table 1</w:t>
      </w:r>
      <w:r w:rsidR="00B10325" w:rsidRPr="00B27C55">
        <w:rPr>
          <w:rFonts w:ascii="Arial" w:hAnsi="Arial" w:cs="Arial"/>
          <w:b/>
          <w:sz w:val="20"/>
          <w:szCs w:val="20"/>
        </w:rPr>
        <w:t xml:space="preserve"> </w:t>
      </w:r>
      <w:r w:rsidR="00B10325" w:rsidRPr="00B27C55">
        <w:rPr>
          <w:rFonts w:ascii="Arial" w:hAnsi="Arial" w:cs="Arial"/>
          <w:sz w:val="20"/>
          <w:szCs w:val="20"/>
        </w:rPr>
        <w:t>above</w:t>
      </w:r>
      <w:r w:rsidRPr="00B27C55">
        <w:rPr>
          <w:rFonts w:ascii="Arial" w:hAnsi="Arial" w:cs="Arial"/>
          <w:sz w:val="20"/>
          <w:szCs w:val="20"/>
        </w:rPr>
        <w:t xml:space="preserve"> </w:t>
      </w:r>
      <w:r w:rsidR="00E3621B" w:rsidRPr="00B27C55">
        <w:rPr>
          <w:rFonts w:ascii="Arial" w:hAnsi="Arial" w:cs="Arial"/>
          <w:sz w:val="20"/>
          <w:szCs w:val="20"/>
        </w:rPr>
        <w:t>is that</w:t>
      </w:r>
      <w:r w:rsidRPr="00B27C55">
        <w:rPr>
          <w:rFonts w:ascii="Arial" w:hAnsi="Arial" w:cs="Arial"/>
          <w:sz w:val="20"/>
          <w:szCs w:val="20"/>
        </w:rPr>
        <w:t xml:space="preserve"> more productive heavy vehicles (B-doubles and B-triples) </w:t>
      </w:r>
      <w:r w:rsidR="00A318E3" w:rsidRPr="00B27C55">
        <w:rPr>
          <w:rFonts w:ascii="Arial" w:hAnsi="Arial" w:cs="Arial"/>
          <w:sz w:val="20"/>
          <w:szCs w:val="20"/>
        </w:rPr>
        <w:t xml:space="preserve">are safer, </w:t>
      </w:r>
      <w:r w:rsidRPr="00B27C55">
        <w:rPr>
          <w:rFonts w:ascii="Arial" w:hAnsi="Arial" w:cs="Arial"/>
          <w:sz w:val="20"/>
          <w:szCs w:val="20"/>
        </w:rPr>
        <w:t>take fewer trips to complete a freight task of moving 10</w:t>
      </w:r>
      <w:r w:rsidR="001A5A0B" w:rsidRPr="00B27C55">
        <w:rPr>
          <w:rFonts w:ascii="Arial" w:hAnsi="Arial" w:cs="Arial"/>
          <w:sz w:val="20"/>
          <w:szCs w:val="20"/>
        </w:rPr>
        <w:t>0</w:t>
      </w:r>
      <w:r w:rsidRPr="00B27C55">
        <w:rPr>
          <w:rFonts w:ascii="Arial" w:hAnsi="Arial" w:cs="Arial"/>
          <w:sz w:val="20"/>
          <w:szCs w:val="20"/>
        </w:rPr>
        <w:t xml:space="preserve">0 tonnes and impact to infrastructure (ESA) is </w:t>
      </w:r>
      <w:r w:rsidR="001A5A0B" w:rsidRPr="00B27C55">
        <w:rPr>
          <w:rFonts w:ascii="Arial" w:hAnsi="Arial" w:cs="Arial"/>
          <w:sz w:val="20"/>
          <w:szCs w:val="20"/>
        </w:rPr>
        <w:t>lower</w:t>
      </w:r>
      <w:r w:rsidRPr="00B27C55">
        <w:rPr>
          <w:rFonts w:ascii="Arial" w:hAnsi="Arial" w:cs="Arial"/>
          <w:sz w:val="20"/>
          <w:szCs w:val="20"/>
        </w:rPr>
        <w:t xml:space="preserve"> compared to tradition</w:t>
      </w:r>
      <w:r w:rsidR="00CC1614" w:rsidRPr="00B27C55">
        <w:rPr>
          <w:rFonts w:ascii="Arial" w:hAnsi="Arial" w:cs="Arial"/>
          <w:sz w:val="20"/>
          <w:szCs w:val="20"/>
        </w:rPr>
        <w:t>al</w:t>
      </w:r>
      <w:r w:rsidRPr="00B27C55">
        <w:rPr>
          <w:rFonts w:ascii="Arial" w:hAnsi="Arial" w:cs="Arial"/>
          <w:sz w:val="20"/>
          <w:szCs w:val="20"/>
        </w:rPr>
        <w:t xml:space="preserve"> heavy vehicles.</w:t>
      </w:r>
      <w:r w:rsidR="00E3621B" w:rsidRPr="00B27C55">
        <w:rPr>
          <w:rFonts w:ascii="Arial" w:hAnsi="Arial" w:cs="Arial"/>
          <w:sz w:val="20"/>
          <w:szCs w:val="20"/>
        </w:rPr>
        <w:t xml:space="preserve"> </w:t>
      </w:r>
      <w:r w:rsidR="00BB71C0" w:rsidRPr="00B27C55">
        <w:rPr>
          <w:rFonts w:ascii="Arial" w:hAnsi="Arial" w:cs="Arial"/>
          <w:sz w:val="20"/>
          <w:szCs w:val="20"/>
        </w:rPr>
        <w:t>These vehicles have even less impact on roads when equipped with road friend</w:t>
      </w:r>
      <w:r w:rsidR="00FC0ADF" w:rsidRPr="00B27C55">
        <w:rPr>
          <w:rFonts w:ascii="Arial" w:hAnsi="Arial" w:cs="Arial"/>
          <w:sz w:val="20"/>
          <w:szCs w:val="20"/>
        </w:rPr>
        <w:t>ly</w:t>
      </w:r>
      <w:r w:rsidR="00BB71C0" w:rsidRPr="00B27C55">
        <w:rPr>
          <w:rFonts w:ascii="Arial" w:hAnsi="Arial" w:cs="Arial"/>
          <w:sz w:val="20"/>
          <w:szCs w:val="20"/>
        </w:rPr>
        <w:t xml:space="preserve"> suspension (air-bag suspension) as opposed to traditional steel spring suspension found in many traditional trucks, such as rigid trucks. These facts have been accepted by the </w:t>
      </w:r>
      <w:r w:rsidR="003474E3">
        <w:rPr>
          <w:rFonts w:ascii="Arial" w:hAnsi="Arial" w:cs="Arial"/>
          <w:sz w:val="20"/>
          <w:szCs w:val="20"/>
        </w:rPr>
        <w:t>Australian Transport Council based on OECD research</w:t>
      </w:r>
      <w:r w:rsidR="006120D9" w:rsidRPr="00B27C55">
        <w:rPr>
          <w:rFonts w:ascii="Arial" w:hAnsi="Arial" w:cs="Arial"/>
          <w:sz w:val="20"/>
          <w:szCs w:val="20"/>
        </w:rPr>
        <w:t xml:space="preserve"> as far back as 2000</w:t>
      </w:r>
      <w:r w:rsidR="00BB71C0" w:rsidRPr="00B27C55">
        <w:rPr>
          <w:rFonts w:ascii="Arial" w:hAnsi="Arial" w:cs="Arial"/>
          <w:sz w:val="20"/>
          <w:szCs w:val="20"/>
        </w:rPr>
        <w:t>.</w:t>
      </w:r>
      <w:r w:rsidR="00A318E3" w:rsidRPr="00B27C55">
        <w:rPr>
          <w:rFonts w:ascii="Arial" w:hAnsi="Arial" w:cs="Arial"/>
          <w:sz w:val="20"/>
          <w:szCs w:val="20"/>
        </w:rPr>
        <w:t xml:space="preserve"> </w:t>
      </w:r>
      <w:r w:rsidR="00E3621B" w:rsidRPr="00B27C55">
        <w:rPr>
          <w:rFonts w:ascii="Arial" w:hAnsi="Arial" w:cs="Arial"/>
          <w:sz w:val="20"/>
          <w:szCs w:val="20"/>
        </w:rPr>
        <w:t xml:space="preserve">Yet, despite </w:t>
      </w:r>
      <w:r w:rsidR="00A318E3" w:rsidRPr="00B27C55">
        <w:rPr>
          <w:rFonts w:ascii="Arial" w:hAnsi="Arial" w:cs="Arial"/>
          <w:sz w:val="20"/>
          <w:szCs w:val="20"/>
        </w:rPr>
        <w:t xml:space="preserve">all of </w:t>
      </w:r>
      <w:r w:rsidR="00E3621B" w:rsidRPr="00B27C55">
        <w:rPr>
          <w:rFonts w:ascii="Arial" w:hAnsi="Arial" w:cs="Arial"/>
          <w:sz w:val="20"/>
          <w:szCs w:val="20"/>
        </w:rPr>
        <w:t xml:space="preserve">this evidence, </w:t>
      </w:r>
      <w:r w:rsidR="001A5A0B" w:rsidRPr="00B27C55">
        <w:rPr>
          <w:rFonts w:ascii="Arial" w:hAnsi="Arial" w:cs="Arial"/>
          <w:sz w:val="20"/>
          <w:szCs w:val="20"/>
        </w:rPr>
        <w:t xml:space="preserve">these </w:t>
      </w:r>
      <w:r w:rsidR="006120D9" w:rsidRPr="00B27C55">
        <w:rPr>
          <w:rFonts w:ascii="Arial" w:hAnsi="Arial" w:cs="Arial"/>
          <w:sz w:val="20"/>
          <w:szCs w:val="20"/>
        </w:rPr>
        <w:t>innovative</w:t>
      </w:r>
      <w:r w:rsidR="001A5A0B" w:rsidRPr="00B27C55">
        <w:rPr>
          <w:rFonts w:ascii="Arial" w:hAnsi="Arial" w:cs="Arial"/>
          <w:sz w:val="20"/>
          <w:szCs w:val="20"/>
        </w:rPr>
        <w:t xml:space="preserve"> heavy vehicles are often deni</w:t>
      </w:r>
      <w:r w:rsidR="00FA5B15">
        <w:rPr>
          <w:rFonts w:ascii="Arial" w:hAnsi="Arial" w:cs="Arial"/>
          <w:sz w:val="20"/>
          <w:szCs w:val="20"/>
        </w:rPr>
        <w:t>ed access to local roads by</w:t>
      </w:r>
      <w:r w:rsidR="001A5A0B" w:rsidRPr="00B27C55">
        <w:rPr>
          <w:rFonts w:ascii="Arial" w:hAnsi="Arial" w:cs="Arial"/>
          <w:sz w:val="20"/>
          <w:szCs w:val="20"/>
        </w:rPr>
        <w:t xml:space="preserve"> local governments under the </w:t>
      </w:r>
      <w:r w:rsidR="00730710">
        <w:rPr>
          <w:rFonts w:ascii="Arial" w:hAnsi="Arial" w:cs="Arial"/>
          <w:sz w:val="20"/>
          <w:szCs w:val="20"/>
        </w:rPr>
        <w:t>guise</w:t>
      </w:r>
      <w:r w:rsidR="001A5A0B" w:rsidRPr="00B27C55">
        <w:rPr>
          <w:rFonts w:ascii="Arial" w:hAnsi="Arial" w:cs="Arial"/>
          <w:sz w:val="20"/>
          <w:szCs w:val="20"/>
        </w:rPr>
        <w:t xml:space="preserve"> of protecting </w:t>
      </w:r>
      <w:r w:rsidR="00CC1614" w:rsidRPr="00B27C55">
        <w:rPr>
          <w:rFonts w:ascii="Arial" w:hAnsi="Arial" w:cs="Arial"/>
          <w:sz w:val="20"/>
          <w:szCs w:val="20"/>
        </w:rPr>
        <w:t xml:space="preserve">sensitive </w:t>
      </w:r>
      <w:r w:rsidR="001A5A0B" w:rsidRPr="00B27C55">
        <w:rPr>
          <w:rFonts w:ascii="Arial" w:hAnsi="Arial" w:cs="Arial"/>
          <w:sz w:val="20"/>
          <w:szCs w:val="20"/>
        </w:rPr>
        <w:t xml:space="preserve">infrastructure assets. </w:t>
      </w:r>
    </w:p>
    <w:p w:rsidR="00A318E3" w:rsidRPr="00B27C55" w:rsidRDefault="00A318E3" w:rsidP="00C46B2F">
      <w:pPr>
        <w:autoSpaceDE w:val="0"/>
        <w:autoSpaceDN w:val="0"/>
        <w:adjustRightInd w:val="0"/>
        <w:spacing w:after="0"/>
        <w:rPr>
          <w:rFonts w:ascii="Arial" w:hAnsi="Arial" w:cs="Arial"/>
          <w:sz w:val="20"/>
          <w:szCs w:val="20"/>
        </w:rPr>
      </w:pPr>
    </w:p>
    <w:p w:rsidR="00C46B2F" w:rsidRPr="00B27C55" w:rsidRDefault="00FC0ADF" w:rsidP="00C46B2F">
      <w:pPr>
        <w:autoSpaceDE w:val="0"/>
        <w:autoSpaceDN w:val="0"/>
        <w:adjustRightInd w:val="0"/>
        <w:spacing w:after="0"/>
        <w:rPr>
          <w:rFonts w:ascii="Arial" w:hAnsi="Arial" w:cs="Arial"/>
          <w:sz w:val="20"/>
          <w:szCs w:val="20"/>
        </w:rPr>
      </w:pPr>
      <w:r w:rsidRPr="00B27C55">
        <w:rPr>
          <w:rFonts w:ascii="Arial" w:hAnsi="Arial" w:cs="Arial"/>
          <w:sz w:val="20"/>
          <w:szCs w:val="20"/>
        </w:rPr>
        <w:t>A</w:t>
      </w:r>
      <w:r w:rsidR="00A318E3" w:rsidRPr="00B27C55">
        <w:rPr>
          <w:rFonts w:ascii="Arial" w:hAnsi="Arial" w:cs="Arial"/>
          <w:sz w:val="20"/>
          <w:szCs w:val="20"/>
        </w:rPr>
        <w:t xml:space="preserve"> practical consequence of such </w:t>
      </w:r>
      <w:r w:rsidRPr="00B27C55">
        <w:rPr>
          <w:rFonts w:ascii="Arial" w:hAnsi="Arial" w:cs="Arial"/>
          <w:sz w:val="20"/>
          <w:szCs w:val="20"/>
        </w:rPr>
        <w:t xml:space="preserve">misinformed </w:t>
      </w:r>
      <w:r w:rsidR="00A318E3" w:rsidRPr="00B27C55">
        <w:rPr>
          <w:rFonts w:ascii="Arial" w:hAnsi="Arial" w:cs="Arial"/>
          <w:sz w:val="20"/>
          <w:szCs w:val="20"/>
        </w:rPr>
        <w:t xml:space="preserve">restrictions is that during ‘first and last mile’ freight movements, </w:t>
      </w:r>
      <w:r w:rsidR="00730710">
        <w:rPr>
          <w:rFonts w:ascii="Arial" w:hAnsi="Arial" w:cs="Arial"/>
          <w:sz w:val="20"/>
          <w:szCs w:val="20"/>
        </w:rPr>
        <w:t>safer and longer combinations</w:t>
      </w:r>
      <w:r w:rsidR="00A318E3" w:rsidRPr="00B27C55">
        <w:rPr>
          <w:rFonts w:ascii="Arial" w:hAnsi="Arial" w:cs="Arial"/>
          <w:sz w:val="20"/>
          <w:szCs w:val="20"/>
        </w:rPr>
        <w:t xml:space="preserve"> </w:t>
      </w:r>
      <w:r w:rsidR="006120D9" w:rsidRPr="00B27C55">
        <w:rPr>
          <w:rFonts w:ascii="Arial" w:hAnsi="Arial" w:cs="Arial"/>
          <w:sz w:val="20"/>
          <w:szCs w:val="20"/>
        </w:rPr>
        <w:t>need</w:t>
      </w:r>
      <w:r w:rsidR="00A318E3" w:rsidRPr="00B27C55">
        <w:rPr>
          <w:rFonts w:ascii="Arial" w:hAnsi="Arial" w:cs="Arial"/>
          <w:sz w:val="20"/>
          <w:szCs w:val="20"/>
        </w:rPr>
        <w:t xml:space="preserve"> to </w:t>
      </w:r>
      <w:r w:rsidR="00CA27BC" w:rsidRPr="00B27C55">
        <w:rPr>
          <w:rFonts w:ascii="Arial" w:hAnsi="Arial" w:cs="Arial"/>
          <w:sz w:val="20"/>
          <w:szCs w:val="20"/>
        </w:rPr>
        <w:t xml:space="preserve">have their trailers </w:t>
      </w:r>
      <w:r w:rsidR="00A318E3" w:rsidRPr="00B27C55">
        <w:rPr>
          <w:rFonts w:ascii="Arial" w:hAnsi="Arial" w:cs="Arial"/>
          <w:sz w:val="20"/>
          <w:szCs w:val="20"/>
        </w:rPr>
        <w:t>de-couple</w:t>
      </w:r>
      <w:r w:rsidR="00CA27BC" w:rsidRPr="00B27C55">
        <w:rPr>
          <w:rFonts w:ascii="Arial" w:hAnsi="Arial" w:cs="Arial"/>
          <w:sz w:val="20"/>
          <w:szCs w:val="20"/>
        </w:rPr>
        <w:t>d</w:t>
      </w:r>
      <w:r w:rsidR="00A318E3" w:rsidRPr="00B27C55">
        <w:rPr>
          <w:rFonts w:ascii="Arial" w:hAnsi="Arial" w:cs="Arial"/>
          <w:sz w:val="20"/>
          <w:szCs w:val="20"/>
        </w:rPr>
        <w:t xml:space="preserve"> </w:t>
      </w:r>
      <w:r w:rsidR="006120D9" w:rsidRPr="00B27C55">
        <w:rPr>
          <w:rFonts w:ascii="Arial" w:hAnsi="Arial" w:cs="Arial"/>
          <w:sz w:val="20"/>
          <w:szCs w:val="20"/>
        </w:rPr>
        <w:t xml:space="preserve">and moved with </w:t>
      </w:r>
      <w:r w:rsidR="00CA27BC" w:rsidRPr="00B27C55">
        <w:rPr>
          <w:rFonts w:ascii="Arial" w:hAnsi="Arial" w:cs="Arial"/>
          <w:sz w:val="20"/>
          <w:szCs w:val="20"/>
        </w:rPr>
        <w:t xml:space="preserve">additional </w:t>
      </w:r>
      <w:r w:rsidR="006120D9" w:rsidRPr="00B27C55">
        <w:rPr>
          <w:rFonts w:ascii="Arial" w:hAnsi="Arial" w:cs="Arial"/>
          <w:sz w:val="20"/>
          <w:szCs w:val="20"/>
        </w:rPr>
        <w:t>prime movers</w:t>
      </w:r>
      <w:r w:rsidR="00A318E3" w:rsidRPr="00B27C55">
        <w:rPr>
          <w:rFonts w:ascii="Arial" w:hAnsi="Arial" w:cs="Arial"/>
          <w:sz w:val="20"/>
          <w:szCs w:val="20"/>
        </w:rPr>
        <w:t xml:space="preserve"> in order to pass in and out of local </w:t>
      </w:r>
      <w:r w:rsidR="00CA27BC" w:rsidRPr="00B27C55">
        <w:rPr>
          <w:rFonts w:ascii="Arial" w:hAnsi="Arial" w:cs="Arial"/>
          <w:sz w:val="20"/>
          <w:szCs w:val="20"/>
        </w:rPr>
        <w:t>jurisdictions</w:t>
      </w:r>
      <w:r w:rsidR="00A318E3" w:rsidRPr="00B27C55">
        <w:rPr>
          <w:rFonts w:ascii="Arial" w:hAnsi="Arial" w:cs="Arial"/>
          <w:sz w:val="20"/>
          <w:szCs w:val="20"/>
        </w:rPr>
        <w:t xml:space="preserve">. </w:t>
      </w:r>
      <w:r w:rsidR="00FA606E" w:rsidRPr="00B27C55">
        <w:rPr>
          <w:rFonts w:ascii="Arial" w:hAnsi="Arial" w:cs="Arial"/>
          <w:sz w:val="20"/>
          <w:szCs w:val="20"/>
        </w:rPr>
        <w:t>This results in lost time and additional costs. A</w:t>
      </w:r>
      <w:r w:rsidRPr="00B27C55">
        <w:rPr>
          <w:rFonts w:ascii="Arial" w:hAnsi="Arial" w:cs="Arial"/>
          <w:sz w:val="20"/>
          <w:szCs w:val="20"/>
        </w:rPr>
        <w:t>n alternative practical consequence is that</w:t>
      </w:r>
      <w:r w:rsidR="00FA606E" w:rsidRPr="00B27C55">
        <w:rPr>
          <w:rFonts w:ascii="Arial" w:hAnsi="Arial" w:cs="Arial"/>
          <w:sz w:val="20"/>
          <w:szCs w:val="20"/>
        </w:rPr>
        <w:t xml:space="preserve">, where operators view the task of de-coupling </w:t>
      </w:r>
      <w:r w:rsidR="00CA27BC" w:rsidRPr="00B27C55">
        <w:rPr>
          <w:rFonts w:ascii="Arial" w:hAnsi="Arial" w:cs="Arial"/>
          <w:sz w:val="20"/>
          <w:szCs w:val="20"/>
        </w:rPr>
        <w:t xml:space="preserve">to be </w:t>
      </w:r>
      <w:r w:rsidR="00FA606E" w:rsidRPr="00B27C55">
        <w:rPr>
          <w:rFonts w:ascii="Arial" w:hAnsi="Arial" w:cs="Arial"/>
          <w:sz w:val="20"/>
          <w:szCs w:val="20"/>
        </w:rPr>
        <w:t xml:space="preserve">too costly and time-consuming, </w:t>
      </w:r>
      <w:r w:rsidRPr="00B27C55">
        <w:rPr>
          <w:rFonts w:ascii="Arial" w:hAnsi="Arial" w:cs="Arial"/>
          <w:sz w:val="20"/>
          <w:szCs w:val="20"/>
        </w:rPr>
        <w:t>operators</w:t>
      </w:r>
      <w:r w:rsidR="00FA606E" w:rsidRPr="00B27C55">
        <w:rPr>
          <w:rFonts w:ascii="Arial" w:hAnsi="Arial" w:cs="Arial"/>
          <w:sz w:val="20"/>
          <w:szCs w:val="20"/>
        </w:rPr>
        <w:t xml:space="preserve"> may </w:t>
      </w:r>
      <w:r w:rsidR="00B36C90">
        <w:rPr>
          <w:rFonts w:ascii="Arial" w:hAnsi="Arial" w:cs="Arial"/>
          <w:sz w:val="20"/>
          <w:szCs w:val="20"/>
        </w:rPr>
        <w:t>make a business decision</w:t>
      </w:r>
      <w:r w:rsidR="00FA606E" w:rsidRPr="00B27C55">
        <w:rPr>
          <w:rFonts w:ascii="Arial" w:hAnsi="Arial" w:cs="Arial"/>
          <w:sz w:val="20"/>
          <w:szCs w:val="20"/>
        </w:rPr>
        <w:t xml:space="preserve"> to use </w:t>
      </w:r>
      <w:r w:rsidR="00B36C90">
        <w:rPr>
          <w:rFonts w:ascii="Arial" w:hAnsi="Arial" w:cs="Arial"/>
          <w:sz w:val="20"/>
          <w:szCs w:val="20"/>
        </w:rPr>
        <w:t xml:space="preserve">more </w:t>
      </w:r>
      <w:r w:rsidR="00FA606E" w:rsidRPr="00B27C55">
        <w:rPr>
          <w:rFonts w:ascii="Arial" w:hAnsi="Arial" w:cs="Arial"/>
          <w:sz w:val="20"/>
          <w:szCs w:val="20"/>
        </w:rPr>
        <w:t xml:space="preserve">less productive heavy vehicle combinations for the whole journey. Either way, </w:t>
      </w:r>
      <w:r w:rsidR="00B36C90">
        <w:rPr>
          <w:rFonts w:ascii="Arial" w:hAnsi="Arial" w:cs="Arial"/>
          <w:sz w:val="20"/>
          <w:szCs w:val="20"/>
        </w:rPr>
        <w:t>the result</w:t>
      </w:r>
      <w:r w:rsidR="00FA606E" w:rsidRPr="00B27C55">
        <w:rPr>
          <w:rFonts w:ascii="Arial" w:hAnsi="Arial" w:cs="Arial"/>
          <w:sz w:val="20"/>
          <w:szCs w:val="20"/>
        </w:rPr>
        <w:t xml:space="preserve"> is </w:t>
      </w:r>
      <w:r w:rsidRPr="00B27C55">
        <w:rPr>
          <w:rFonts w:ascii="Arial" w:hAnsi="Arial" w:cs="Arial"/>
          <w:sz w:val="20"/>
          <w:szCs w:val="20"/>
        </w:rPr>
        <w:t xml:space="preserve">that </w:t>
      </w:r>
      <w:r w:rsidR="00FA606E" w:rsidRPr="00B27C55">
        <w:rPr>
          <w:rFonts w:ascii="Arial" w:hAnsi="Arial" w:cs="Arial"/>
          <w:sz w:val="20"/>
          <w:szCs w:val="20"/>
        </w:rPr>
        <w:t xml:space="preserve">more </w:t>
      </w:r>
      <w:r w:rsidR="001A5A0B" w:rsidRPr="00B27C55">
        <w:rPr>
          <w:rFonts w:ascii="Arial" w:hAnsi="Arial" w:cs="Arial"/>
          <w:sz w:val="20"/>
          <w:szCs w:val="20"/>
        </w:rPr>
        <w:t xml:space="preserve">costs fall </w:t>
      </w:r>
      <w:r w:rsidR="00CA27BC" w:rsidRPr="00B27C55">
        <w:rPr>
          <w:rFonts w:ascii="Arial" w:hAnsi="Arial" w:cs="Arial"/>
          <w:sz w:val="20"/>
          <w:szCs w:val="20"/>
        </w:rPr>
        <w:t>on operators, businesses who rely on</w:t>
      </w:r>
      <w:r w:rsidR="001A5A0B" w:rsidRPr="00B27C55">
        <w:rPr>
          <w:rFonts w:ascii="Arial" w:hAnsi="Arial" w:cs="Arial"/>
          <w:sz w:val="20"/>
          <w:szCs w:val="20"/>
        </w:rPr>
        <w:t xml:space="preserve"> road freight </w:t>
      </w:r>
      <w:r w:rsidR="00CA27BC" w:rsidRPr="00B27C55">
        <w:rPr>
          <w:rFonts w:ascii="Arial" w:hAnsi="Arial" w:cs="Arial"/>
          <w:sz w:val="20"/>
          <w:szCs w:val="20"/>
        </w:rPr>
        <w:t xml:space="preserve">transfer </w:t>
      </w:r>
      <w:r w:rsidR="001A5A0B" w:rsidRPr="00B27C55">
        <w:rPr>
          <w:rFonts w:ascii="Arial" w:hAnsi="Arial" w:cs="Arial"/>
          <w:sz w:val="20"/>
          <w:szCs w:val="20"/>
        </w:rPr>
        <w:t xml:space="preserve">and ultimately those who consume the </w:t>
      </w:r>
      <w:r w:rsidR="009668C1" w:rsidRPr="00B27C55">
        <w:rPr>
          <w:rFonts w:ascii="Arial" w:hAnsi="Arial" w:cs="Arial"/>
          <w:sz w:val="20"/>
          <w:szCs w:val="20"/>
        </w:rPr>
        <w:t>commodities</w:t>
      </w:r>
      <w:r w:rsidR="001A5A0B" w:rsidRPr="00B27C55">
        <w:rPr>
          <w:rFonts w:ascii="Arial" w:hAnsi="Arial" w:cs="Arial"/>
          <w:sz w:val="20"/>
          <w:szCs w:val="20"/>
        </w:rPr>
        <w:t xml:space="preserve"> transported. </w:t>
      </w:r>
      <w:r w:rsidR="00CC1614" w:rsidRPr="00B27C55">
        <w:rPr>
          <w:rFonts w:ascii="Arial" w:hAnsi="Arial" w:cs="Arial"/>
          <w:sz w:val="20"/>
          <w:szCs w:val="20"/>
        </w:rPr>
        <w:t xml:space="preserve">It also, ironically, </w:t>
      </w:r>
      <w:r w:rsidR="00B36C90">
        <w:rPr>
          <w:rFonts w:ascii="Arial" w:hAnsi="Arial" w:cs="Arial"/>
          <w:sz w:val="20"/>
          <w:szCs w:val="20"/>
        </w:rPr>
        <w:t>this creates more infrastructure wear because more trucks are needed to move the freight</w:t>
      </w:r>
      <w:r w:rsidR="00CC1614" w:rsidRPr="00B27C55">
        <w:rPr>
          <w:rFonts w:ascii="Arial" w:hAnsi="Arial" w:cs="Arial"/>
          <w:sz w:val="20"/>
          <w:szCs w:val="20"/>
        </w:rPr>
        <w:t xml:space="preserve">. </w:t>
      </w:r>
      <w:r w:rsidR="009668C1" w:rsidRPr="00B27C55">
        <w:rPr>
          <w:rFonts w:ascii="Arial" w:hAnsi="Arial" w:cs="Arial"/>
          <w:sz w:val="20"/>
          <w:szCs w:val="20"/>
        </w:rPr>
        <w:t>Th</w:t>
      </w:r>
      <w:r w:rsidR="006120D9" w:rsidRPr="00B27C55">
        <w:rPr>
          <w:rFonts w:ascii="Arial" w:hAnsi="Arial" w:cs="Arial"/>
          <w:sz w:val="20"/>
          <w:szCs w:val="20"/>
        </w:rPr>
        <w:t xml:space="preserve">us, </w:t>
      </w:r>
      <w:r w:rsidR="009668C1" w:rsidRPr="00B27C55">
        <w:rPr>
          <w:rFonts w:ascii="Arial" w:hAnsi="Arial" w:cs="Arial"/>
          <w:sz w:val="20"/>
          <w:szCs w:val="20"/>
        </w:rPr>
        <w:t>local governments are short-changing local business possibilities</w:t>
      </w:r>
      <w:r w:rsidRPr="00B27C55">
        <w:rPr>
          <w:rFonts w:ascii="Arial" w:hAnsi="Arial" w:cs="Arial"/>
          <w:sz w:val="20"/>
          <w:szCs w:val="20"/>
        </w:rPr>
        <w:t xml:space="preserve"> and </w:t>
      </w:r>
      <w:r w:rsidR="009668C1" w:rsidRPr="00B27C55">
        <w:rPr>
          <w:rFonts w:ascii="Arial" w:hAnsi="Arial" w:cs="Arial"/>
          <w:sz w:val="20"/>
          <w:szCs w:val="20"/>
        </w:rPr>
        <w:t xml:space="preserve">the </w:t>
      </w:r>
      <w:r w:rsidR="00CA27BC" w:rsidRPr="00B27C55">
        <w:rPr>
          <w:rFonts w:ascii="Arial" w:hAnsi="Arial" w:cs="Arial"/>
          <w:sz w:val="20"/>
          <w:szCs w:val="20"/>
        </w:rPr>
        <w:t xml:space="preserve">productive </w:t>
      </w:r>
      <w:r w:rsidR="009668C1" w:rsidRPr="00B27C55">
        <w:rPr>
          <w:rFonts w:ascii="Arial" w:hAnsi="Arial" w:cs="Arial"/>
          <w:sz w:val="20"/>
          <w:szCs w:val="20"/>
        </w:rPr>
        <w:t>futures of their own communities</w:t>
      </w:r>
      <w:r w:rsidR="00CC1614" w:rsidRPr="00B27C55">
        <w:rPr>
          <w:rFonts w:ascii="Arial" w:hAnsi="Arial" w:cs="Arial"/>
          <w:sz w:val="20"/>
          <w:szCs w:val="20"/>
        </w:rPr>
        <w:t>, and</w:t>
      </w:r>
      <w:r w:rsidRPr="00B27C55">
        <w:rPr>
          <w:rFonts w:ascii="Arial" w:hAnsi="Arial" w:cs="Arial"/>
          <w:sz w:val="20"/>
          <w:szCs w:val="20"/>
        </w:rPr>
        <w:t xml:space="preserve"> are</w:t>
      </w:r>
      <w:r w:rsidR="00CC1614" w:rsidRPr="00B27C55">
        <w:rPr>
          <w:rFonts w:ascii="Arial" w:hAnsi="Arial" w:cs="Arial"/>
          <w:sz w:val="20"/>
          <w:szCs w:val="20"/>
        </w:rPr>
        <w:t xml:space="preserve"> exposing their</w:t>
      </w:r>
      <w:r w:rsidRPr="00B27C55">
        <w:rPr>
          <w:rFonts w:ascii="Arial" w:hAnsi="Arial" w:cs="Arial"/>
          <w:sz w:val="20"/>
          <w:szCs w:val="20"/>
        </w:rPr>
        <w:t xml:space="preserve"> </w:t>
      </w:r>
      <w:r w:rsidR="00CC1614" w:rsidRPr="00B27C55">
        <w:rPr>
          <w:rFonts w:ascii="Arial" w:hAnsi="Arial" w:cs="Arial"/>
          <w:sz w:val="20"/>
          <w:szCs w:val="20"/>
        </w:rPr>
        <w:t>infrastructure</w:t>
      </w:r>
      <w:r w:rsidRPr="00B27C55">
        <w:rPr>
          <w:rFonts w:ascii="Arial" w:hAnsi="Arial" w:cs="Arial"/>
          <w:sz w:val="20"/>
          <w:szCs w:val="20"/>
        </w:rPr>
        <w:t xml:space="preserve"> </w:t>
      </w:r>
      <w:r w:rsidR="00B36C90">
        <w:rPr>
          <w:rFonts w:ascii="Arial" w:hAnsi="Arial" w:cs="Arial"/>
          <w:sz w:val="20"/>
          <w:szCs w:val="20"/>
        </w:rPr>
        <w:t>to more</w:t>
      </w:r>
      <w:r w:rsidR="00CC1614" w:rsidRPr="00B27C55">
        <w:rPr>
          <w:rFonts w:ascii="Arial" w:hAnsi="Arial" w:cs="Arial"/>
          <w:sz w:val="20"/>
          <w:szCs w:val="20"/>
        </w:rPr>
        <w:t xml:space="preserve"> </w:t>
      </w:r>
      <w:r w:rsidR="00B36C90">
        <w:rPr>
          <w:rFonts w:ascii="Arial" w:hAnsi="Arial" w:cs="Arial"/>
          <w:sz w:val="20"/>
          <w:szCs w:val="20"/>
        </w:rPr>
        <w:t>wear</w:t>
      </w:r>
      <w:r w:rsidR="009668C1" w:rsidRPr="00B27C55">
        <w:rPr>
          <w:rFonts w:ascii="Arial" w:hAnsi="Arial" w:cs="Arial"/>
          <w:sz w:val="20"/>
          <w:szCs w:val="20"/>
        </w:rPr>
        <w:t>.</w:t>
      </w:r>
      <w:r w:rsidR="005115E3" w:rsidRPr="00B27C55">
        <w:rPr>
          <w:rFonts w:ascii="Arial" w:hAnsi="Arial" w:cs="Arial"/>
          <w:sz w:val="20"/>
          <w:szCs w:val="20"/>
        </w:rPr>
        <w:t xml:space="preserve"> If local governments do not want to see </w:t>
      </w:r>
      <w:r w:rsidR="005115E3" w:rsidRPr="00B27C55">
        <w:rPr>
          <w:rFonts w:ascii="Arial" w:hAnsi="Arial" w:cs="Arial"/>
          <w:sz w:val="20"/>
          <w:szCs w:val="20"/>
        </w:rPr>
        <w:lastRenderedPageBreak/>
        <w:t xml:space="preserve">prices </w:t>
      </w:r>
      <w:r w:rsidR="00CA27BC" w:rsidRPr="00B27C55">
        <w:rPr>
          <w:rFonts w:ascii="Arial" w:hAnsi="Arial" w:cs="Arial"/>
          <w:sz w:val="20"/>
          <w:szCs w:val="20"/>
        </w:rPr>
        <w:t xml:space="preserve">of goods and services </w:t>
      </w:r>
      <w:r w:rsidR="005115E3" w:rsidRPr="00B27C55">
        <w:rPr>
          <w:rFonts w:ascii="Arial" w:hAnsi="Arial" w:cs="Arial"/>
          <w:sz w:val="20"/>
          <w:szCs w:val="20"/>
        </w:rPr>
        <w:t>rise at their local stores</w:t>
      </w:r>
      <w:r w:rsidR="00CA27BC" w:rsidRPr="00B27C55">
        <w:rPr>
          <w:rFonts w:ascii="Arial" w:hAnsi="Arial" w:cs="Arial"/>
          <w:sz w:val="20"/>
          <w:szCs w:val="20"/>
        </w:rPr>
        <w:t xml:space="preserve"> and service providers</w:t>
      </w:r>
      <w:r w:rsidR="005115E3" w:rsidRPr="00B27C55">
        <w:rPr>
          <w:rFonts w:ascii="Arial" w:hAnsi="Arial" w:cs="Arial"/>
          <w:sz w:val="20"/>
          <w:szCs w:val="20"/>
        </w:rPr>
        <w:t>,</w:t>
      </w:r>
      <w:r w:rsidR="00CA27BC" w:rsidRPr="00B27C55">
        <w:rPr>
          <w:rFonts w:ascii="Arial" w:hAnsi="Arial" w:cs="Arial"/>
          <w:sz w:val="20"/>
          <w:szCs w:val="20"/>
        </w:rPr>
        <w:t xml:space="preserve"> then</w:t>
      </w:r>
      <w:r w:rsidR="005115E3" w:rsidRPr="00B27C55">
        <w:rPr>
          <w:rFonts w:ascii="Arial" w:hAnsi="Arial" w:cs="Arial"/>
          <w:sz w:val="20"/>
          <w:szCs w:val="20"/>
        </w:rPr>
        <w:t xml:space="preserve"> </w:t>
      </w:r>
      <w:r w:rsidR="006120D9" w:rsidRPr="00B27C55">
        <w:rPr>
          <w:rFonts w:ascii="Arial" w:hAnsi="Arial" w:cs="Arial"/>
          <w:sz w:val="20"/>
          <w:szCs w:val="20"/>
        </w:rPr>
        <w:t>greater</w:t>
      </w:r>
      <w:r w:rsidR="005115E3" w:rsidRPr="00B27C55">
        <w:rPr>
          <w:rFonts w:ascii="Arial" w:hAnsi="Arial" w:cs="Arial"/>
          <w:sz w:val="20"/>
          <w:szCs w:val="20"/>
        </w:rPr>
        <w:t xml:space="preserve"> local </w:t>
      </w:r>
      <w:r w:rsidR="00CA27BC" w:rsidRPr="00B27C55">
        <w:rPr>
          <w:rFonts w:ascii="Arial" w:hAnsi="Arial" w:cs="Arial"/>
          <w:sz w:val="20"/>
          <w:szCs w:val="20"/>
        </w:rPr>
        <w:t xml:space="preserve">road </w:t>
      </w:r>
      <w:r w:rsidR="005115E3" w:rsidRPr="00B27C55">
        <w:rPr>
          <w:rFonts w:ascii="Arial" w:hAnsi="Arial" w:cs="Arial"/>
          <w:sz w:val="20"/>
          <w:szCs w:val="20"/>
        </w:rPr>
        <w:t xml:space="preserve">access for innovative </w:t>
      </w:r>
      <w:r w:rsidR="00B36C90">
        <w:rPr>
          <w:rFonts w:ascii="Arial" w:hAnsi="Arial" w:cs="Arial"/>
          <w:sz w:val="20"/>
          <w:szCs w:val="20"/>
        </w:rPr>
        <w:t>combinations</w:t>
      </w:r>
      <w:r w:rsidR="005115E3" w:rsidRPr="00B27C55">
        <w:rPr>
          <w:rFonts w:ascii="Arial" w:hAnsi="Arial" w:cs="Arial"/>
          <w:sz w:val="20"/>
          <w:szCs w:val="20"/>
        </w:rPr>
        <w:t xml:space="preserve"> must be </w:t>
      </w:r>
      <w:r w:rsidR="00CC1614" w:rsidRPr="00B27C55">
        <w:rPr>
          <w:rFonts w:ascii="Arial" w:hAnsi="Arial" w:cs="Arial"/>
          <w:sz w:val="20"/>
          <w:szCs w:val="20"/>
        </w:rPr>
        <w:t>consider</w:t>
      </w:r>
      <w:r w:rsidR="005115E3" w:rsidRPr="00B27C55">
        <w:rPr>
          <w:rFonts w:ascii="Arial" w:hAnsi="Arial" w:cs="Arial"/>
          <w:sz w:val="20"/>
          <w:szCs w:val="20"/>
        </w:rPr>
        <w:t>ed.</w:t>
      </w:r>
    </w:p>
    <w:p w:rsidR="00C46B2F" w:rsidRPr="00B27C55" w:rsidRDefault="00C46B2F" w:rsidP="00C46B2F">
      <w:pPr>
        <w:autoSpaceDE w:val="0"/>
        <w:autoSpaceDN w:val="0"/>
        <w:adjustRightInd w:val="0"/>
        <w:spacing w:after="0"/>
        <w:rPr>
          <w:rFonts w:ascii="Arial" w:hAnsi="Arial" w:cs="Arial"/>
          <w:sz w:val="20"/>
          <w:szCs w:val="20"/>
        </w:rPr>
      </w:pPr>
    </w:p>
    <w:p w:rsidR="00C26C3B" w:rsidRPr="00B27C55" w:rsidRDefault="002A5A89" w:rsidP="00C26C3B">
      <w:pPr>
        <w:autoSpaceDE w:val="0"/>
        <w:autoSpaceDN w:val="0"/>
        <w:adjustRightInd w:val="0"/>
        <w:spacing w:after="0"/>
        <w:rPr>
          <w:rFonts w:ascii="Arial" w:hAnsi="Arial" w:cs="Arial"/>
          <w:b/>
          <w:color w:val="17365D" w:themeColor="text2" w:themeShade="BF"/>
          <w:sz w:val="20"/>
          <w:szCs w:val="20"/>
        </w:rPr>
      </w:pPr>
      <w:r w:rsidRPr="00B27C55">
        <w:rPr>
          <w:rFonts w:ascii="Arial" w:hAnsi="Arial" w:cs="Arial"/>
          <w:b/>
          <w:color w:val="17365D" w:themeColor="text2" w:themeShade="BF"/>
          <w:sz w:val="20"/>
          <w:szCs w:val="20"/>
        </w:rPr>
        <w:t>5</w:t>
      </w:r>
      <w:r w:rsidR="00C26C3B" w:rsidRPr="00B27C55">
        <w:rPr>
          <w:rFonts w:ascii="Arial" w:hAnsi="Arial" w:cs="Arial"/>
          <w:b/>
          <w:color w:val="17365D" w:themeColor="text2" w:themeShade="BF"/>
          <w:sz w:val="20"/>
          <w:szCs w:val="20"/>
        </w:rPr>
        <w:t>.2. Preventing Increase</w:t>
      </w:r>
      <w:r w:rsidR="00FA5B15">
        <w:rPr>
          <w:rFonts w:ascii="Arial" w:hAnsi="Arial" w:cs="Arial"/>
          <w:b/>
          <w:color w:val="17365D" w:themeColor="text2" w:themeShade="BF"/>
          <w:sz w:val="20"/>
          <w:szCs w:val="20"/>
        </w:rPr>
        <w:t>s</w:t>
      </w:r>
      <w:r w:rsidR="00C26C3B" w:rsidRPr="00B27C55">
        <w:rPr>
          <w:rFonts w:ascii="Arial" w:hAnsi="Arial" w:cs="Arial"/>
          <w:b/>
          <w:color w:val="17365D" w:themeColor="text2" w:themeShade="BF"/>
          <w:sz w:val="20"/>
          <w:szCs w:val="20"/>
        </w:rPr>
        <w:t xml:space="preserve"> in Noise Pollution</w:t>
      </w:r>
      <w:r w:rsidR="00ED2DA4" w:rsidRPr="00B27C55">
        <w:rPr>
          <w:rFonts w:ascii="Arial" w:hAnsi="Arial" w:cs="Arial"/>
          <w:b/>
          <w:color w:val="17365D" w:themeColor="text2" w:themeShade="BF"/>
          <w:sz w:val="20"/>
          <w:szCs w:val="20"/>
        </w:rPr>
        <w:t xml:space="preserve"> and Road Congestion</w:t>
      </w:r>
    </w:p>
    <w:p w:rsidR="002258BD" w:rsidRPr="00B27C55" w:rsidRDefault="002258BD" w:rsidP="00910BCA">
      <w:pPr>
        <w:autoSpaceDE w:val="0"/>
        <w:autoSpaceDN w:val="0"/>
        <w:adjustRightInd w:val="0"/>
        <w:spacing w:after="0"/>
        <w:rPr>
          <w:rFonts w:ascii="Arial" w:hAnsi="Arial" w:cs="Arial"/>
          <w:sz w:val="20"/>
          <w:szCs w:val="20"/>
        </w:rPr>
      </w:pPr>
    </w:p>
    <w:p w:rsidR="00B36C90" w:rsidRDefault="00FC0ADF" w:rsidP="00910BCA">
      <w:pPr>
        <w:autoSpaceDE w:val="0"/>
        <w:autoSpaceDN w:val="0"/>
        <w:adjustRightInd w:val="0"/>
        <w:spacing w:after="0"/>
        <w:rPr>
          <w:rFonts w:ascii="Arial" w:hAnsi="Arial" w:cs="Arial"/>
          <w:sz w:val="20"/>
          <w:szCs w:val="20"/>
        </w:rPr>
      </w:pPr>
      <w:r w:rsidRPr="00B27C55">
        <w:rPr>
          <w:rFonts w:ascii="Arial" w:hAnsi="Arial" w:cs="Arial"/>
          <w:sz w:val="20"/>
          <w:szCs w:val="20"/>
        </w:rPr>
        <w:t>Furth</w:t>
      </w:r>
      <w:r w:rsidR="002C58AE" w:rsidRPr="00B27C55">
        <w:rPr>
          <w:rFonts w:ascii="Arial" w:hAnsi="Arial" w:cs="Arial"/>
          <w:sz w:val="20"/>
          <w:szCs w:val="20"/>
        </w:rPr>
        <w:t xml:space="preserve">er reasons </w:t>
      </w:r>
      <w:r w:rsidR="006120D9" w:rsidRPr="00B27C55">
        <w:rPr>
          <w:rFonts w:ascii="Arial" w:hAnsi="Arial" w:cs="Arial"/>
          <w:sz w:val="20"/>
          <w:szCs w:val="20"/>
        </w:rPr>
        <w:t xml:space="preserve">given by local governments </w:t>
      </w:r>
      <w:r w:rsidR="002C58AE" w:rsidRPr="00B27C55">
        <w:rPr>
          <w:rFonts w:ascii="Arial" w:hAnsi="Arial" w:cs="Arial"/>
          <w:sz w:val="20"/>
          <w:szCs w:val="20"/>
        </w:rPr>
        <w:t>for refusal or restriction of</w:t>
      </w:r>
      <w:r w:rsidR="00CC1614" w:rsidRPr="00B27C55">
        <w:rPr>
          <w:rFonts w:ascii="Arial" w:hAnsi="Arial" w:cs="Arial"/>
          <w:sz w:val="20"/>
          <w:szCs w:val="20"/>
        </w:rPr>
        <w:t xml:space="preserve"> local road</w:t>
      </w:r>
      <w:r w:rsidR="002C58AE" w:rsidRPr="00B27C55">
        <w:rPr>
          <w:rFonts w:ascii="Arial" w:hAnsi="Arial" w:cs="Arial"/>
          <w:sz w:val="20"/>
          <w:szCs w:val="20"/>
        </w:rPr>
        <w:t xml:space="preserve"> access or use </w:t>
      </w:r>
      <w:r w:rsidR="00CC1614" w:rsidRPr="00B27C55">
        <w:rPr>
          <w:rFonts w:ascii="Arial" w:hAnsi="Arial" w:cs="Arial"/>
          <w:sz w:val="20"/>
          <w:szCs w:val="20"/>
        </w:rPr>
        <w:t>for</w:t>
      </w:r>
      <w:r w:rsidR="00046651" w:rsidRPr="00B27C55">
        <w:rPr>
          <w:rFonts w:ascii="Arial" w:hAnsi="Arial" w:cs="Arial"/>
          <w:sz w:val="20"/>
          <w:szCs w:val="20"/>
        </w:rPr>
        <w:t xml:space="preserve"> heavy vehicles</w:t>
      </w:r>
      <w:r w:rsidR="002C58AE" w:rsidRPr="00B27C55">
        <w:rPr>
          <w:rFonts w:ascii="Arial" w:hAnsi="Arial" w:cs="Arial"/>
          <w:sz w:val="20"/>
          <w:szCs w:val="20"/>
        </w:rPr>
        <w:t xml:space="preserve"> are</w:t>
      </w:r>
      <w:r w:rsidR="00CC1614" w:rsidRPr="00B27C55">
        <w:rPr>
          <w:rFonts w:ascii="Arial" w:hAnsi="Arial" w:cs="Arial"/>
          <w:sz w:val="20"/>
          <w:szCs w:val="20"/>
        </w:rPr>
        <w:t>:</w:t>
      </w:r>
      <w:r w:rsidR="002C58AE" w:rsidRPr="00B27C55">
        <w:rPr>
          <w:rFonts w:ascii="Arial" w:hAnsi="Arial" w:cs="Arial"/>
          <w:sz w:val="20"/>
          <w:szCs w:val="20"/>
        </w:rPr>
        <w:t xml:space="preserve"> to prevent increases in noise pollution and to prevent increases in road congestion. In relation to the noise issue, there </w:t>
      </w:r>
      <w:r w:rsidR="006120D9" w:rsidRPr="00B27C55">
        <w:rPr>
          <w:rFonts w:ascii="Arial" w:hAnsi="Arial" w:cs="Arial"/>
          <w:sz w:val="20"/>
          <w:szCs w:val="20"/>
        </w:rPr>
        <w:t>appears to be</w:t>
      </w:r>
      <w:r w:rsidR="002C58AE" w:rsidRPr="00B27C55">
        <w:rPr>
          <w:rFonts w:ascii="Arial" w:hAnsi="Arial" w:cs="Arial"/>
          <w:sz w:val="20"/>
          <w:szCs w:val="20"/>
        </w:rPr>
        <w:t xml:space="preserve"> inconsistent application</w:t>
      </w:r>
      <w:r w:rsidR="006120D9" w:rsidRPr="00B27C55">
        <w:rPr>
          <w:rFonts w:ascii="Arial" w:hAnsi="Arial" w:cs="Arial"/>
          <w:sz w:val="20"/>
          <w:szCs w:val="20"/>
        </w:rPr>
        <w:t xml:space="preserve"> of the rules </w:t>
      </w:r>
      <w:r w:rsidR="00843822" w:rsidRPr="00B27C55">
        <w:rPr>
          <w:rFonts w:ascii="Arial" w:hAnsi="Arial" w:cs="Arial"/>
          <w:sz w:val="20"/>
          <w:szCs w:val="20"/>
        </w:rPr>
        <w:t xml:space="preserve">to noisy vehicles </w:t>
      </w:r>
      <w:r w:rsidR="006120D9" w:rsidRPr="00B27C55">
        <w:rPr>
          <w:rFonts w:ascii="Arial" w:hAnsi="Arial" w:cs="Arial"/>
          <w:sz w:val="20"/>
          <w:szCs w:val="20"/>
        </w:rPr>
        <w:t>by local governments</w:t>
      </w:r>
      <w:r w:rsidR="002C58AE" w:rsidRPr="00B27C55">
        <w:rPr>
          <w:rFonts w:ascii="Arial" w:hAnsi="Arial" w:cs="Arial"/>
          <w:sz w:val="20"/>
          <w:szCs w:val="20"/>
        </w:rPr>
        <w:t xml:space="preserve">. Both heavy vehicles and motorcycles (at 25 feet) have an exact same sound level of 90 decibels (Beranek, 1988). </w:t>
      </w:r>
      <w:r w:rsidR="00FA5B15">
        <w:rPr>
          <w:rFonts w:ascii="Arial" w:hAnsi="Arial" w:cs="Arial"/>
          <w:sz w:val="20"/>
          <w:szCs w:val="20"/>
        </w:rPr>
        <w:t>One study found</w:t>
      </w:r>
      <w:r w:rsidR="00567D35" w:rsidRPr="00B27C55">
        <w:rPr>
          <w:rFonts w:ascii="Arial" w:hAnsi="Arial" w:cs="Arial"/>
          <w:sz w:val="20"/>
          <w:szCs w:val="20"/>
        </w:rPr>
        <w:t xml:space="preserve"> there were even some motorcycles ‘with noise levels exceeding that of the heaviest trucks, but they could not be measured since the levels exceeded the range set on [the] sound level meters’ (Sandberg, 2002). Another </w:t>
      </w:r>
      <w:r w:rsidR="002C58AE" w:rsidRPr="00B27C55">
        <w:rPr>
          <w:rFonts w:ascii="Arial" w:hAnsi="Arial" w:cs="Arial"/>
          <w:sz w:val="20"/>
          <w:szCs w:val="20"/>
        </w:rPr>
        <w:t xml:space="preserve">study </w:t>
      </w:r>
      <w:r w:rsidR="00567D35" w:rsidRPr="00B27C55">
        <w:rPr>
          <w:rFonts w:ascii="Arial" w:hAnsi="Arial" w:cs="Arial"/>
          <w:sz w:val="20"/>
          <w:szCs w:val="20"/>
        </w:rPr>
        <w:t xml:space="preserve">also </w:t>
      </w:r>
      <w:r w:rsidR="002C58AE" w:rsidRPr="00B27C55">
        <w:rPr>
          <w:rFonts w:ascii="Arial" w:hAnsi="Arial" w:cs="Arial"/>
          <w:sz w:val="20"/>
          <w:szCs w:val="20"/>
        </w:rPr>
        <w:t xml:space="preserve">found that motorcycle noise has been identified as the most annoying of all noises from vehicles (Berglund &amp; Nilsson, 2000). </w:t>
      </w:r>
    </w:p>
    <w:p w:rsidR="00B36C90" w:rsidRDefault="00B36C90" w:rsidP="00910BCA">
      <w:pPr>
        <w:autoSpaceDE w:val="0"/>
        <w:autoSpaceDN w:val="0"/>
        <w:adjustRightInd w:val="0"/>
        <w:spacing w:after="0"/>
        <w:rPr>
          <w:rFonts w:ascii="Arial" w:hAnsi="Arial" w:cs="Arial"/>
          <w:sz w:val="20"/>
          <w:szCs w:val="20"/>
        </w:rPr>
      </w:pPr>
    </w:p>
    <w:p w:rsidR="00C26C3B" w:rsidRPr="00B27C55" w:rsidRDefault="002C58AE"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One of the reasons </w:t>
      </w:r>
      <w:r w:rsidR="00567D35" w:rsidRPr="00B27C55">
        <w:rPr>
          <w:rFonts w:ascii="Arial" w:hAnsi="Arial" w:cs="Arial"/>
          <w:sz w:val="20"/>
          <w:szCs w:val="20"/>
        </w:rPr>
        <w:t xml:space="preserve">offered for this finding is that </w:t>
      </w:r>
      <w:r w:rsidRPr="00B27C55">
        <w:rPr>
          <w:rFonts w:ascii="Arial" w:hAnsi="Arial" w:cs="Arial"/>
          <w:sz w:val="20"/>
          <w:szCs w:val="20"/>
        </w:rPr>
        <w:t xml:space="preserve">motorcycle noise ‘is considered by many as “unnecessary” and </w:t>
      </w:r>
      <w:r w:rsidR="00567D35" w:rsidRPr="00B27C55">
        <w:rPr>
          <w:rFonts w:ascii="Arial" w:hAnsi="Arial" w:cs="Arial"/>
          <w:sz w:val="20"/>
          <w:szCs w:val="20"/>
        </w:rPr>
        <w:t>often a matter of abuse’, where</w:t>
      </w:r>
      <w:r w:rsidRPr="00B27C55">
        <w:rPr>
          <w:rFonts w:ascii="Arial" w:hAnsi="Arial" w:cs="Arial"/>
          <w:sz w:val="20"/>
          <w:szCs w:val="20"/>
        </w:rPr>
        <w:t xml:space="preserve">as trucks </w:t>
      </w:r>
      <w:r w:rsidR="00FC0ADF" w:rsidRPr="00B27C55">
        <w:rPr>
          <w:rFonts w:ascii="Arial" w:hAnsi="Arial" w:cs="Arial"/>
          <w:sz w:val="20"/>
          <w:szCs w:val="20"/>
        </w:rPr>
        <w:t>are recognised as essential to</w:t>
      </w:r>
      <w:r w:rsidR="00567D35" w:rsidRPr="00B27C55">
        <w:rPr>
          <w:rFonts w:ascii="Arial" w:hAnsi="Arial" w:cs="Arial"/>
          <w:sz w:val="20"/>
          <w:szCs w:val="20"/>
        </w:rPr>
        <w:t xml:space="preserve"> society </w:t>
      </w:r>
      <w:r w:rsidR="009A1A7E" w:rsidRPr="00B27C55">
        <w:rPr>
          <w:rFonts w:ascii="Arial" w:hAnsi="Arial" w:cs="Arial"/>
          <w:sz w:val="20"/>
          <w:szCs w:val="20"/>
        </w:rPr>
        <w:t>because of</w:t>
      </w:r>
      <w:r w:rsidR="00567D35" w:rsidRPr="00B27C55">
        <w:rPr>
          <w:rFonts w:ascii="Arial" w:hAnsi="Arial" w:cs="Arial"/>
          <w:sz w:val="20"/>
          <w:szCs w:val="20"/>
        </w:rPr>
        <w:t xml:space="preserve"> its </w:t>
      </w:r>
      <w:r w:rsidR="00843822" w:rsidRPr="00B27C55">
        <w:rPr>
          <w:rFonts w:ascii="Arial" w:hAnsi="Arial" w:cs="Arial"/>
          <w:sz w:val="20"/>
          <w:szCs w:val="20"/>
        </w:rPr>
        <w:t xml:space="preserve">purpose of </w:t>
      </w:r>
      <w:r w:rsidR="00567D35" w:rsidRPr="00B27C55">
        <w:rPr>
          <w:rFonts w:ascii="Arial" w:hAnsi="Arial" w:cs="Arial"/>
          <w:sz w:val="20"/>
          <w:szCs w:val="20"/>
        </w:rPr>
        <w:t>transportation of goods (Sandberg, 2002).</w:t>
      </w:r>
      <w:r w:rsidR="00046651" w:rsidRPr="00B27C55">
        <w:rPr>
          <w:rFonts w:ascii="Arial" w:hAnsi="Arial" w:cs="Arial"/>
          <w:sz w:val="20"/>
          <w:szCs w:val="20"/>
        </w:rPr>
        <w:t xml:space="preserve"> </w:t>
      </w:r>
      <w:r w:rsidR="009A1A7E" w:rsidRPr="00B27C55">
        <w:rPr>
          <w:rFonts w:ascii="Arial" w:hAnsi="Arial" w:cs="Arial"/>
          <w:sz w:val="20"/>
          <w:szCs w:val="20"/>
        </w:rPr>
        <w:t xml:space="preserve">Thus, </w:t>
      </w:r>
      <w:r w:rsidR="00046651" w:rsidRPr="00B27C55">
        <w:rPr>
          <w:rFonts w:ascii="Arial" w:hAnsi="Arial" w:cs="Arial"/>
          <w:sz w:val="20"/>
          <w:szCs w:val="20"/>
        </w:rPr>
        <w:t xml:space="preserve">it is illogical to refuse or restrict </w:t>
      </w:r>
      <w:r w:rsidR="00843822" w:rsidRPr="00B27C55">
        <w:rPr>
          <w:rFonts w:ascii="Arial" w:hAnsi="Arial" w:cs="Arial"/>
          <w:sz w:val="20"/>
          <w:szCs w:val="20"/>
        </w:rPr>
        <w:t xml:space="preserve">local road </w:t>
      </w:r>
      <w:r w:rsidR="00046651" w:rsidRPr="00B27C55">
        <w:rPr>
          <w:rFonts w:ascii="Arial" w:hAnsi="Arial" w:cs="Arial"/>
          <w:sz w:val="20"/>
          <w:szCs w:val="20"/>
        </w:rPr>
        <w:t xml:space="preserve">access or use </w:t>
      </w:r>
      <w:r w:rsidR="00843822" w:rsidRPr="00B27C55">
        <w:rPr>
          <w:rFonts w:ascii="Arial" w:hAnsi="Arial" w:cs="Arial"/>
          <w:sz w:val="20"/>
          <w:szCs w:val="20"/>
        </w:rPr>
        <w:t xml:space="preserve">based </w:t>
      </w:r>
      <w:r w:rsidR="00046651" w:rsidRPr="00B27C55">
        <w:rPr>
          <w:rFonts w:ascii="Arial" w:hAnsi="Arial" w:cs="Arial"/>
          <w:sz w:val="20"/>
          <w:szCs w:val="20"/>
        </w:rPr>
        <w:t>on the reason of loud noise if motorcycles are not subjected to the same limitations as heavy vehicles. If local governments want reasons for their decisions to have some recognised legitimacy grounded in evidence, this inconsistent application must be reviewed.</w:t>
      </w:r>
      <w:r w:rsidR="00B36C90">
        <w:rPr>
          <w:rFonts w:ascii="Arial" w:hAnsi="Arial" w:cs="Arial"/>
          <w:sz w:val="20"/>
          <w:szCs w:val="20"/>
        </w:rPr>
        <w:t xml:space="preserve">  </w:t>
      </w:r>
    </w:p>
    <w:p w:rsidR="00C26C3B" w:rsidRPr="00B27C55" w:rsidRDefault="00C26C3B" w:rsidP="00910BCA">
      <w:pPr>
        <w:autoSpaceDE w:val="0"/>
        <w:autoSpaceDN w:val="0"/>
        <w:adjustRightInd w:val="0"/>
        <w:spacing w:after="0"/>
        <w:rPr>
          <w:rFonts w:ascii="Arial" w:hAnsi="Arial" w:cs="Arial"/>
          <w:sz w:val="20"/>
          <w:szCs w:val="20"/>
        </w:rPr>
      </w:pPr>
    </w:p>
    <w:p w:rsidR="00FF41F5" w:rsidRPr="00B27C55" w:rsidRDefault="007A16A2"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In relation to the congestion issue, </w:t>
      </w:r>
      <w:r w:rsidR="00FF41F5" w:rsidRPr="00B27C55">
        <w:rPr>
          <w:rFonts w:ascii="Arial" w:hAnsi="Arial" w:cs="Arial"/>
          <w:sz w:val="20"/>
          <w:szCs w:val="20"/>
        </w:rPr>
        <w:t>currently some local governments do not allow</w:t>
      </w:r>
      <w:r w:rsidR="00FC0ADF" w:rsidRPr="00B27C55">
        <w:rPr>
          <w:rFonts w:ascii="Arial" w:hAnsi="Arial" w:cs="Arial"/>
          <w:sz w:val="20"/>
          <w:szCs w:val="20"/>
        </w:rPr>
        <w:t xml:space="preserve"> heavy vehicle</w:t>
      </w:r>
      <w:r w:rsidR="00FF41F5" w:rsidRPr="00B27C55">
        <w:rPr>
          <w:rFonts w:ascii="Arial" w:hAnsi="Arial" w:cs="Arial"/>
          <w:sz w:val="20"/>
          <w:szCs w:val="20"/>
        </w:rPr>
        <w:t xml:space="preserve"> access and use of certain local roads and loading areas </w:t>
      </w:r>
      <w:r w:rsidR="009A1A7E" w:rsidRPr="00B27C55">
        <w:rPr>
          <w:rFonts w:ascii="Arial" w:hAnsi="Arial" w:cs="Arial"/>
          <w:sz w:val="20"/>
          <w:szCs w:val="20"/>
        </w:rPr>
        <w:t xml:space="preserve">during off-peak </w:t>
      </w:r>
      <w:r w:rsidR="00FF41F5" w:rsidRPr="00B27C55">
        <w:rPr>
          <w:rFonts w:ascii="Arial" w:hAnsi="Arial" w:cs="Arial"/>
          <w:sz w:val="20"/>
          <w:szCs w:val="20"/>
        </w:rPr>
        <w:t>hours</w:t>
      </w:r>
      <w:r w:rsidR="00FC0ADF" w:rsidRPr="00B27C55">
        <w:rPr>
          <w:rFonts w:ascii="Arial" w:hAnsi="Arial" w:cs="Arial"/>
          <w:sz w:val="20"/>
          <w:szCs w:val="20"/>
        </w:rPr>
        <w:t>, typically</w:t>
      </w:r>
      <w:r w:rsidR="00FF41F5" w:rsidRPr="00B27C55">
        <w:rPr>
          <w:rFonts w:ascii="Arial" w:hAnsi="Arial" w:cs="Arial"/>
          <w:sz w:val="20"/>
          <w:szCs w:val="20"/>
        </w:rPr>
        <w:t xml:space="preserve"> </w:t>
      </w:r>
      <w:r w:rsidR="009A1A7E" w:rsidRPr="00B27C55">
        <w:rPr>
          <w:rFonts w:ascii="Arial" w:hAnsi="Arial" w:cs="Arial"/>
          <w:sz w:val="20"/>
          <w:szCs w:val="20"/>
        </w:rPr>
        <w:t xml:space="preserve">between </w:t>
      </w:r>
      <w:r w:rsidR="00FF41F5" w:rsidRPr="00B27C55">
        <w:rPr>
          <w:rFonts w:ascii="Arial" w:hAnsi="Arial" w:cs="Arial"/>
          <w:sz w:val="20"/>
          <w:szCs w:val="20"/>
        </w:rPr>
        <w:t>6pm and 7am</w:t>
      </w:r>
      <w:r w:rsidR="00FC0ADF" w:rsidRPr="00B27C55">
        <w:rPr>
          <w:rFonts w:ascii="Arial" w:hAnsi="Arial" w:cs="Arial"/>
          <w:sz w:val="20"/>
          <w:szCs w:val="20"/>
        </w:rPr>
        <w:t>,</w:t>
      </w:r>
      <w:r w:rsidR="00FF41F5" w:rsidRPr="00B27C55">
        <w:rPr>
          <w:rFonts w:ascii="Arial" w:hAnsi="Arial" w:cs="Arial"/>
          <w:sz w:val="20"/>
          <w:szCs w:val="20"/>
        </w:rPr>
        <w:t xml:space="preserve"> due t</w:t>
      </w:r>
      <w:r w:rsidR="00B36C90">
        <w:rPr>
          <w:rFonts w:ascii="Arial" w:hAnsi="Arial" w:cs="Arial"/>
          <w:sz w:val="20"/>
          <w:szCs w:val="20"/>
        </w:rPr>
        <w:t xml:space="preserve">o noise issues. This means </w:t>
      </w:r>
      <w:r w:rsidR="00FF41F5" w:rsidRPr="00B27C55">
        <w:rPr>
          <w:rFonts w:ascii="Arial" w:hAnsi="Arial" w:cs="Arial"/>
          <w:sz w:val="20"/>
          <w:szCs w:val="20"/>
        </w:rPr>
        <w:t>there will be more heavy vehicles on the roads during the peak hours between 7am and 6pm</w:t>
      </w:r>
      <w:r w:rsidR="00843822" w:rsidRPr="00B27C55">
        <w:rPr>
          <w:rFonts w:ascii="Arial" w:hAnsi="Arial" w:cs="Arial"/>
          <w:sz w:val="20"/>
          <w:szCs w:val="20"/>
        </w:rPr>
        <w:t xml:space="preserve"> (so that drivers do not have to wait around at loading docks</w:t>
      </w:r>
      <w:r w:rsidR="00FC0ADF" w:rsidRPr="00B27C55">
        <w:rPr>
          <w:rFonts w:ascii="Arial" w:hAnsi="Arial" w:cs="Arial"/>
          <w:sz w:val="20"/>
          <w:szCs w:val="20"/>
        </w:rPr>
        <w:t xml:space="preserve"> during off-peak hours</w:t>
      </w:r>
      <w:r w:rsidR="00843822" w:rsidRPr="00B27C55">
        <w:rPr>
          <w:rFonts w:ascii="Arial" w:hAnsi="Arial" w:cs="Arial"/>
          <w:sz w:val="20"/>
          <w:szCs w:val="20"/>
        </w:rPr>
        <w:t>)</w:t>
      </w:r>
      <w:r w:rsidR="00FF41F5" w:rsidRPr="00B27C55">
        <w:rPr>
          <w:rFonts w:ascii="Arial" w:hAnsi="Arial" w:cs="Arial"/>
          <w:sz w:val="20"/>
          <w:szCs w:val="20"/>
        </w:rPr>
        <w:t xml:space="preserve">, </w:t>
      </w:r>
      <w:r w:rsidR="009A1A7E" w:rsidRPr="00B27C55">
        <w:rPr>
          <w:rFonts w:ascii="Arial" w:hAnsi="Arial" w:cs="Arial"/>
          <w:sz w:val="20"/>
          <w:szCs w:val="20"/>
        </w:rPr>
        <w:t xml:space="preserve">thereby </w:t>
      </w:r>
      <w:r w:rsidR="00FF41F5" w:rsidRPr="00B27C55">
        <w:rPr>
          <w:rFonts w:ascii="Arial" w:hAnsi="Arial" w:cs="Arial"/>
          <w:sz w:val="20"/>
          <w:szCs w:val="20"/>
        </w:rPr>
        <w:t>adding to</w:t>
      </w:r>
      <w:r w:rsidR="00FC0ADF" w:rsidRPr="00B27C55">
        <w:rPr>
          <w:rFonts w:ascii="Arial" w:hAnsi="Arial" w:cs="Arial"/>
          <w:sz w:val="20"/>
          <w:szCs w:val="20"/>
        </w:rPr>
        <w:t xml:space="preserve"> road</w:t>
      </w:r>
      <w:r w:rsidR="00FF41F5" w:rsidRPr="00B27C55">
        <w:rPr>
          <w:rFonts w:ascii="Arial" w:hAnsi="Arial" w:cs="Arial"/>
          <w:sz w:val="20"/>
          <w:szCs w:val="20"/>
        </w:rPr>
        <w:t xml:space="preserve"> congestion. If local governments want to reduce road congestion, then consideration needs to be paid to</w:t>
      </w:r>
      <w:r w:rsidR="009A1A7E" w:rsidRPr="00B27C55">
        <w:rPr>
          <w:rFonts w:ascii="Arial" w:hAnsi="Arial" w:cs="Arial"/>
          <w:sz w:val="20"/>
          <w:szCs w:val="20"/>
        </w:rPr>
        <w:t xml:space="preserve"> the</w:t>
      </w:r>
      <w:r w:rsidR="00FF41F5" w:rsidRPr="00B27C55">
        <w:rPr>
          <w:rFonts w:ascii="Arial" w:hAnsi="Arial" w:cs="Arial"/>
          <w:sz w:val="20"/>
          <w:szCs w:val="20"/>
        </w:rPr>
        <w:t xml:space="preserve"> proposition of allowing access</w:t>
      </w:r>
      <w:r w:rsidR="00FA5B15">
        <w:rPr>
          <w:rFonts w:ascii="Arial" w:hAnsi="Arial" w:cs="Arial"/>
          <w:sz w:val="20"/>
          <w:szCs w:val="20"/>
        </w:rPr>
        <w:t xml:space="preserve"> to</w:t>
      </w:r>
      <w:r w:rsidR="00FF41F5" w:rsidRPr="00B27C55">
        <w:rPr>
          <w:rFonts w:ascii="Arial" w:hAnsi="Arial" w:cs="Arial"/>
          <w:sz w:val="20"/>
          <w:szCs w:val="20"/>
        </w:rPr>
        <w:t xml:space="preserve"> and use of certain local roads and loading areas </w:t>
      </w:r>
      <w:r w:rsidR="00843822" w:rsidRPr="00B27C55">
        <w:rPr>
          <w:rFonts w:ascii="Arial" w:hAnsi="Arial" w:cs="Arial"/>
          <w:sz w:val="20"/>
          <w:szCs w:val="20"/>
        </w:rPr>
        <w:t>during off-peak hours</w:t>
      </w:r>
      <w:r w:rsidR="00FF41F5" w:rsidRPr="00B27C55">
        <w:rPr>
          <w:rFonts w:ascii="Arial" w:hAnsi="Arial" w:cs="Arial"/>
          <w:sz w:val="20"/>
          <w:szCs w:val="20"/>
        </w:rPr>
        <w:t>. Essentially, local governments cannot have it both ways: either noise levels will</w:t>
      </w:r>
      <w:r w:rsidR="00843822" w:rsidRPr="00B27C55">
        <w:rPr>
          <w:rFonts w:ascii="Arial" w:hAnsi="Arial" w:cs="Arial"/>
          <w:sz w:val="20"/>
          <w:szCs w:val="20"/>
        </w:rPr>
        <w:t xml:space="preserve"> have to</w:t>
      </w:r>
      <w:r w:rsidR="00FF41F5" w:rsidRPr="00B27C55">
        <w:rPr>
          <w:rFonts w:ascii="Arial" w:hAnsi="Arial" w:cs="Arial"/>
          <w:sz w:val="20"/>
          <w:szCs w:val="20"/>
        </w:rPr>
        <w:t xml:space="preserve"> increase or road congestion will</w:t>
      </w:r>
      <w:r w:rsidR="00843822" w:rsidRPr="00B27C55">
        <w:rPr>
          <w:rFonts w:ascii="Arial" w:hAnsi="Arial" w:cs="Arial"/>
          <w:sz w:val="20"/>
          <w:szCs w:val="20"/>
        </w:rPr>
        <w:t xml:space="preserve"> have to</w:t>
      </w:r>
      <w:r w:rsidR="00FF41F5" w:rsidRPr="00B27C55">
        <w:rPr>
          <w:rFonts w:ascii="Arial" w:hAnsi="Arial" w:cs="Arial"/>
          <w:sz w:val="20"/>
          <w:szCs w:val="20"/>
        </w:rPr>
        <w:t xml:space="preserve"> increase. </w:t>
      </w:r>
    </w:p>
    <w:p w:rsidR="00EF6187" w:rsidRPr="00B27C55" w:rsidRDefault="00EF6187" w:rsidP="00910BCA">
      <w:pPr>
        <w:autoSpaceDE w:val="0"/>
        <w:autoSpaceDN w:val="0"/>
        <w:adjustRightInd w:val="0"/>
        <w:spacing w:after="0"/>
        <w:rPr>
          <w:rFonts w:ascii="Arial" w:hAnsi="Arial" w:cs="Arial"/>
          <w:sz w:val="20"/>
          <w:szCs w:val="20"/>
        </w:rPr>
      </w:pPr>
    </w:p>
    <w:p w:rsidR="00FF41F5" w:rsidRPr="00B27C55" w:rsidRDefault="002A5A89" w:rsidP="00FF41F5">
      <w:pPr>
        <w:autoSpaceDE w:val="0"/>
        <w:autoSpaceDN w:val="0"/>
        <w:adjustRightInd w:val="0"/>
        <w:spacing w:after="0"/>
        <w:rPr>
          <w:rFonts w:ascii="Arial" w:hAnsi="Arial" w:cs="Arial"/>
          <w:b/>
          <w:color w:val="17365D" w:themeColor="text2" w:themeShade="BF"/>
          <w:sz w:val="20"/>
          <w:szCs w:val="20"/>
        </w:rPr>
      </w:pPr>
      <w:r w:rsidRPr="00B27C55">
        <w:rPr>
          <w:rFonts w:ascii="Arial" w:hAnsi="Arial" w:cs="Arial"/>
          <w:b/>
          <w:color w:val="17365D" w:themeColor="text2" w:themeShade="BF"/>
          <w:sz w:val="20"/>
          <w:szCs w:val="20"/>
        </w:rPr>
        <w:t>5</w:t>
      </w:r>
      <w:r w:rsidR="00FF41F5" w:rsidRPr="00B27C55">
        <w:rPr>
          <w:rFonts w:ascii="Arial" w:hAnsi="Arial" w:cs="Arial"/>
          <w:b/>
          <w:color w:val="17365D" w:themeColor="text2" w:themeShade="BF"/>
          <w:sz w:val="20"/>
          <w:szCs w:val="20"/>
        </w:rPr>
        <w:t xml:space="preserve">.3. </w:t>
      </w:r>
      <w:r w:rsidR="00F00A6F">
        <w:rPr>
          <w:rFonts w:ascii="Arial" w:hAnsi="Arial" w:cs="Arial"/>
          <w:b/>
          <w:color w:val="17365D" w:themeColor="text2" w:themeShade="BF"/>
          <w:sz w:val="20"/>
          <w:szCs w:val="20"/>
        </w:rPr>
        <w:t>Assessment</w:t>
      </w:r>
      <w:r w:rsidR="00FF41F5" w:rsidRPr="00B27C55">
        <w:rPr>
          <w:rFonts w:ascii="Arial" w:hAnsi="Arial" w:cs="Arial"/>
          <w:b/>
          <w:color w:val="17365D" w:themeColor="text2" w:themeShade="BF"/>
          <w:sz w:val="20"/>
          <w:szCs w:val="20"/>
        </w:rPr>
        <w:t xml:space="preserve"> Costs</w:t>
      </w:r>
    </w:p>
    <w:p w:rsidR="00FF41F5" w:rsidRPr="00B27C55" w:rsidRDefault="00FF41F5" w:rsidP="00910BCA">
      <w:pPr>
        <w:autoSpaceDE w:val="0"/>
        <w:autoSpaceDN w:val="0"/>
        <w:adjustRightInd w:val="0"/>
        <w:spacing w:after="0"/>
        <w:rPr>
          <w:rFonts w:ascii="Arial" w:hAnsi="Arial" w:cs="Arial"/>
          <w:sz w:val="20"/>
          <w:szCs w:val="20"/>
        </w:rPr>
      </w:pPr>
    </w:p>
    <w:p w:rsidR="005115E3" w:rsidRPr="00B27C55" w:rsidRDefault="005115E3" w:rsidP="005115E3">
      <w:pPr>
        <w:autoSpaceDE w:val="0"/>
        <w:autoSpaceDN w:val="0"/>
        <w:adjustRightInd w:val="0"/>
        <w:spacing w:after="0"/>
        <w:rPr>
          <w:rFonts w:ascii="Arial" w:hAnsi="Arial" w:cs="Arial"/>
          <w:sz w:val="20"/>
          <w:szCs w:val="20"/>
        </w:rPr>
      </w:pPr>
      <w:r w:rsidRPr="009B4329">
        <w:rPr>
          <w:rFonts w:ascii="Arial" w:hAnsi="Arial" w:cs="Arial"/>
          <w:sz w:val="20"/>
          <w:szCs w:val="20"/>
        </w:rPr>
        <w:t>W</w:t>
      </w:r>
      <w:r w:rsidR="009A1A7E" w:rsidRPr="009B4329">
        <w:rPr>
          <w:rFonts w:ascii="Arial" w:hAnsi="Arial" w:cs="Arial"/>
          <w:sz w:val="20"/>
          <w:szCs w:val="20"/>
        </w:rPr>
        <w:t>here local road access or use</w:t>
      </w:r>
      <w:r w:rsidRPr="009B4329">
        <w:rPr>
          <w:rFonts w:ascii="Arial" w:hAnsi="Arial" w:cs="Arial"/>
          <w:sz w:val="20"/>
          <w:szCs w:val="20"/>
        </w:rPr>
        <w:t xml:space="preserve"> is granted to heavy vehicles, </w:t>
      </w:r>
      <w:r w:rsidR="00F00A6F" w:rsidRPr="009B4329">
        <w:rPr>
          <w:rFonts w:ascii="Arial" w:hAnsi="Arial" w:cs="Arial"/>
          <w:sz w:val="20"/>
          <w:szCs w:val="20"/>
        </w:rPr>
        <w:t>this can follow the operator having to pay hefty engineering assessment costs imposed by local governments</w:t>
      </w:r>
      <w:r w:rsidR="00141CDC" w:rsidRPr="009B4329">
        <w:rPr>
          <w:rFonts w:ascii="Arial" w:hAnsi="Arial" w:cs="Arial"/>
          <w:sz w:val="20"/>
          <w:szCs w:val="20"/>
        </w:rPr>
        <w:t xml:space="preserve">. For example, </w:t>
      </w:r>
      <w:r w:rsidR="00E65C4A" w:rsidRPr="009B4329">
        <w:rPr>
          <w:rFonts w:ascii="Arial" w:hAnsi="Arial" w:cs="Arial"/>
          <w:sz w:val="20"/>
          <w:szCs w:val="20"/>
        </w:rPr>
        <w:t>one of our member transport companies</w:t>
      </w:r>
      <w:r w:rsidR="00141CDC" w:rsidRPr="009B4329">
        <w:rPr>
          <w:rFonts w:ascii="Arial" w:hAnsi="Arial" w:cs="Arial"/>
          <w:sz w:val="20"/>
          <w:szCs w:val="20"/>
        </w:rPr>
        <w:t xml:space="preserve"> was charged $</w:t>
      </w:r>
      <w:r w:rsidR="00E65C4A" w:rsidRPr="009B4329">
        <w:rPr>
          <w:rFonts w:ascii="Arial" w:hAnsi="Arial" w:cs="Arial"/>
          <w:sz w:val="20"/>
          <w:szCs w:val="20"/>
        </w:rPr>
        <w:t xml:space="preserve">1,975.60 by the Jerilderie Shire Council in NSW for a bridge assessment. These assessment costs multiply as operators usually need to make numerous applications. </w:t>
      </w:r>
      <w:r w:rsidR="00F00A6F" w:rsidRPr="009B4329">
        <w:rPr>
          <w:rFonts w:ascii="Arial" w:hAnsi="Arial" w:cs="Arial"/>
          <w:sz w:val="20"/>
          <w:szCs w:val="20"/>
        </w:rPr>
        <w:t>A</w:t>
      </w:r>
      <w:r w:rsidR="00671821" w:rsidRPr="009B4329">
        <w:rPr>
          <w:rFonts w:ascii="Arial" w:hAnsi="Arial" w:cs="Arial"/>
          <w:sz w:val="20"/>
          <w:szCs w:val="20"/>
        </w:rPr>
        <w:t>n</w:t>
      </w:r>
      <w:r w:rsidR="009A1A7E" w:rsidRPr="009B4329">
        <w:rPr>
          <w:rFonts w:ascii="Arial" w:hAnsi="Arial" w:cs="Arial"/>
          <w:sz w:val="20"/>
          <w:szCs w:val="20"/>
        </w:rPr>
        <w:t xml:space="preserve">y fees set by local governments </w:t>
      </w:r>
      <w:r w:rsidR="00F00A6F" w:rsidRPr="009B4329">
        <w:rPr>
          <w:rFonts w:ascii="Arial" w:hAnsi="Arial" w:cs="Arial"/>
          <w:sz w:val="20"/>
          <w:szCs w:val="20"/>
        </w:rPr>
        <w:t xml:space="preserve">for </w:t>
      </w:r>
      <w:r w:rsidR="00E65C4A" w:rsidRPr="009B4329">
        <w:rPr>
          <w:rFonts w:ascii="Arial" w:hAnsi="Arial" w:cs="Arial"/>
          <w:sz w:val="20"/>
          <w:szCs w:val="20"/>
        </w:rPr>
        <w:t xml:space="preserve">engineering </w:t>
      </w:r>
      <w:r w:rsidR="00F00A6F" w:rsidRPr="009B4329">
        <w:rPr>
          <w:rFonts w:ascii="Arial" w:hAnsi="Arial" w:cs="Arial"/>
          <w:sz w:val="20"/>
          <w:szCs w:val="20"/>
        </w:rPr>
        <w:t xml:space="preserve">assessments </w:t>
      </w:r>
      <w:r w:rsidR="009A1A7E" w:rsidRPr="009B4329">
        <w:rPr>
          <w:rFonts w:ascii="Arial" w:hAnsi="Arial" w:cs="Arial"/>
          <w:sz w:val="20"/>
          <w:szCs w:val="20"/>
        </w:rPr>
        <w:t>need to be reasonable, not prohibitive.</w:t>
      </w:r>
    </w:p>
    <w:p w:rsidR="00157869" w:rsidRPr="00B27C55" w:rsidRDefault="00157869" w:rsidP="00910BCA">
      <w:pPr>
        <w:autoSpaceDE w:val="0"/>
        <w:autoSpaceDN w:val="0"/>
        <w:adjustRightInd w:val="0"/>
        <w:spacing w:after="0"/>
        <w:rPr>
          <w:rFonts w:ascii="Arial" w:hAnsi="Arial" w:cs="Arial"/>
          <w:sz w:val="20"/>
          <w:szCs w:val="20"/>
        </w:rPr>
      </w:pPr>
    </w:p>
    <w:p w:rsidR="003C3B8C" w:rsidRPr="00B27C55" w:rsidRDefault="003C3B8C" w:rsidP="00910BCA">
      <w:pPr>
        <w:autoSpaceDE w:val="0"/>
        <w:autoSpaceDN w:val="0"/>
        <w:adjustRightInd w:val="0"/>
        <w:spacing w:after="0"/>
        <w:rPr>
          <w:rFonts w:ascii="Arial" w:hAnsi="Arial" w:cs="Arial"/>
          <w:sz w:val="20"/>
          <w:szCs w:val="20"/>
        </w:rPr>
      </w:pPr>
    </w:p>
    <w:p w:rsidR="005115E3" w:rsidRDefault="002A5A89" w:rsidP="003C7AAE">
      <w:pPr>
        <w:pStyle w:val="Heading1"/>
      </w:pPr>
      <w:r>
        <w:t xml:space="preserve">Local Government </w:t>
      </w:r>
      <w:r w:rsidR="003C7AAE">
        <w:t>Application Processing Issues</w:t>
      </w:r>
    </w:p>
    <w:p w:rsidR="00910BCA" w:rsidRPr="00B27C55" w:rsidRDefault="00910BCA" w:rsidP="00910BCA">
      <w:pPr>
        <w:autoSpaceDE w:val="0"/>
        <w:autoSpaceDN w:val="0"/>
        <w:adjustRightInd w:val="0"/>
        <w:spacing w:after="0"/>
        <w:rPr>
          <w:rFonts w:ascii="Arial" w:hAnsi="Arial" w:cs="Arial"/>
          <w:sz w:val="20"/>
          <w:szCs w:val="20"/>
        </w:rPr>
      </w:pPr>
    </w:p>
    <w:p w:rsidR="00B92612" w:rsidRPr="00B27C55" w:rsidRDefault="00B92612" w:rsidP="00910BCA">
      <w:pPr>
        <w:autoSpaceDE w:val="0"/>
        <w:autoSpaceDN w:val="0"/>
        <w:adjustRightInd w:val="0"/>
        <w:spacing w:after="0"/>
        <w:rPr>
          <w:rFonts w:ascii="Arial" w:hAnsi="Arial" w:cs="Arial"/>
          <w:sz w:val="20"/>
          <w:szCs w:val="20"/>
        </w:rPr>
      </w:pPr>
      <w:r w:rsidRPr="00B27C55">
        <w:rPr>
          <w:rFonts w:ascii="Arial" w:hAnsi="Arial" w:cs="Arial"/>
          <w:sz w:val="20"/>
          <w:szCs w:val="20"/>
        </w:rPr>
        <w:t>Trucking companies have identified various frustrations in having applications for road access and use approved by local government. These include</w:t>
      </w:r>
      <w:r w:rsidR="00375974" w:rsidRPr="00B27C55">
        <w:rPr>
          <w:rFonts w:ascii="Arial" w:hAnsi="Arial" w:cs="Arial"/>
          <w:sz w:val="20"/>
          <w:szCs w:val="20"/>
        </w:rPr>
        <w:t>:</w:t>
      </w:r>
      <w:r w:rsidRPr="00B27C55">
        <w:rPr>
          <w:rFonts w:ascii="Arial" w:hAnsi="Arial" w:cs="Arial"/>
          <w:sz w:val="20"/>
          <w:szCs w:val="20"/>
        </w:rPr>
        <w:t xml:space="preserve"> delays and a lack of </w:t>
      </w:r>
      <w:r w:rsidR="00A671B9" w:rsidRPr="00B27C55">
        <w:rPr>
          <w:rFonts w:ascii="Arial" w:hAnsi="Arial" w:cs="Arial"/>
          <w:sz w:val="20"/>
          <w:szCs w:val="20"/>
        </w:rPr>
        <w:t>due</w:t>
      </w:r>
      <w:r w:rsidR="00FA5B15">
        <w:rPr>
          <w:rFonts w:ascii="Arial" w:hAnsi="Arial" w:cs="Arial"/>
          <w:sz w:val="20"/>
          <w:szCs w:val="20"/>
        </w:rPr>
        <w:t xml:space="preserve"> </w:t>
      </w:r>
      <w:r w:rsidR="00A671B9" w:rsidRPr="00B27C55">
        <w:rPr>
          <w:rFonts w:ascii="Arial" w:hAnsi="Arial" w:cs="Arial"/>
          <w:sz w:val="20"/>
          <w:szCs w:val="20"/>
        </w:rPr>
        <w:t>diligence</w:t>
      </w:r>
      <w:r w:rsidR="00375974" w:rsidRPr="00B27C55">
        <w:rPr>
          <w:rFonts w:ascii="Arial" w:hAnsi="Arial" w:cs="Arial"/>
          <w:sz w:val="20"/>
          <w:szCs w:val="20"/>
        </w:rPr>
        <w:t xml:space="preserve"> in processing</w:t>
      </w:r>
      <w:r w:rsidR="00FA5B15">
        <w:rPr>
          <w:rFonts w:ascii="Arial" w:hAnsi="Arial" w:cs="Arial"/>
          <w:sz w:val="20"/>
          <w:szCs w:val="20"/>
        </w:rPr>
        <w:t>,</w:t>
      </w:r>
      <w:r w:rsidRPr="00B27C55">
        <w:rPr>
          <w:rFonts w:ascii="Arial" w:hAnsi="Arial" w:cs="Arial"/>
          <w:sz w:val="20"/>
          <w:szCs w:val="20"/>
        </w:rPr>
        <w:t xml:space="preserve"> inadequate review mechanisms</w:t>
      </w:r>
      <w:r w:rsidR="00FA5B15">
        <w:rPr>
          <w:rFonts w:ascii="Arial" w:hAnsi="Arial" w:cs="Arial"/>
          <w:sz w:val="20"/>
          <w:szCs w:val="20"/>
        </w:rPr>
        <w:t>,</w:t>
      </w:r>
      <w:r w:rsidRPr="00B27C55">
        <w:rPr>
          <w:rFonts w:ascii="Arial" w:hAnsi="Arial" w:cs="Arial"/>
          <w:sz w:val="20"/>
          <w:szCs w:val="20"/>
        </w:rPr>
        <w:t xml:space="preserve"> and non-compliance with </w:t>
      </w:r>
      <w:r w:rsidR="00375974" w:rsidRPr="00B27C55">
        <w:rPr>
          <w:rFonts w:ascii="Arial" w:hAnsi="Arial" w:cs="Arial"/>
          <w:sz w:val="20"/>
          <w:szCs w:val="20"/>
        </w:rPr>
        <w:t>the</w:t>
      </w:r>
      <w:r w:rsidR="0093070F" w:rsidRPr="00B27C55">
        <w:rPr>
          <w:rFonts w:ascii="Arial" w:hAnsi="Arial" w:cs="Arial"/>
          <w:sz w:val="20"/>
          <w:szCs w:val="20"/>
        </w:rPr>
        <w:t xml:space="preserve"> Performance Based Standard (PBS) </w:t>
      </w:r>
      <w:r w:rsidR="00375974" w:rsidRPr="00B27C55">
        <w:rPr>
          <w:rFonts w:ascii="Arial" w:hAnsi="Arial" w:cs="Arial"/>
          <w:sz w:val="20"/>
          <w:szCs w:val="20"/>
        </w:rPr>
        <w:t>scheme requirements</w:t>
      </w:r>
      <w:r w:rsidRPr="00B27C55">
        <w:rPr>
          <w:rFonts w:ascii="Arial" w:hAnsi="Arial" w:cs="Arial"/>
          <w:sz w:val="20"/>
          <w:szCs w:val="20"/>
        </w:rPr>
        <w:t>. These issues are discussed below.</w:t>
      </w:r>
    </w:p>
    <w:p w:rsidR="00B92612" w:rsidRDefault="00B92612" w:rsidP="00910BCA">
      <w:pPr>
        <w:autoSpaceDE w:val="0"/>
        <w:autoSpaceDN w:val="0"/>
        <w:adjustRightInd w:val="0"/>
        <w:spacing w:after="0"/>
        <w:rPr>
          <w:rFonts w:ascii="Arial" w:hAnsi="Arial" w:cs="Arial"/>
          <w:sz w:val="20"/>
          <w:szCs w:val="20"/>
        </w:rPr>
      </w:pPr>
    </w:p>
    <w:p w:rsidR="00B92612" w:rsidRPr="00B27C55" w:rsidRDefault="002A5A89" w:rsidP="00910BCA">
      <w:pPr>
        <w:autoSpaceDE w:val="0"/>
        <w:autoSpaceDN w:val="0"/>
        <w:adjustRightInd w:val="0"/>
        <w:spacing w:after="0"/>
        <w:rPr>
          <w:rFonts w:ascii="Arial" w:hAnsi="Arial" w:cs="Arial"/>
          <w:b/>
          <w:color w:val="17365D" w:themeColor="text2" w:themeShade="BF"/>
          <w:sz w:val="20"/>
          <w:szCs w:val="20"/>
        </w:rPr>
      </w:pPr>
      <w:r w:rsidRPr="00B27C55">
        <w:rPr>
          <w:rFonts w:ascii="Arial" w:hAnsi="Arial" w:cs="Arial"/>
          <w:b/>
          <w:color w:val="17365D" w:themeColor="text2" w:themeShade="BF"/>
          <w:sz w:val="20"/>
          <w:szCs w:val="20"/>
        </w:rPr>
        <w:t>6</w:t>
      </w:r>
      <w:r w:rsidR="00FB14AF" w:rsidRPr="00B27C55">
        <w:rPr>
          <w:rFonts w:ascii="Arial" w:hAnsi="Arial" w:cs="Arial"/>
          <w:b/>
          <w:color w:val="17365D" w:themeColor="text2" w:themeShade="BF"/>
          <w:sz w:val="20"/>
          <w:szCs w:val="20"/>
        </w:rPr>
        <w:t xml:space="preserve">.1. Delays </w:t>
      </w:r>
      <w:r w:rsidR="00FA5B15">
        <w:rPr>
          <w:rFonts w:ascii="Arial" w:hAnsi="Arial" w:cs="Arial"/>
          <w:b/>
          <w:color w:val="17365D" w:themeColor="text2" w:themeShade="BF"/>
          <w:sz w:val="20"/>
          <w:szCs w:val="20"/>
        </w:rPr>
        <w:t xml:space="preserve">and Lack of Due </w:t>
      </w:r>
      <w:r w:rsidR="00A671B9" w:rsidRPr="00B27C55">
        <w:rPr>
          <w:rFonts w:ascii="Arial" w:hAnsi="Arial" w:cs="Arial"/>
          <w:b/>
          <w:color w:val="17365D" w:themeColor="text2" w:themeShade="BF"/>
          <w:sz w:val="20"/>
          <w:szCs w:val="20"/>
        </w:rPr>
        <w:t>Diligence</w:t>
      </w:r>
    </w:p>
    <w:p w:rsidR="00B92612" w:rsidRPr="00B27C55" w:rsidRDefault="00B92612" w:rsidP="00910BCA">
      <w:pPr>
        <w:autoSpaceDE w:val="0"/>
        <w:autoSpaceDN w:val="0"/>
        <w:adjustRightInd w:val="0"/>
        <w:spacing w:after="0"/>
        <w:rPr>
          <w:rFonts w:ascii="Arial" w:hAnsi="Arial" w:cs="Arial"/>
          <w:sz w:val="20"/>
          <w:szCs w:val="20"/>
        </w:rPr>
      </w:pPr>
    </w:p>
    <w:p w:rsidR="00A671B9" w:rsidRPr="00B27C55" w:rsidRDefault="00EC50C6" w:rsidP="00A671B9">
      <w:pPr>
        <w:autoSpaceDE w:val="0"/>
        <w:autoSpaceDN w:val="0"/>
        <w:adjustRightInd w:val="0"/>
        <w:spacing w:after="0"/>
        <w:rPr>
          <w:rFonts w:ascii="Arial" w:hAnsi="Arial" w:cs="Arial"/>
          <w:sz w:val="20"/>
          <w:szCs w:val="20"/>
        </w:rPr>
      </w:pPr>
      <w:r w:rsidRPr="00B27C55">
        <w:rPr>
          <w:rFonts w:ascii="Arial" w:hAnsi="Arial" w:cs="Arial"/>
          <w:sz w:val="20"/>
          <w:szCs w:val="20"/>
        </w:rPr>
        <w:t xml:space="preserve">For many local governments, applications for </w:t>
      </w:r>
      <w:r w:rsidR="007729F9" w:rsidRPr="00B27C55">
        <w:rPr>
          <w:rFonts w:ascii="Arial" w:hAnsi="Arial" w:cs="Arial"/>
          <w:sz w:val="20"/>
          <w:szCs w:val="20"/>
        </w:rPr>
        <w:t xml:space="preserve">heavy vehicle </w:t>
      </w:r>
      <w:r w:rsidRPr="00B27C55">
        <w:rPr>
          <w:rFonts w:ascii="Arial" w:hAnsi="Arial" w:cs="Arial"/>
          <w:sz w:val="20"/>
          <w:szCs w:val="20"/>
        </w:rPr>
        <w:t>access to their local roads are infrequent and the processes for assessment are consequently not always well developed (Australian Government Productivity Commission, 2012). The respo</w:t>
      </w:r>
      <w:r w:rsidR="00A1332D" w:rsidRPr="00B27C55">
        <w:rPr>
          <w:rFonts w:ascii="Arial" w:hAnsi="Arial" w:cs="Arial"/>
          <w:sz w:val="20"/>
          <w:szCs w:val="20"/>
        </w:rPr>
        <w:t>nse times by local governments for</w:t>
      </w:r>
      <w:r w:rsidRPr="00B27C55">
        <w:rPr>
          <w:rFonts w:ascii="Arial" w:hAnsi="Arial" w:cs="Arial"/>
          <w:sz w:val="20"/>
          <w:szCs w:val="20"/>
        </w:rPr>
        <w:t xml:space="preserve"> straightforward road access and use applications are usually between two to three months for each application. When applications are more complex, </w:t>
      </w:r>
      <w:r w:rsidR="00231163" w:rsidRPr="00B27C55">
        <w:rPr>
          <w:rFonts w:ascii="Arial" w:hAnsi="Arial" w:cs="Arial"/>
          <w:sz w:val="20"/>
          <w:szCs w:val="20"/>
        </w:rPr>
        <w:t>local government</w:t>
      </w:r>
      <w:r w:rsidRPr="00B27C55">
        <w:rPr>
          <w:rFonts w:ascii="Arial" w:hAnsi="Arial" w:cs="Arial"/>
          <w:sz w:val="20"/>
          <w:szCs w:val="20"/>
        </w:rPr>
        <w:t xml:space="preserve"> decisions can be delayed by several more </w:t>
      </w:r>
      <w:r w:rsidR="00F00A6F">
        <w:rPr>
          <w:rFonts w:ascii="Arial" w:hAnsi="Arial" w:cs="Arial"/>
          <w:sz w:val="20"/>
          <w:szCs w:val="20"/>
        </w:rPr>
        <w:t>month</w:t>
      </w:r>
      <w:r w:rsidRPr="00B27C55">
        <w:rPr>
          <w:rFonts w:ascii="Arial" w:hAnsi="Arial" w:cs="Arial"/>
          <w:sz w:val="20"/>
          <w:szCs w:val="20"/>
        </w:rPr>
        <w:t>s</w:t>
      </w:r>
      <w:r w:rsidR="00F00A6F">
        <w:rPr>
          <w:rFonts w:ascii="Arial" w:hAnsi="Arial" w:cs="Arial"/>
          <w:sz w:val="20"/>
          <w:szCs w:val="20"/>
        </w:rPr>
        <w:t xml:space="preserve"> or ignored</w:t>
      </w:r>
      <w:r w:rsidRPr="00B27C55">
        <w:rPr>
          <w:rFonts w:ascii="Arial" w:hAnsi="Arial" w:cs="Arial"/>
          <w:sz w:val="20"/>
          <w:szCs w:val="20"/>
        </w:rPr>
        <w:t xml:space="preserve">. Such delays add </w:t>
      </w:r>
      <w:r w:rsidRPr="00B27C55">
        <w:rPr>
          <w:rFonts w:ascii="Arial" w:hAnsi="Arial" w:cs="Arial"/>
          <w:sz w:val="20"/>
          <w:szCs w:val="20"/>
        </w:rPr>
        <w:lastRenderedPageBreak/>
        <w:t>to b</w:t>
      </w:r>
      <w:r w:rsidR="00A1332D" w:rsidRPr="00B27C55">
        <w:rPr>
          <w:rFonts w:ascii="Arial" w:hAnsi="Arial" w:cs="Arial"/>
          <w:sz w:val="20"/>
          <w:szCs w:val="20"/>
        </w:rPr>
        <w:t xml:space="preserve">usiness inefficiencies. It has also </w:t>
      </w:r>
      <w:r w:rsidRPr="00B27C55">
        <w:rPr>
          <w:rFonts w:ascii="Arial" w:hAnsi="Arial" w:cs="Arial"/>
          <w:sz w:val="20"/>
          <w:szCs w:val="20"/>
        </w:rPr>
        <w:t xml:space="preserve">been reported by some trucking companies that correspondence with </w:t>
      </w:r>
      <w:r w:rsidR="00231163" w:rsidRPr="00B27C55">
        <w:rPr>
          <w:rFonts w:ascii="Arial" w:hAnsi="Arial" w:cs="Arial"/>
          <w:sz w:val="20"/>
          <w:szCs w:val="20"/>
        </w:rPr>
        <w:t>local government</w:t>
      </w:r>
      <w:r w:rsidRPr="00B27C55">
        <w:rPr>
          <w:rFonts w:ascii="Arial" w:hAnsi="Arial" w:cs="Arial"/>
          <w:sz w:val="20"/>
          <w:szCs w:val="20"/>
        </w:rPr>
        <w:t>s has been misinterpreted, misplaced or lost</w:t>
      </w:r>
      <w:r w:rsidR="00A671B9" w:rsidRPr="00B27C55">
        <w:rPr>
          <w:rFonts w:ascii="Arial" w:hAnsi="Arial" w:cs="Arial"/>
          <w:sz w:val="20"/>
          <w:szCs w:val="20"/>
        </w:rPr>
        <w:t>,</w:t>
      </w:r>
      <w:r w:rsidR="00A1332D" w:rsidRPr="00B27C55">
        <w:rPr>
          <w:rFonts w:ascii="Arial" w:hAnsi="Arial" w:cs="Arial"/>
          <w:sz w:val="20"/>
          <w:szCs w:val="20"/>
        </w:rPr>
        <w:t xml:space="preserve"> thereby</w:t>
      </w:r>
      <w:r w:rsidR="00A671B9" w:rsidRPr="00B27C55">
        <w:rPr>
          <w:rFonts w:ascii="Arial" w:hAnsi="Arial" w:cs="Arial"/>
          <w:sz w:val="20"/>
          <w:szCs w:val="20"/>
        </w:rPr>
        <w:t xml:space="preserve"> adding to</w:t>
      </w:r>
      <w:r w:rsidR="00A1332D" w:rsidRPr="00B27C55">
        <w:rPr>
          <w:rFonts w:ascii="Arial" w:hAnsi="Arial" w:cs="Arial"/>
          <w:sz w:val="20"/>
          <w:szCs w:val="20"/>
        </w:rPr>
        <w:t xml:space="preserve"> delays and</w:t>
      </w:r>
      <w:r w:rsidR="00A671B9" w:rsidRPr="00B27C55">
        <w:rPr>
          <w:rFonts w:ascii="Arial" w:hAnsi="Arial" w:cs="Arial"/>
          <w:sz w:val="20"/>
          <w:szCs w:val="20"/>
        </w:rPr>
        <w:t xml:space="preserve"> frustrations</w:t>
      </w:r>
      <w:r w:rsidRPr="00B27C55">
        <w:rPr>
          <w:rFonts w:ascii="Arial" w:hAnsi="Arial" w:cs="Arial"/>
          <w:sz w:val="20"/>
          <w:szCs w:val="20"/>
        </w:rPr>
        <w:t xml:space="preserve">. </w:t>
      </w:r>
    </w:p>
    <w:p w:rsidR="00A1332D" w:rsidRPr="00B27C55" w:rsidRDefault="00A1332D" w:rsidP="00A671B9">
      <w:pPr>
        <w:autoSpaceDE w:val="0"/>
        <w:autoSpaceDN w:val="0"/>
        <w:adjustRightInd w:val="0"/>
        <w:spacing w:after="0"/>
        <w:rPr>
          <w:rFonts w:ascii="Arial" w:hAnsi="Arial" w:cs="Arial"/>
          <w:sz w:val="20"/>
          <w:szCs w:val="20"/>
        </w:rPr>
      </w:pPr>
    </w:p>
    <w:p w:rsidR="00A1332D" w:rsidRPr="00B27C55" w:rsidRDefault="00A1332D" w:rsidP="00A671B9">
      <w:pPr>
        <w:autoSpaceDE w:val="0"/>
        <w:autoSpaceDN w:val="0"/>
        <w:adjustRightInd w:val="0"/>
        <w:spacing w:after="0"/>
        <w:rPr>
          <w:rFonts w:ascii="Arial" w:hAnsi="Arial" w:cs="Arial"/>
          <w:sz w:val="20"/>
          <w:szCs w:val="20"/>
        </w:rPr>
      </w:pPr>
      <w:r w:rsidRPr="00B27C55">
        <w:rPr>
          <w:rFonts w:ascii="Arial" w:hAnsi="Arial" w:cs="Arial"/>
          <w:sz w:val="20"/>
          <w:szCs w:val="20"/>
        </w:rPr>
        <w:t xml:space="preserve">Such </w:t>
      </w:r>
      <w:r w:rsidR="00F00A6F">
        <w:rPr>
          <w:rFonts w:ascii="Arial" w:hAnsi="Arial" w:cs="Arial"/>
          <w:sz w:val="20"/>
          <w:szCs w:val="20"/>
        </w:rPr>
        <w:t>poor</w:t>
      </w:r>
      <w:r w:rsidR="0046753A" w:rsidRPr="00B27C55">
        <w:rPr>
          <w:rFonts w:ascii="Arial" w:hAnsi="Arial" w:cs="Arial"/>
          <w:sz w:val="20"/>
          <w:szCs w:val="20"/>
        </w:rPr>
        <w:t xml:space="preserve"> processes, </w:t>
      </w:r>
      <w:r w:rsidR="00FA5B15">
        <w:rPr>
          <w:rFonts w:ascii="Arial" w:hAnsi="Arial" w:cs="Arial"/>
          <w:sz w:val="20"/>
          <w:szCs w:val="20"/>
        </w:rPr>
        <w:t xml:space="preserve">delays and lack of due </w:t>
      </w:r>
      <w:r w:rsidRPr="00B27C55">
        <w:rPr>
          <w:rFonts w:ascii="Arial" w:hAnsi="Arial" w:cs="Arial"/>
          <w:sz w:val="20"/>
          <w:szCs w:val="20"/>
        </w:rPr>
        <w:t xml:space="preserve">diligence should not be </w:t>
      </w:r>
      <w:r w:rsidR="0046753A" w:rsidRPr="00B27C55">
        <w:rPr>
          <w:rFonts w:ascii="Arial" w:hAnsi="Arial" w:cs="Arial"/>
          <w:sz w:val="20"/>
          <w:szCs w:val="20"/>
        </w:rPr>
        <w:t>commonplace</w:t>
      </w:r>
      <w:r w:rsidRPr="00B27C55">
        <w:rPr>
          <w:rFonts w:ascii="Arial" w:hAnsi="Arial" w:cs="Arial"/>
          <w:sz w:val="20"/>
          <w:szCs w:val="20"/>
        </w:rPr>
        <w:t xml:space="preserve"> when Austroads and the National Road</w:t>
      </w:r>
      <w:r w:rsidR="00540FBC" w:rsidRPr="00B27C55">
        <w:rPr>
          <w:rFonts w:ascii="Arial" w:hAnsi="Arial" w:cs="Arial"/>
          <w:sz w:val="20"/>
          <w:szCs w:val="20"/>
        </w:rPr>
        <w:t xml:space="preserve"> Transport Commission (now named</w:t>
      </w:r>
      <w:r w:rsidRPr="00B27C55">
        <w:rPr>
          <w:rFonts w:ascii="Arial" w:hAnsi="Arial" w:cs="Arial"/>
          <w:sz w:val="20"/>
          <w:szCs w:val="20"/>
        </w:rPr>
        <w:t xml:space="preserve"> </w:t>
      </w:r>
      <w:r w:rsidR="00540FBC" w:rsidRPr="00B27C55">
        <w:rPr>
          <w:rFonts w:ascii="Arial" w:hAnsi="Arial" w:cs="Arial"/>
          <w:sz w:val="20"/>
          <w:szCs w:val="20"/>
        </w:rPr>
        <w:t xml:space="preserve">the </w:t>
      </w:r>
      <w:r w:rsidRPr="00B27C55">
        <w:rPr>
          <w:rFonts w:ascii="Arial" w:hAnsi="Arial" w:cs="Arial"/>
          <w:sz w:val="20"/>
          <w:szCs w:val="20"/>
        </w:rPr>
        <w:t xml:space="preserve">National Transport Commission) have each produced guidelines </w:t>
      </w:r>
      <w:r w:rsidR="0046753A" w:rsidRPr="00B27C55">
        <w:rPr>
          <w:rFonts w:ascii="Arial" w:hAnsi="Arial" w:cs="Arial"/>
          <w:sz w:val="20"/>
          <w:szCs w:val="20"/>
        </w:rPr>
        <w:t xml:space="preserve">(to complement state-based guidelines) </w:t>
      </w:r>
      <w:r w:rsidRPr="00B27C55">
        <w:rPr>
          <w:rFonts w:ascii="Arial" w:hAnsi="Arial" w:cs="Arial"/>
          <w:sz w:val="20"/>
          <w:szCs w:val="20"/>
        </w:rPr>
        <w:t>to assist local governments in making assessment</w:t>
      </w:r>
      <w:r w:rsidR="0046753A" w:rsidRPr="00B27C55">
        <w:rPr>
          <w:rFonts w:ascii="Arial" w:hAnsi="Arial" w:cs="Arial"/>
          <w:sz w:val="20"/>
          <w:szCs w:val="20"/>
        </w:rPr>
        <w:t>s</w:t>
      </w:r>
      <w:r w:rsidRPr="00B27C55">
        <w:rPr>
          <w:rFonts w:ascii="Arial" w:hAnsi="Arial" w:cs="Arial"/>
          <w:sz w:val="20"/>
          <w:szCs w:val="20"/>
        </w:rPr>
        <w:t xml:space="preserve"> of applications for heavy vehicle acc</w:t>
      </w:r>
      <w:r w:rsidR="0046753A" w:rsidRPr="00B27C55">
        <w:rPr>
          <w:rFonts w:ascii="Arial" w:hAnsi="Arial" w:cs="Arial"/>
          <w:sz w:val="20"/>
          <w:szCs w:val="20"/>
        </w:rPr>
        <w:t>ess to local roads and bridges.</w:t>
      </w:r>
      <w:r w:rsidR="00540FBC" w:rsidRPr="00B27C55">
        <w:rPr>
          <w:rFonts w:ascii="Arial" w:hAnsi="Arial" w:cs="Arial"/>
          <w:sz w:val="20"/>
          <w:szCs w:val="20"/>
        </w:rPr>
        <w:t xml:space="preserve"> Oversight mechanisms</w:t>
      </w:r>
      <w:r w:rsidR="009B643F" w:rsidRPr="00B27C55">
        <w:rPr>
          <w:rFonts w:ascii="Arial" w:hAnsi="Arial" w:cs="Arial"/>
          <w:sz w:val="20"/>
          <w:szCs w:val="20"/>
        </w:rPr>
        <w:t>,</w:t>
      </w:r>
      <w:r w:rsidR="00F00A6F">
        <w:rPr>
          <w:rFonts w:ascii="Arial" w:hAnsi="Arial" w:cs="Arial"/>
          <w:sz w:val="20"/>
          <w:szCs w:val="20"/>
        </w:rPr>
        <w:t xml:space="preserve"> which</w:t>
      </w:r>
      <w:r w:rsidR="00540FBC" w:rsidRPr="00B27C55">
        <w:rPr>
          <w:rFonts w:ascii="Arial" w:hAnsi="Arial" w:cs="Arial"/>
          <w:sz w:val="20"/>
          <w:szCs w:val="20"/>
        </w:rPr>
        <w:t xml:space="preserve"> can reduce time delays and negligent conduct by </w:t>
      </w:r>
      <w:r w:rsidR="00231163" w:rsidRPr="00B27C55">
        <w:rPr>
          <w:rFonts w:ascii="Arial" w:hAnsi="Arial" w:cs="Arial"/>
          <w:sz w:val="20"/>
          <w:szCs w:val="20"/>
        </w:rPr>
        <w:t>local governments</w:t>
      </w:r>
      <w:r w:rsidR="00540FBC" w:rsidRPr="00B27C55">
        <w:rPr>
          <w:rFonts w:ascii="Arial" w:hAnsi="Arial" w:cs="Arial"/>
          <w:sz w:val="20"/>
          <w:szCs w:val="20"/>
        </w:rPr>
        <w:t xml:space="preserve"> in their decision-making</w:t>
      </w:r>
      <w:r w:rsidR="009B643F" w:rsidRPr="00B27C55">
        <w:rPr>
          <w:rFonts w:ascii="Arial" w:hAnsi="Arial" w:cs="Arial"/>
          <w:sz w:val="20"/>
          <w:szCs w:val="20"/>
        </w:rPr>
        <w:t>,</w:t>
      </w:r>
      <w:r w:rsidR="00540FBC" w:rsidRPr="00B27C55">
        <w:rPr>
          <w:rFonts w:ascii="Arial" w:hAnsi="Arial" w:cs="Arial"/>
          <w:sz w:val="20"/>
          <w:szCs w:val="20"/>
        </w:rPr>
        <w:t xml:space="preserve"> </w:t>
      </w:r>
      <w:r w:rsidR="009B643F" w:rsidRPr="00B27C55">
        <w:rPr>
          <w:rFonts w:ascii="Arial" w:hAnsi="Arial" w:cs="Arial"/>
          <w:sz w:val="20"/>
          <w:szCs w:val="20"/>
        </w:rPr>
        <w:t xml:space="preserve">need to be </w:t>
      </w:r>
      <w:r w:rsidR="00F00A6F">
        <w:rPr>
          <w:rFonts w:ascii="Arial" w:hAnsi="Arial" w:cs="Arial"/>
          <w:sz w:val="20"/>
          <w:szCs w:val="20"/>
        </w:rPr>
        <w:t>implemented</w:t>
      </w:r>
      <w:r w:rsidR="00540FBC" w:rsidRPr="00B27C55">
        <w:rPr>
          <w:rFonts w:ascii="Arial" w:hAnsi="Arial" w:cs="Arial"/>
          <w:sz w:val="20"/>
          <w:szCs w:val="20"/>
        </w:rPr>
        <w:t>.</w:t>
      </w:r>
    </w:p>
    <w:p w:rsidR="00EC50C6" w:rsidRPr="00B27C55" w:rsidRDefault="00EC50C6" w:rsidP="00910BCA">
      <w:pPr>
        <w:autoSpaceDE w:val="0"/>
        <w:autoSpaceDN w:val="0"/>
        <w:adjustRightInd w:val="0"/>
        <w:spacing w:after="0"/>
        <w:rPr>
          <w:rFonts w:ascii="Arial" w:hAnsi="Arial" w:cs="Arial"/>
          <w:sz w:val="20"/>
          <w:szCs w:val="20"/>
        </w:rPr>
      </w:pPr>
    </w:p>
    <w:p w:rsidR="00A671B9" w:rsidRPr="00B27C55" w:rsidRDefault="002A5A89" w:rsidP="00910BCA">
      <w:pPr>
        <w:autoSpaceDE w:val="0"/>
        <w:autoSpaceDN w:val="0"/>
        <w:adjustRightInd w:val="0"/>
        <w:spacing w:after="0"/>
        <w:rPr>
          <w:rFonts w:ascii="Arial" w:hAnsi="Arial" w:cs="Arial"/>
          <w:b/>
          <w:color w:val="17365D" w:themeColor="text2" w:themeShade="BF"/>
          <w:sz w:val="20"/>
          <w:szCs w:val="20"/>
        </w:rPr>
      </w:pPr>
      <w:r w:rsidRPr="00B27C55">
        <w:rPr>
          <w:rFonts w:ascii="Arial" w:hAnsi="Arial" w:cs="Arial"/>
          <w:b/>
          <w:color w:val="17365D" w:themeColor="text2" w:themeShade="BF"/>
          <w:sz w:val="20"/>
          <w:szCs w:val="20"/>
        </w:rPr>
        <w:t>6</w:t>
      </w:r>
      <w:r w:rsidR="0046753A" w:rsidRPr="00B27C55">
        <w:rPr>
          <w:rFonts w:ascii="Arial" w:hAnsi="Arial" w:cs="Arial"/>
          <w:b/>
          <w:color w:val="17365D" w:themeColor="text2" w:themeShade="BF"/>
          <w:sz w:val="20"/>
          <w:szCs w:val="20"/>
        </w:rPr>
        <w:t>.2. Inadequate Review Mechanisms</w:t>
      </w:r>
    </w:p>
    <w:p w:rsidR="00A671B9" w:rsidRPr="00B27C55" w:rsidRDefault="00A671B9" w:rsidP="00910BCA">
      <w:pPr>
        <w:autoSpaceDE w:val="0"/>
        <w:autoSpaceDN w:val="0"/>
        <w:adjustRightInd w:val="0"/>
        <w:spacing w:after="0"/>
        <w:rPr>
          <w:rFonts w:ascii="Arial" w:hAnsi="Arial" w:cs="Arial"/>
          <w:sz w:val="20"/>
          <w:szCs w:val="20"/>
        </w:rPr>
      </w:pPr>
    </w:p>
    <w:p w:rsidR="00A671B9" w:rsidRPr="00B27C55" w:rsidRDefault="00540FBC"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Currently, the only review mechanisms available to trucking companies that are adversely affected by </w:t>
      </w:r>
      <w:r w:rsidR="00231163" w:rsidRPr="00B27C55">
        <w:rPr>
          <w:rFonts w:ascii="Arial" w:hAnsi="Arial" w:cs="Arial"/>
          <w:sz w:val="20"/>
          <w:szCs w:val="20"/>
        </w:rPr>
        <w:t>local government</w:t>
      </w:r>
      <w:r w:rsidRPr="00B27C55">
        <w:rPr>
          <w:rFonts w:ascii="Arial" w:hAnsi="Arial" w:cs="Arial"/>
          <w:sz w:val="20"/>
          <w:szCs w:val="20"/>
        </w:rPr>
        <w:t xml:space="preserve"> decisions to refuse </w:t>
      </w:r>
      <w:r w:rsidR="009B643F" w:rsidRPr="00B27C55">
        <w:rPr>
          <w:rFonts w:ascii="Arial" w:hAnsi="Arial" w:cs="Arial"/>
          <w:sz w:val="20"/>
          <w:szCs w:val="20"/>
        </w:rPr>
        <w:t xml:space="preserve">local road </w:t>
      </w:r>
      <w:r w:rsidRPr="00B27C55">
        <w:rPr>
          <w:rFonts w:ascii="Arial" w:hAnsi="Arial" w:cs="Arial"/>
          <w:sz w:val="20"/>
          <w:szCs w:val="20"/>
        </w:rPr>
        <w:t xml:space="preserve">access or use are internal review mechanisms within </w:t>
      </w:r>
      <w:r w:rsidR="00231163" w:rsidRPr="00B27C55">
        <w:rPr>
          <w:rFonts w:ascii="Arial" w:hAnsi="Arial" w:cs="Arial"/>
          <w:sz w:val="20"/>
          <w:szCs w:val="20"/>
        </w:rPr>
        <w:t>local government</w:t>
      </w:r>
      <w:r w:rsidRPr="00B27C55">
        <w:rPr>
          <w:rFonts w:ascii="Arial" w:hAnsi="Arial" w:cs="Arial"/>
          <w:sz w:val="20"/>
          <w:szCs w:val="20"/>
        </w:rPr>
        <w:t xml:space="preserve">s. </w:t>
      </w:r>
      <w:r w:rsidR="00FA5B15">
        <w:rPr>
          <w:rFonts w:ascii="Arial" w:hAnsi="Arial" w:cs="Arial"/>
          <w:sz w:val="20"/>
          <w:szCs w:val="20"/>
        </w:rPr>
        <w:t>L</w:t>
      </w:r>
      <w:r w:rsidR="00231163" w:rsidRPr="00B27C55">
        <w:rPr>
          <w:rFonts w:ascii="Arial" w:hAnsi="Arial" w:cs="Arial"/>
          <w:sz w:val="20"/>
          <w:szCs w:val="20"/>
        </w:rPr>
        <w:t>ocal government</w:t>
      </w:r>
      <w:r w:rsidR="009B643F" w:rsidRPr="00B27C55">
        <w:rPr>
          <w:rFonts w:ascii="Arial" w:hAnsi="Arial" w:cs="Arial"/>
          <w:sz w:val="20"/>
          <w:szCs w:val="20"/>
        </w:rPr>
        <w:t>s</w:t>
      </w:r>
      <w:r w:rsidR="00FA5B15">
        <w:rPr>
          <w:rFonts w:ascii="Arial" w:hAnsi="Arial" w:cs="Arial"/>
          <w:sz w:val="20"/>
          <w:szCs w:val="20"/>
        </w:rPr>
        <w:t xml:space="preserve"> do not </w:t>
      </w:r>
      <w:r w:rsidR="00512640" w:rsidRPr="00B27C55">
        <w:rPr>
          <w:rFonts w:ascii="Arial" w:hAnsi="Arial" w:cs="Arial"/>
          <w:sz w:val="20"/>
          <w:szCs w:val="20"/>
        </w:rPr>
        <w:t xml:space="preserve">have to provide a statement of reasons accompanying their decisions. As a consequence, trucking companies often do not take up the option of internal review due to the lack of confidence in </w:t>
      </w:r>
      <w:r w:rsidR="00231163" w:rsidRPr="00B27C55">
        <w:rPr>
          <w:rFonts w:ascii="Arial" w:hAnsi="Arial" w:cs="Arial"/>
          <w:sz w:val="20"/>
          <w:szCs w:val="20"/>
        </w:rPr>
        <w:t>local government</w:t>
      </w:r>
      <w:r w:rsidR="00512640" w:rsidRPr="00B27C55">
        <w:rPr>
          <w:rFonts w:ascii="Arial" w:hAnsi="Arial" w:cs="Arial"/>
          <w:sz w:val="20"/>
          <w:szCs w:val="20"/>
        </w:rPr>
        <w:t>s being able to objectively</w:t>
      </w:r>
      <w:r w:rsidR="006F731C" w:rsidRPr="00B27C55">
        <w:rPr>
          <w:rFonts w:ascii="Arial" w:hAnsi="Arial" w:cs="Arial"/>
          <w:sz w:val="20"/>
          <w:szCs w:val="20"/>
        </w:rPr>
        <w:t>, transparently</w:t>
      </w:r>
      <w:r w:rsidR="00512640" w:rsidRPr="00B27C55">
        <w:rPr>
          <w:rFonts w:ascii="Arial" w:hAnsi="Arial" w:cs="Arial"/>
          <w:sz w:val="20"/>
          <w:szCs w:val="20"/>
        </w:rPr>
        <w:t xml:space="preserve"> and fairly review their own decisions. </w:t>
      </w:r>
      <w:r w:rsidRPr="00B27C55">
        <w:rPr>
          <w:rFonts w:ascii="Arial" w:hAnsi="Arial" w:cs="Arial"/>
          <w:sz w:val="20"/>
          <w:szCs w:val="20"/>
        </w:rPr>
        <w:t xml:space="preserve">Thus, the trucking industry </w:t>
      </w:r>
      <w:r w:rsidR="00FB210F" w:rsidRPr="00B27C55">
        <w:rPr>
          <w:rFonts w:ascii="Arial" w:hAnsi="Arial" w:cs="Arial"/>
          <w:sz w:val="20"/>
          <w:szCs w:val="20"/>
        </w:rPr>
        <w:t xml:space="preserve">should be legally entitled to a statement of reasons and </w:t>
      </w:r>
      <w:r w:rsidRPr="00B27C55">
        <w:rPr>
          <w:rFonts w:ascii="Arial" w:hAnsi="Arial" w:cs="Arial"/>
          <w:sz w:val="20"/>
          <w:szCs w:val="20"/>
        </w:rPr>
        <w:t>access to external merits review mechanisms</w:t>
      </w:r>
      <w:r w:rsidR="00512640" w:rsidRPr="00B27C55">
        <w:rPr>
          <w:rFonts w:ascii="Arial" w:hAnsi="Arial" w:cs="Arial"/>
          <w:sz w:val="20"/>
          <w:szCs w:val="20"/>
        </w:rPr>
        <w:t xml:space="preserve"> through</w:t>
      </w:r>
      <w:r w:rsidR="00FA5B15">
        <w:rPr>
          <w:rFonts w:ascii="Arial" w:hAnsi="Arial" w:cs="Arial"/>
          <w:sz w:val="20"/>
          <w:szCs w:val="20"/>
        </w:rPr>
        <w:t xml:space="preserve"> the Administrative Decisions Tribunal</w:t>
      </w:r>
      <w:r w:rsidR="00512640" w:rsidRPr="00B27C55">
        <w:rPr>
          <w:rFonts w:ascii="Arial" w:hAnsi="Arial" w:cs="Arial"/>
          <w:sz w:val="20"/>
          <w:szCs w:val="20"/>
        </w:rPr>
        <w:t xml:space="preserve">. Over time, a series of tribunal decisions would establish precedents for local governments to use </w:t>
      </w:r>
      <w:r w:rsidR="009B643F" w:rsidRPr="00B27C55">
        <w:rPr>
          <w:rFonts w:ascii="Arial" w:hAnsi="Arial" w:cs="Arial"/>
          <w:sz w:val="20"/>
          <w:szCs w:val="20"/>
        </w:rPr>
        <w:t xml:space="preserve">in order </w:t>
      </w:r>
      <w:r w:rsidR="00512640" w:rsidRPr="00B27C55">
        <w:rPr>
          <w:rFonts w:ascii="Arial" w:hAnsi="Arial" w:cs="Arial"/>
          <w:sz w:val="20"/>
          <w:szCs w:val="20"/>
        </w:rPr>
        <w:t>to make consistent and fair decisions.</w:t>
      </w:r>
    </w:p>
    <w:p w:rsidR="00EC50C6" w:rsidRPr="00B27C55" w:rsidRDefault="00EC50C6" w:rsidP="00910BCA">
      <w:pPr>
        <w:autoSpaceDE w:val="0"/>
        <w:autoSpaceDN w:val="0"/>
        <w:adjustRightInd w:val="0"/>
        <w:spacing w:after="0"/>
        <w:rPr>
          <w:rFonts w:ascii="Arial" w:hAnsi="Arial" w:cs="Arial"/>
          <w:sz w:val="20"/>
          <w:szCs w:val="20"/>
        </w:rPr>
      </w:pPr>
    </w:p>
    <w:p w:rsidR="0093070F" w:rsidRPr="00B27C55" w:rsidRDefault="002A5A89" w:rsidP="00910BCA">
      <w:pPr>
        <w:autoSpaceDE w:val="0"/>
        <w:autoSpaceDN w:val="0"/>
        <w:adjustRightInd w:val="0"/>
        <w:spacing w:after="0"/>
        <w:rPr>
          <w:rFonts w:ascii="Arial" w:hAnsi="Arial" w:cs="Arial"/>
          <w:b/>
          <w:color w:val="17365D" w:themeColor="text2" w:themeShade="BF"/>
          <w:sz w:val="20"/>
          <w:szCs w:val="20"/>
        </w:rPr>
      </w:pPr>
      <w:r w:rsidRPr="00B27C55">
        <w:rPr>
          <w:rFonts w:ascii="Arial" w:hAnsi="Arial" w:cs="Arial"/>
          <w:b/>
          <w:color w:val="17365D" w:themeColor="text2" w:themeShade="BF"/>
          <w:sz w:val="20"/>
          <w:szCs w:val="20"/>
        </w:rPr>
        <w:t>6</w:t>
      </w:r>
      <w:r w:rsidR="0093070F" w:rsidRPr="00B27C55">
        <w:rPr>
          <w:rFonts w:ascii="Arial" w:hAnsi="Arial" w:cs="Arial"/>
          <w:b/>
          <w:color w:val="17365D" w:themeColor="text2" w:themeShade="BF"/>
          <w:sz w:val="20"/>
          <w:szCs w:val="20"/>
        </w:rPr>
        <w:t xml:space="preserve">.3. Performance Based Standard (PBS) </w:t>
      </w:r>
      <w:r w:rsidRPr="00B27C55">
        <w:rPr>
          <w:rFonts w:ascii="Arial" w:hAnsi="Arial" w:cs="Arial"/>
          <w:b/>
          <w:color w:val="17365D" w:themeColor="text2" w:themeShade="BF"/>
          <w:sz w:val="20"/>
          <w:szCs w:val="20"/>
        </w:rPr>
        <w:t>Scheme</w:t>
      </w:r>
      <w:r w:rsidR="0093070F" w:rsidRPr="00B27C55">
        <w:rPr>
          <w:rFonts w:ascii="Arial" w:hAnsi="Arial" w:cs="Arial"/>
          <w:b/>
          <w:color w:val="17365D" w:themeColor="text2" w:themeShade="BF"/>
          <w:sz w:val="20"/>
          <w:szCs w:val="20"/>
        </w:rPr>
        <w:t xml:space="preserve"> Issues</w:t>
      </w:r>
    </w:p>
    <w:p w:rsidR="0093070F" w:rsidRPr="00B27C55" w:rsidRDefault="0093070F" w:rsidP="00910BCA">
      <w:pPr>
        <w:autoSpaceDE w:val="0"/>
        <w:autoSpaceDN w:val="0"/>
        <w:adjustRightInd w:val="0"/>
        <w:spacing w:after="0"/>
        <w:rPr>
          <w:rFonts w:ascii="Arial" w:hAnsi="Arial" w:cs="Arial"/>
          <w:sz w:val="20"/>
          <w:szCs w:val="20"/>
        </w:rPr>
      </w:pPr>
    </w:p>
    <w:p w:rsidR="001C53E2" w:rsidRPr="00B27C55" w:rsidRDefault="001C53E2"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The Performance Based Standards (PBS) scheme was created to allow innovative </w:t>
      </w:r>
      <w:r w:rsidR="007729F9" w:rsidRPr="00B27C55">
        <w:rPr>
          <w:rFonts w:ascii="Arial" w:hAnsi="Arial" w:cs="Arial"/>
          <w:sz w:val="20"/>
          <w:szCs w:val="20"/>
        </w:rPr>
        <w:t xml:space="preserve">heavy vehicles </w:t>
      </w:r>
      <w:r w:rsidR="00F00A6F">
        <w:rPr>
          <w:rFonts w:ascii="Arial" w:hAnsi="Arial" w:cs="Arial"/>
          <w:sz w:val="20"/>
          <w:szCs w:val="20"/>
        </w:rPr>
        <w:t xml:space="preserve">that </w:t>
      </w:r>
      <w:r w:rsidRPr="00B27C55">
        <w:rPr>
          <w:rFonts w:ascii="Arial" w:hAnsi="Arial" w:cs="Arial"/>
          <w:sz w:val="20"/>
          <w:szCs w:val="20"/>
        </w:rPr>
        <w:t xml:space="preserve">comply with Australian design rules to meet select standards to prove their safety so they can operate as normal heavy vehicles. The rationale for the scheme is to make it easier for businesses to use innovative or specialised heavy vehicles. While businesses have complied with the </w:t>
      </w:r>
      <w:r w:rsidR="007729F9" w:rsidRPr="00B27C55">
        <w:rPr>
          <w:rFonts w:ascii="Arial" w:hAnsi="Arial" w:cs="Arial"/>
          <w:sz w:val="20"/>
          <w:szCs w:val="20"/>
        </w:rPr>
        <w:t xml:space="preserve">set </w:t>
      </w:r>
      <w:r w:rsidRPr="00B27C55">
        <w:rPr>
          <w:rFonts w:ascii="Arial" w:hAnsi="Arial" w:cs="Arial"/>
          <w:sz w:val="20"/>
          <w:szCs w:val="20"/>
        </w:rPr>
        <w:t>strict criteria, local governments and state government agencies have made</w:t>
      </w:r>
      <w:r w:rsidR="00082254" w:rsidRPr="00B27C55">
        <w:rPr>
          <w:rFonts w:ascii="Arial" w:hAnsi="Arial" w:cs="Arial"/>
          <w:sz w:val="20"/>
          <w:szCs w:val="20"/>
        </w:rPr>
        <w:t xml:space="preserve"> the scheme ineffectual, as </w:t>
      </w:r>
      <w:r w:rsidRPr="00B27C55">
        <w:rPr>
          <w:rFonts w:ascii="Arial" w:hAnsi="Arial" w:cs="Arial"/>
          <w:sz w:val="20"/>
          <w:szCs w:val="20"/>
        </w:rPr>
        <w:t>maps</w:t>
      </w:r>
      <w:r w:rsidR="00082254" w:rsidRPr="00B27C55">
        <w:rPr>
          <w:rFonts w:ascii="Arial" w:hAnsi="Arial" w:cs="Arial"/>
          <w:sz w:val="20"/>
          <w:szCs w:val="20"/>
        </w:rPr>
        <w:t xml:space="preserve"> identifying</w:t>
      </w:r>
      <w:r w:rsidRPr="00B27C55">
        <w:rPr>
          <w:rFonts w:ascii="Arial" w:hAnsi="Arial" w:cs="Arial"/>
          <w:sz w:val="20"/>
          <w:szCs w:val="20"/>
        </w:rPr>
        <w:t xml:space="preserve"> </w:t>
      </w:r>
      <w:r w:rsidR="00082254" w:rsidRPr="00B27C55">
        <w:rPr>
          <w:rFonts w:ascii="Arial" w:hAnsi="Arial" w:cs="Arial"/>
          <w:sz w:val="20"/>
          <w:szCs w:val="20"/>
        </w:rPr>
        <w:t xml:space="preserve">PBS-compliant routes on the road network </w:t>
      </w:r>
      <w:r w:rsidRPr="00B27C55">
        <w:rPr>
          <w:rFonts w:ascii="Arial" w:hAnsi="Arial" w:cs="Arial"/>
          <w:sz w:val="20"/>
          <w:szCs w:val="20"/>
        </w:rPr>
        <w:t xml:space="preserve">were supposed to have been produced </w:t>
      </w:r>
      <w:r w:rsidR="00082254" w:rsidRPr="00B27C55">
        <w:rPr>
          <w:rFonts w:ascii="Arial" w:hAnsi="Arial" w:cs="Arial"/>
          <w:sz w:val="20"/>
          <w:szCs w:val="20"/>
        </w:rPr>
        <w:t xml:space="preserve">by state governments, with local government input, </w:t>
      </w:r>
      <w:r w:rsidRPr="00B27C55">
        <w:rPr>
          <w:rFonts w:ascii="Arial" w:hAnsi="Arial" w:cs="Arial"/>
          <w:sz w:val="20"/>
          <w:szCs w:val="20"/>
        </w:rPr>
        <w:t>in order to identify important information such as bridge capacity and rest stops for drivers. It appears that local government</w:t>
      </w:r>
      <w:r w:rsidR="00134F1A" w:rsidRPr="00B27C55">
        <w:rPr>
          <w:rFonts w:ascii="Arial" w:hAnsi="Arial" w:cs="Arial"/>
          <w:sz w:val="20"/>
          <w:szCs w:val="20"/>
        </w:rPr>
        <w:t>s are e</w:t>
      </w:r>
      <w:r w:rsidRPr="00B27C55">
        <w:rPr>
          <w:rFonts w:ascii="Arial" w:hAnsi="Arial" w:cs="Arial"/>
          <w:sz w:val="20"/>
          <w:szCs w:val="20"/>
        </w:rPr>
        <w:t xml:space="preserve">ither not able to identify the routes for PBS maps because of a lack of resources or are not organised enough to do so. </w:t>
      </w:r>
    </w:p>
    <w:p w:rsidR="001C53E2" w:rsidRPr="00B27C55" w:rsidRDefault="001C53E2" w:rsidP="00910BCA">
      <w:pPr>
        <w:autoSpaceDE w:val="0"/>
        <w:autoSpaceDN w:val="0"/>
        <w:adjustRightInd w:val="0"/>
        <w:spacing w:after="0"/>
        <w:rPr>
          <w:rFonts w:ascii="Arial" w:hAnsi="Arial" w:cs="Arial"/>
          <w:sz w:val="20"/>
          <w:szCs w:val="20"/>
        </w:rPr>
      </w:pPr>
    </w:p>
    <w:p w:rsidR="0093070F" w:rsidRPr="00B27C55" w:rsidRDefault="001C53E2" w:rsidP="00910BCA">
      <w:pPr>
        <w:autoSpaceDE w:val="0"/>
        <w:autoSpaceDN w:val="0"/>
        <w:adjustRightInd w:val="0"/>
        <w:spacing w:after="0"/>
        <w:rPr>
          <w:rFonts w:ascii="Arial" w:hAnsi="Arial" w:cs="Arial"/>
          <w:sz w:val="20"/>
          <w:szCs w:val="20"/>
        </w:rPr>
      </w:pPr>
      <w:r w:rsidRPr="00B27C55">
        <w:rPr>
          <w:rFonts w:ascii="Arial" w:hAnsi="Arial" w:cs="Arial"/>
          <w:sz w:val="20"/>
          <w:szCs w:val="20"/>
        </w:rPr>
        <w:t>Essentially, local governments are not provid</w:t>
      </w:r>
      <w:r w:rsidR="00082254" w:rsidRPr="00B27C55">
        <w:rPr>
          <w:rFonts w:ascii="Arial" w:hAnsi="Arial" w:cs="Arial"/>
          <w:sz w:val="20"/>
          <w:szCs w:val="20"/>
        </w:rPr>
        <w:t>ing</w:t>
      </w:r>
      <w:r w:rsidRPr="00B27C55">
        <w:rPr>
          <w:rFonts w:ascii="Arial" w:hAnsi="Arial" w:cs="Arial"/>
          <w:sz w:val="20"/>
          <w:szCs w:val="20"/>
        </w:rPr>
        <w:t xml:space="preserve"> services that businesses have paid for. This is a huge failing. The scheme has been operational since 2007</w:t>
      </w:r>
      <w:r w:rsidR="00231163" w:rsidRPr="00B27C55">
        <w:rPr>
          <w:rFonts w:ascii="Arial" w:hAnsi="Arial" w:cs="Arial"/>
          <w:sz w:val="20"/>
          <w:szCs w:val="20"/>
        </w:rPr>
        <w:t>,</w:t>
      </w:r>
      <w:r w:rsidRPr="00B27C55">
        <w:rPr>
          <w:rFonts w:ascii="Arial" w:hAnsi="Arial" w:cs="Arial"/>
          <w:sz w:val="20"/>
          <w:szCs w:val="20"/>
        </w:rPr>
        <w:t xml:space="preserve"> and 80 tr</w:t>
      </w:r>
      <w:r w:rsidR="00082254" w:rsidRPr="00B27C55">
        <w:rPr>
          <w:rFonts w:ascii="Arial" w:hAnsi="Arial" w:cs="Arial"/>
          <w:sz w:val="20"/>
          <w:szCs w:val="20"/>
        </w:rPr>
        <w:t>ucks and buses have been registered under</w:t>
      </w:r>
      <w:r w:rsidRPr="00B27C55">
        <w:rPr>
          <w:rFonts w:ascii="Arial" w:hAnsi="Arial" w:cs="Arial"/>
          <w:sz w:val="20"/>
          <w:szCs w:val="20"/>
        </w:rPr>
        <w:t xml:space="preserve"> </w:t>
      </w:r>
      <w:r w:rsidR="00082254" w:rsidRPr="00B27C55">
        <w:rPr>
          <w:rFonts w:ascii="Arial" w:hAnsi="Arial" w:cs="Arial"/>
          <w:sz w:val="20"/>
          <w:szCs w:val="20"/>
        </w:rPr>
        <w:t xml:space="preserve">the </w:t>
      </w:r>
      <w:r w:rsidRPr="00B27C55">
        <w:rPr>
          <w:rFonts w:ascii="Arial" w:hAnsi="Arial" w:cs="Arial"/>
          <w:sz w:val="20"/>
          <w:szCs w:val="20"/>
        </w:rPr>
        <w:t xml:space="preserve">PBS </w:t>
      </w:r>
      <w:r w:rsidR="00082254" w:rsidRPr="00B27C55">
        <w:rPr>
          <w:rFonts w:ascii="Arial" w:hAnsi="Arial" w:cs="Arial"/>
          <w:sz w:val="20"/>
          <w:szCs w:val="20"/>
        </w:rPr>
        <w:t xml:space="preserve">scheme since </w:t>
      </w:r>
      <w:r w:rsidRPr="00B27C55">
        <w:rPr>
          <w:rFonts w:ascii="Arial" w:hAnsi="Arial" w:cs="Arial"/>
          <w:sz w:val="20"/>
          <w:szCs w:val="20"/>
        </w:rPr>
        <w:t xml:space="preserve">January 2010. Yet PBS mapping is still incomplete. In areas where the lack of </w:t>
      </w:r>
      <w:r w:rsidR="00082254" w:rsidRPr="00B27C55">
        <w:rPr>
          <w:rFonts w:ascii="Arial" w:hAnsi="Arial" w:cs="Arial"/>
          <w:sz w:val="20"/>
          <w:szCs w:val="20"/>
        </w:rPr>
        <w:t>PBS</w:t>
      </w:r>
      <w:r w:rsidRPr="00B27C55">
        <w:rPr>
          <w:rFonts w:ascii="Arial" w:hAnsi="Arial" w:cs="Arial"/>
          <w:sz w:val="20"/>
          <w:szCs w:val="20"/>
        </w:rPr>
        <w:t xml:space="preserve"> mapping is particularly severe because local governments have not identified </w:t>
      </w:r>
      <w:r w:rsidR="00134F1A" w:rsidRPr="00B27C55">
        <w:rPr>
          <w:rFonts w:ascii="Arial" w:hAnsi="Arial" w:cs="Arial"/>
          <w:sz w:val="20"/>
          <w:szCs w:val="20"/>
        </w:rPr>
        <w:t>PBS-compliant routes, operators are constrained by applying individually to local governments for permission to use the road network. Thus, the intent of improving productivity under this scheme is considerably undermined.</w:t>
      </w:r>
      <w:r w:rsidR="00BA5BD8" w:rsidRPr="00B27C55">
        <w:rPr>
          <w:rFonts w:ascii="Arial" w:hAnsi="Arial" w:cs="Arial"/>
          <w:sz w:val="20"/>
          <w:szCs w:val="20"/>
        </w:rPr>
        <w:t xml:space="preserve"> This issue needs to be addressed.</w:t>
      </w:r>
    </w:p>
    <w:p w:rsidR="0008322E" w:rsidRPr="00B27C55" w:rsidRDefault="0008322E" w:rsidP="00910BCA">
      <w:pPr>
        <w:autoSpaceDE w:val="0"/>
        <w:autoSpaceDN w:val="0"/>
        <w:adjustRightInd w:val="0"/>
        <w:spacing w:after="0"/>
        <w:rPr>
          <w:rFonts w:ascii="Arial" w:hAnsi="Arial" w:cs="Arial"/>
          <w:sz w:val="20"/>
          <w:szCs w:val="20"/>
        </w:rPr>
      </w:pPr>
    </w:p>
    <w:p w:rsidR="00C50AC8" w:rsidRPr="00B27C55" w:rsidRDefault="00C50AC8" w:rsidP="00910BCA">
      <w:pPr>
        <w:autoSpaceDE w:val="0"/>
        <w:autoSpaceDN w:val="0"/>
        <w:adjustRightInd w:val="0"/>
        <w:spacing w:after="0"/>
        <w:rPr>
          <w:rFonts w:ascii="Arial" w:hAnsi="Arial" w:cs="Arial"/>
          <w:sz w:val="20"/>
          <w:szCs w:val="20"/>
        </w:rPr>
      </w:pPr>
    </w:p>
    <w:p w:rsidR="00B92612" w:rsidRDefault="00515F1D" w:rsidP="00515F1D">
      <w:pPr>
        <w:pStyle w:val="Heading1"/>
      </w:pPr>
      <w:r>
        <w:t>Result of Excessive Regulation</w:t>
      </w:r>
    </w:p>
    <w:p w:rsidR="00BA5BD8" w:rsidRPr="00B27C55" w:rsidRDefault="00BA5BD8" w:rsidP="00910BCA">
      <w:pPr>
        <w:autoSpaceDE w:val="0"/>
        <w:autoSpaceDN w:val="0"/>
        <w:adjustRightInd w:val="0"/>
        <w:spacing w:after="0"/>
        <w:rPr>
          <w:rFonts w:ascii="Arial" w:hAnsi="Arial" w:cs="Arial"/>
          <w:sz w:val="20"/>
          <w:szCs w:val="20"/>
        </w:rPr>
      </w:pPr>
    </w:p>
    <w:p w:rsidR="00515F1D" w:rsidRPr="00B27C55" w:rsidRDefault="00515F1D" w:rsidP="00910BCA">
      <w:pPr>
        <w:autoSpaceDE w:val="0"/>
        <w:autoSpaceDN w:val="0"/>
        <w:adjustRightInd w:val="0"/>
        <w:spacing w:after="0"/>
        <w:rPr>
          <w:rFonts w:ascii="Arial" w:hAnsi="Arial" w:cs="Arial"/>
          <w:sz w:val="20"/>
          <w:szCs w:val="20"/>
        </w:rPr>
      </w:pPr>
      <w:r w:rsidRPr="00B27C55">
        <w:rPr>
          <w:rFonts w:ascii="Arial" w:hAnsi="Arial" w:cs="Arial"/>
          <w:sz w:val="20"/>
          <w:szCs w:val="20"/>
        </w:rPr>
        <w:t>The difference</w:t>
      </w:r>
      <w:r w:rsidR="00231163" w:rsidRPr="00B27C55">
        <w:rPr>
          <w:rFonts w:ascii="Arial" w:hAnsi="Arial" w:cs="Arial"/>
          <w:sz w:val="20"/>
          <w:szCs w:val="20"/>
        </w:rPr>
        <w:t>s</w:t>
      </w:r>
      <w:r w:rsidRPr="00B27C55">
        <w:rPr>
          <w:rFonts w:ascii="Arial" w:hAnsi="Arial" w:cs="Arial"/>
          <w:sz w:val="20"/>
          <w:szCs w:val="20"/>
        </w:rPr>
        <w:t xml:space="preserve"> in jurisdictional regulations and practice mean</w:t>
      </w:r>
      <w:r w:rsidR="00231163" w:rsidRPr="00B27C55">
        <w:rPr>
          <w:rFonts w:ascii="Arial" w:hAnsi="Arial" w:cs="Arial"/>
          <w:sz w:val="20"/>
          <w:szCs w:val="20"/>
        </w:rPr>
        <w:t>s</w:t>
      </w:r>
      <w:r w:rsidRPr="00B27C55">
        <w:rPr>
          <w:rFonts w:ascii="Arial" w:hAnsi="Arial" w:cs="Arial"/>
          <w:sz w:val="20"/>
          <w:szCs w:val="20"/>
        </w:rPr>
        <w:t xml:space="preserve"> truck fleets are not able to work at the optimal level for the Australian economy. The trucking industry faces two choices with inconsistent regulation across different jurisdictions: operators</w:t>
      </w:r>
      <w:r w:rsidR="00AB178B" w:rsidRPr="00B27C55">
        <w:rPr>
          <w:rFonts w:ascii="Arial" w:hAnsi="Arial" w:cs="Arial"/>
          <w:sz w:val="20"/>
          <w:szCs w:val="20"/>
        </w:rPr>
        <w:t xml:space="preserve"> can</w:t>
      </w:r>
      <w:r w:rsidRPr="00B27C55">
        <w:rPr>
          <w:rFonts w:ascii="Arial" w:hAnsi="Arial" w:cs="Arial"/>
          <w:sz w:val="20"/>
          <w:szCs w:val="20"/>
        </w:rPr>
        <w:t xml:space="preserve"> </w:t>
      </w:r>
      <w:r w:rsidR="00AA37F6" w:rsidRPr="00B27C55">
        <w:rPr>
          <w:rFonts w:ascii="Arial" w:hAnsi="Arial" w:cs="Arial"/>
          <w:sz w:val="20"/>
          <w:szCs w:val="20"/>
        </w:rPr>
        <w:t>use more productive heavy vehicles</w:t>
      </w:r>
      <w:r w:rsidR="007729F9" w:rsidRPr="00B27C55">
        <w:rPr>
          <w:rFonts w:ascii="Arial" w:hAnsi="Arial" w:cs="Arial"/>
          <w:sz w:val="20"/>
          <w:szCs w:val="20"/>
        </w:rPr>
        <w:t>,</w:t>
      </w:r>
      <w:r w:rsidR="00AA37F6" w:rsidRPr="00B27C55">
        <w:rPr>
          <w:rFonts w:ascii="Arial" w:hAnsi="Arial" w:cs="Arial"/>
          <w:sz w:val="20"/>
          <w:szCs w:val="20"/>
        </w:rPr>
        <w:t xml:space="preserve"> but </w:t>
      </w:r>
      <w:r w:rsidRPr="00B27C55">
        <w:rPr>
          <w:rFonts w:ascii="Arial" w:hAnsi="Arial" w:cs="Arial"/>
          <w:sz w:val="20"/>
          <w:szCs w:val="20"/>
        </w:rPr>
        <w:t xml:space="preserve">must </w:t>
      </w:r>
      <w:r w:rsidR="007729F9" w:rsidRPr="00B27C55">
        <w:rPr>
          <w:rFonts w:ascii="Arial" w:hAnsi="Arial" w:cs="Arial"/>
          <w:sz w:val="20"/>
          <w:szCs w:val="20"/>
        </w:rPr>
        <w:t xml:space="preserve">invest more time and money in </w:t>
      </w:r>
      <w:r w:rsidRPr="00B27C55">
        <w:rPr>
          <w:rFonts w:ascii="Arial" w:hAnsi="Arial" w:cs="Arial"/>
          <w:sz w:val="20"/>
          <w:szCs w:val="20"/>
        </w:rPr>
        <w:t>meet</w:t>
      </w:r>
      <w:r w:rsidR="007729F9" w:rsidRPr="00B27C55">
        <w:rPr>
          <w:rFonts w:ascii="Arial" w:hAnsi="Arial" w:cs="Arial"/>
          <w:sz w:val="20"/>
          <w:szCs w:val="20"/>
        </w:rPr>
        <w:t>ing</w:t>
      </w:r>
      <w:r w:rsidRPr="00B27C55">
        <w:rPr>
          <w:rFonts w:ascii="Arial" w:hAnsi="Arial" w:cs="Arial"/>
          <w:sz w:val="20"/>
          <w:szCs w:val="20"/>
        </w:rPr>
        <w:t xml:space="preserve"> the</w:t>
      </w:r>
      <w:r w:rsidR="00AA37F6" w:rsidRPr="00B27C55">
        <w:rPr>
          <w:rFonts w:ascii="Arial" w:hAnsi="Arial" w:cs="Arial"/>
          <w:sz w:val="20"/>
          <w:szCs w:val="20"/>
        </w:rPr>
        <w:t xml:space="preserve"> burdensome</w:t>
      </w:r>
      <w:r w:rsidRPr="00B27C55">
        <w:rPr>
          <w:rFonts w:ascii="Arial" w:hAnsi="Arial" w:cs="Arial"/>
          <w:sz w:val="20"/>
          <w:szCs w:val="20"/>
        </w:rPr>
        <w:t xml:space="preserve"> </w:t>
      </w:r>
      <w:r w:rsidR="00AA37F6" w:rsidRPr="00B27C55">
        <w:rPr>
          <w:rFonts w:ascii="Arial" w:hAnsi="Arial" w:cs="Arial"/>
          <w:sz w:val="20"/>
          <w:szCs w:val="20"/>
        </w:rPr>
        <w:t>requirement</w:t>
      </w:r>
      <w:r w:rsidR="00AB178B" w:rsidRPr="00B27C55">
        <w:rPr>
          <w:rFonts w:ascii="Arial" w:hAnsi="Arial" w:cs="Arial"/>
          <w:sz w:val="20"/>
          <w:szCs w:val="20"/>
        </w:rPr>
        <w:t xml:space="preserve">s </w:t>
      </w:r>
      <w:r w:rsidRPr="00B27C55">
        <w:rPr>
          <w:rFonts w:ascii="Arial" w:hAnsi="Arial" w:cs="Arial"/>
          <w:sz w:val="20"/>
          <w:szCs w:val="20"/>
        </w:rPr>
        <w:t xml:space="preserve">in </w:t>
      </w:r>
      <w:r w:rsidR="00475317" w:rsidRPr="00B27C55">
        <w:rPr>
          <w:rFonts w:ascii="Arial" w:hAnsi="Arial" w:cs="Arial"/>
          <w:sz w:val="20"/>
          <w:szCs w:val="20"/>
        </w:rPr>
        <w:t>each</w:t>
      </w:r>
      <w:r w:rsidR="00AB178B" w:rsidRPr="00B27C55">
        <w:rPr>
          <w:rFonts w:ascii="Arial" w:hAnsi="Arial" w:cs="Arial"/>
          <w:sz w:val="20"/>
          <w:szCs w:val="20"/>
        </w:rPr>
        <w:t xml:space="preserve"> local</w:t>
      </w:r>
      <w:r w:rsidR="00475317" w:rsidRPr="00B27C55">
        <w:rPr>
          <w:rFonts w:ascii="Arial" w:hAnsi="Arial" w:cs="Arial"/>
          <w:sz w:val="20"/>
          <w:szCs w:val="20"/>
        </w:rPr>
        <w:t xml:space="preserve"> jurisdiction</w:t>
      </w:r>
      <w:r w:rsidR="00AA37F6" w:rsidRPr="00B27C55">
        <w:rPr>
          <w:rFonts w:ascii="Arial" w:hAnsi="Arial" w:cs="Arial"/>
          <w:sz w:val="20"/>
          <w:szCs w:val="20"/>
        </w:rPr>
        <w:t xml:space="preserve">; or operators </w:t>
      </w:r>
      <w:r w:rsidR="00AB178B" w:rsidRPr="00B27C55">
        <w:rPr>
          <w:rFonts w:ascii="Arial" w:hAnsi="Arial" w:cs="Arial"/>
          <w:sz w:val="20"/>
          <w:szCs w:val="20"/>
        </w:rPr>
        <w:t xml:space="preserve">can </w:t>
      </w:r>
      <w:r w:rsidR="00AA37F6" w:rsidRPr="00B27C55">
        <w:rPr>
          <w:rFonts w:ascii="Arial" w:hAnsi="Arial" w:cs="Arial"/>
          <w:sz w:val="20"/>
          <w:szCs w:val="20"/>
        </w:rPr>
        <w:t>use less productive heavy vehicles</w:t>
      </w:r>
      <w:r w:rsidR="00AB178B" w:rsidRPr="00B27C55">
        <w:rPr>
          <w:rFonts w:ascii="Arial" w:hAnsi="Arial" w:cs="Arial"/>
          <w:sz w:val="20"/>
          <w:szCs w:val="20"/>
        </w:rPr>
        <w:t xml:space="preserve"> so that they </w:t>
      </w:r>
      <w:r w:rsidR="007729F9" w:rsidRPr="00B27C55">
        <w:rPr>
          <w:rFonts w:ascii="Arial" w:hAnsi="Arial" w:cs="Arial"/>
          <w:sz w:val="20"/>
          <w:szCs w:val="20"/>
        </w:rPr>
        <w:t xml:space="preserve">invest less time and money in meeting </w:t>
      </w:r>
      <w:r w:rsidR="00AB178B" w:rsidRPr="00B27C55">
        <w:rPr>
          <w:rFonts w:ascii="Arial" w:hAnsi="Arial" w:cs="Arial"/>
          <w:sz w:val="20"/>
          <w:szCs w:val="20"/>
        </w:rPr>
        <w:t>less burdensome requirements in each local jurisdiction</w:t>
      </w:r>
      <w:r w:rsidRPr="00B27C55">
        <w:rPr>
          <w:rFonts w:ascii="Arial" w:hAnsi="Arial" w:cs="Arial"/>
          <w:sz w:val="20"/>
          <w:szCs w:val="20"/>
        </w:rPr>
        <w:t xml:space="preserve">. Both of these choices are not the general equilibrium which should occur. As can be seen in the </w:t>
      </w:r>
      <w:r w:rsidRPr="00B27C55">
        <w:rPr>
          <w:rFonts w:ascii="Arial" w:hAnsi="Arial" w:cs="Arial"/>
          <w:b/>
          <w:sz w:val="20"/>
          <w:szCs w:val="20"/>
        </w:rPr>
        <w:t xml:space="preserve">Graph 1 </w:t>
      </w:r>
      <w:r w:rsidRPr="00B27C55">
        <w:rPr>
          <w:rFonts w:ascii="Arial" w:hAnsi="Arial" w:cs="Arial"/>
          <w:sz w:val="20"/>
          <w:szCs w:val="20"/>
        </w:rPr>
        <w:t xml:space="preserve">below, a market failure is present because of </w:t>
      </w:r>
      <w:proofErr w:type="gramStart"/>
      <w:r w:rsidRPr="00B27C55">
        <w:rPr>
          <w:rFonts w:ascii="Arial" w:hAnsi="Arial" w:cs="Arial"/>
          <w:sz w:val="20"/>
          <w:szCs w:val="20"/>
        </w:rPr>
        <w:t>the disconnect</w:t>
      </w:r>
      <w:proofErr w:type="gramEnd"/>
      <w:r w:rsidRPr="00B27C55">
        <w:rPr>
          <w:rFonts w:ascii="Arial" w:hAnsi="Arial" w:cs="Arial"/>
          <w:sz w:val="20"/>
          <w:szCs w:val="20"/>
        </w:rPr>
        <w:t xml:space="preserve"> in regulation across different jurisdictions.</w:t>
      </w:r>
    </w:p>
    <w:p w:rsidR="00515F1D" w:rsidRDefault="00515F1D" w:rsidP="00910BCA">
      <w:pPr>
        <w:autoSpaceDE w:val="0"/>
        <w:autoSpaceDN w:val="0"/>
        <w:adjustRightInd w:val="0"/>
        <w:spacing w:after="0"/>
        <w:rPr>
          <w:rFonts w:ascii="Arial" w:hAnsi="Arial" w:cs="Arial"/>
          <w:sz w:val="20"/>
          <w:szCs w:val="20"/>
        </w:rPr>
      </w:pPr>
    </w:p>
    <w:p w:rsidR="00FA5B15" w:rsidRPr="00B27C55" w:rsidRDefault="00FA5B15" w:rsidP="00910BCA">
      <w:pPr>
        <w:autoSpaceDE w:val="0"/>
        <w:autoSpaceDN w:val="0"/>
        <w:adjustRightInd w:val="0"/>
        <w:spacing w:after="0"/>
        <w:rPr>
          <w:rFonts w:ascii="Arial" w:hAnsi="Arial" w:cs="Arial"/>
          <w:sz w:val="20"/>
          <w:szCs w:val="20"/>
        </w:rPr>
      </w:pPr>
    </w:p>
    <w:p w:rsidR="003E3860" w:rsidRPr="00B27C55" w:rsidRDefault="003E3860" w:rsidP="00910BCA">
      <w:pPr>
        <w:autoSpaceDE w:val="0"/>
        <w:autoSpaceDN w:val="0"/>
        <w:adjustRightInd w:val="0"/>
        <w:spacing w:after="0"/>
        <w:rPr>
          <w:rFonts w:ascii="Arial" w:hAnsi="Arial" w:cs="Arial"/>
          <w:b/>
          <w:sz w:val="20"/>
          <w:szCs w:val="20"/>
        </w:rPr>
      </w:pPr>
      <w:r w:rsidRPr="00B27C55">
        <w:rPr>
          <w:rFonts w:ascii="Arial" w:hAnsi="Arial" w:cs="Arial"/>
          <w:b/>
          <w:sz w:val="20"/>
          <w:szCs w:val="20"/>
        </w:rPr>
        <w:t xml:space="preserve">Graph 1: Price </w:t>
      </w:r>
      <w:r w:rsidR="0028758D" w:rsidRPr="00B27C55">
        <w:rPr>
          <w:rFonts w:ascii="Arial" w:hAnsi="Arial" w:cs="Arial"/>
          <w:b/>
          <w:sz w:val="20"/>
          <w:szCs w:val="20"/>
        </w:rPr>
        <w:t>Regulation of Heavy Vehicles</w:t>
      </w:r>
    </w:p>
    <w:p w:rsidR="006F731C" w:rsidRPr="003E3860" w:rsidRDefault="006F731C" w:rsidP="00910BCA">
      <w:pPr>
        <w:autoSpaceDE w:val="0"/>
        <w:autoSpaceDN w:val="0"/>
        <w:adjustRightInd w:val="0"/>
        <w:spacing w:after="0"/>
        <w:rPr>
          <w:rFonts w:ascii="Helvetica" w:hAnsi="Helvetica" w:cs="Helvetica"/>
          <w:b/>
          <w:sz w:val="20"/>
          <w:szCs w:val="20"/>
        </w:rPr>
      </w:pPr>
    </w:p>
    <w:p w:rsidR="00515F1D" w:rsidRDefault="003E3860" w:rsidP="00910BCA">
      <w:pPr>
        <w:autoSpaceDE w:val="0"/>
        <w:autoSpaceDN w:val="0"/>
        <w:adjustRightInd w:val="0"/>
        <w:spacing w:after="0"/>
        <w:rPr>
          <w:rFonts w:ascii="Helvetica" w:hAnsi="Helvetica" w:cs="Helvetica"/>
        </w:rPr>
      </w:pPr>
      <w:r>
        <w:rPr>
          <w:rFonts w:ascii="Helvetica" w:hAnsi="Helvetica" w:cs="Helvetica"/>
          <w:noProof/>
        </w:rPr>
        <w:drawing>
          <wp:inline distT="0" distB="0" distL="0" distR="0">
            <wp:extent cx="4668592" cy="3258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673172" cy="3262122"/>
                    </a:xfrm>
                    <a:prstGeom prst="rect">
                      <a:avLst/>
                    </a:prstGeom>
                    <a:noFill/>
                    <a:ln w="9525">
                      <a:noFill/>
                      <a:miter lim="800000"/>
                      <a:headEnd/>
                      <a:tailEnd/>
                    </a:ln>
                  </pic:spPr>
                </pic:pic>
              </a:graphicData>
            </a:graphic>
          </wp:inline>
        </w:drawing>
      </w:r>
    </w:p>
    <w:p w:rsidR="003C3B8C" w:rsidRPr="00B27C55" w:rsidRDefault="003C3B8C" w:rsidP="00F8433B">
      <w:pPr>
        <w:pStyle w:val="Default"/>
        <w:spacing w:line="276" w:lineRule="auto"/>
        <w:rPr>
          <w:color w:val="auto"/>
          <w:sz w:val="20"/>
          <w:szCs w:val="20"/>
        </w:rPr>
      </w:pPr>
    </w:p>
    <w:p w:rsidR="0028758D" w:rsidRPr="00B27C55" w:rsidRDefault="0028758D" w:rsidP="00F8433B">
      <w:pPr>
        <w:pStyle w:val="Default"/>
        <w:spacing w:line="276" w:lineRule="auto"/>
        <w:rPr>
          <w:color w:val="auto"/>
          <w:sz w:val="20"/>
          <w:szCs w:val="20"/>
        </w:rPr>
      </w:pPr>
      <w:r w:rsidRPr="00B27C55">
        <w:rPr>
          <w:color w:val="auto"/>
          <w:sz w:val="20"/>
          <w:szCs w:val="20"/>
        </w:rPr>
        <w:t>The equilibrium where supply and demand for heavy vehicles is optimum is where regulation costs set by local government and operators using the correct combination of heavy vehicles should meet (EQ</w:t>
      </w:r>
      <w:proofErr w:type="gramStart"/>
      <w:r w:rsidRPr="00B27C55">
        <w:rPr>
          <w:color w:val="auto"/>
          <w:sz w:val="20"/>
          <w:szCs w:val="20"/>
        </w:rPr>
        <w:t>,SEQ,PEQ</w:t>
      </w:r>
      <w:proofErr w:type="gramEnd"/>
      <w:r w:rsidRPr="00B27C55">
        <w:rPr>
          <w:color w:val="auto"/>
          <w:sz w:val="20"/>
          <w:szCs w:val="20"/>
        </w:rPr>
        <w:t xml:space="preserve">). However, we have two divergences from the optimum combination of supply and demand. </w:t>
      </w:r>
    </w:p>
    <w:p w:rsidR="0028758D" w:rsidRPr="00B27C55" w:rsidRDefault="0028758D" w:rsidP="00F8433B">
      <w:pPr>
        <w:pStyle w:val="Default"/>
        <w:spacing w:line="276" w:lineRule="auto"/>
        <w:rPr>
          <w:color w:val="auto"/>
          <w:sz w:val="20"/>
          <w:szCs w:val="20"/>
        </w:rPr>
      </w:pPr>
    </w:p>
    <w:p w:rsidR="0028758D" w:rsidRPr="00B27C55" w:rsidRDefault="0037265B" w:rsidP="00F8433B">
      <w:pPr>
        <w:pStyle w:val="Default"/>
        <w:spacing w:line="276" w:lineRule="auto"/>
        <w:rPr>
          <w:color w:val="auto"/>
          <w:sz w:val="20"/>
          <w:szCs w:val="20"/>
        </w:rPr>
      </w:pPr>
      <w:r w:rsidRPr="00B27C55">
        <w:rPr>
          <w:color w:val="auto"/>
          <w:sz w:val="20"/>
          <w:szCs w:val="20"/>
        </w:rPr>
        <w:t>On the one hand</w:t>
      </w:r>
      <w:r w:rsidR="0028758D" w:rsidRPr="00B27C55">
        <w:rPr>
          <w:color w:val="auto"/>
          <w:sz w:val="20"/>
          <w:szCs w:val="20"/>
        </w:rPr>
        <w:t>, we have operators who want to use more productive</w:t>
      </w:r>
      <w:r w:rsidR="00E14D2A" w:rsidRPr="00B27C55">
        <w:rPr>
          <w:color w:val="auto"/>
          <w:sz w:val="20"/>
          <w:szCs w:val="20"/>
        </w:rPr>
        <w:t xml:space="preserve"> heavy</w:t>
      </w:r>
      <w:r w:rsidR="0028758D" w:rsidRPr="00B27C55">
        <w:rPr>
          <w:color w:val="auto"/>
          <w:sz w:val="20"/>
          <w:szCs w:val="20"/>
        </w:rPr>
        <w:t xml:space="preserve"> vehicles, but in order to reach the regulation required to access this, the costs associated with this regulation are high (P,HB). This causes the supply of these higher productive vehicles to be restricted (S</w:t>
      </w:r>
      <w:proofErr w:type="gramStart"/>
      <w:r w:rsidR="0028758D" w:rsidRPr="00B27C55">
        <w:rPr>
          <w:color w:val="auto"/>
          <w:sz w:val="20"/>
          <w:szCs w:val="20"/>
        </w:rPr>
        <w:t>,HB</w:t>
      </w:r>
      <w:proofErr w:type="gramEnd"/>
      <w:r w:rsidR="0028758D" w:rsidRPr="00B27C55">
        <w:rPr>
          <w:color w:val="auto"/>
          <w:sz w:val="20"/>
          <w:szCs w:val="20"/>
        </w:rPr>
        <w:t xml:space="preserve">). This means fewer operators are using these vehicles than </w:t>
      </w:r>
      <w:r w:rsidR="00231163" w:rsidRPr="00B27C55">
        <w:rPr>
          <w:color w:val="auto"/>
          <w:sz w:val="20"/>
          <w:szCs w:val="20"/>
        </w:rPr>
        <w:t>desired</w:t>
      </w:r>
      <w:r w:rsidR="0028758D" w:rsidRPr="00B27C55">
        <w:rPr>
          <w:color w:val="auto"/>
          <w:sz w:val="20"/>
          <w:szCs w:val="20"/>
        </w:rPr>
        <w:t>. On the other hand, we have an oversupply of vehicles that meet the basic regulation. The cost of meeting the regulation needed is a lower cost (P</w:t>
      </w:r>
      <w:proofErr w:type="gramStart"/>
      <w:r w:rsidR="0028758D" w:rsidRPr="00B27C55">
        <w:rPr>
          <w:color w:val="auto"/>
          <w:sz w:val="20"/>
          <w:szCs w:val="20"/>
        </w:rPr>
        <w:t>,LB</w:t>
      </w:r>
      <w:proofErr w:type="gramEnd"/>
      <w:r w:rsidR="0028758D" w:rsidRPr="00B27C55">
        <w:rPr>
          <w:color w:val="auto"/>
          <w:sz w:val="20"/>
          <w:szCs w:val="20"/>
        </w:rPr>
        <w:t xml:space="preserve"> rather than P,HB) and the equilibrium price (EQ LB). This means operators are using more of these lower hurdle regulation heavy vehicles, such as semi-trailers, instead of the higher-hurdle</w:t>
      </w:r>
      <w:r w:rsidR="00FA5B15">
        <w:rPr>
          <w:color w:val="auto"/>
          <w:sz w:val="20"/>
          <w:szCs w:val="20"/>
        </w:rPr>
        <w:t>,</w:t>
      </w:r>
      <w:r w:rsidR="00F00A6F">
        <w:rPr>
          <w:color w:val="auto"/>
          <w:sz w:val="20"/>
          <w:szCs w:val="20"/>
        </w:rPr>
        <w:t xml:space="preserve"> heavily</w:t>
      </w:r>
      <w:r w:rsidR="0028758D" w:rsidRPr="00B27C55">
        <w:rPr>
          <w:color w:val="auto"/>
          <w:sz w:val="20"/>
          <w:szCs w:val="20"/>
        </w:rPr>
        <w:t xml:space="preserve"> regulated</w:t>
      </w:r>
      <w:r w:rsidR="00231163" w:rsidRPr="00B27C55">
        <w:rPr>
          <w:color w:val="auto"/>
          <w:sz w:val="20"/>
          <w:szCs w:val="20"/>
        </w:rPr>
        <w:t>,</w:t>
      </w:r>
      <w:r w:rsidR="0028758D" w:rsidRPr="00B27C55">
        <w:rPr>
          <w:color w:val="auto"/>
          <w:sz w:val="20"/>
          <w:szCs w:val="20"/>
        </w:rPr>
        <w:t xml:space="preserve"> more productive vehicles</w:t>
      </w:r>
      <w:r w:rsidR="00F00A6F">
        <w:rPr>
          <w:color w:val="auto"/>
          <w:sz w:val="20"/>
          <w:szCs w:val="20"/>
        </w:rPr>
        <w:t xml:space="preserve"> such as B-doubles</w:t>
      </w:r>
      <w:r w:rsidR="0028758D" w:rsidRPr="00B27C55">
        <w:rPr>
          <w:color w:val="auto"/>
          <w:sz w:val="20"/>
          <w:szCs w:val="20"/>
        </w:rPr>
        <w:t xml:space="preserve">. Thus, trucking companies are receiving the wrong signals because regulation is either incorrectly aimed, excessively costly or adapted to suit a specific </w:t>
      </w:r>
      <w:r w:rsidR="00231163" w:rsidRPr="00B27C55">
        <w:rPr>
          <w:color w:val="auto"/>
          <w:sz w:val="20"/>
          <w:szCs w:val="20"/>
        </w:rPr>
        <w:t>local government</w:t>
      </w:r>
      <w:r w:rsidR="0028758D" w:rsidRPr="00B27C55">
        <w:rPr>
          <w:color w:val="auto"/>
          <w:sz w:val="20"/>
          <w:szCs w:val="20"/>
        </w:rPr>
        <w:t>’s wish, regardless of the economic drawbacks of those decisions.</w:t>
      </w:r>
    </w:p>
    <w:p w:rsidR="0028758D" w:rsidRPr="00B27C55" w:rsidRDefault="0028758D" w:rsidP="00910BCA">
      <w:pPr>
        <w:autoSpaceDE w:val="0"/>
        <w:autoSpaceDN w:val="0"/>
        <w:adjustRightInd w:val="0"/>
        <w:spacing w:after="0"/>
        <w:rPr>
          <w:rFonts w:ascii="Arial" w:hAnsi="Arial" w:cs="Arial"/>
          <w:sz w:val="20"/>
          <w:szCs w:val="20"/>
        </w:rPr>
      </w:pPr>
    </w:p>
    <w:p w:rsidR="007B3C55" w:rsidRPr="00B27C55" w:rsidRDefault="007B3C55" w:rsidP="00910BCA">
      <w:pPr>
        <w:autoSpaceDE w:val="0"/>
        <w:autoSpaceDN w:val="0"/>
        <w:adjustRightInd w:val="0"/>
        <w:spacing w:after="0"/>
        <w:rPr>
          <w:rFonts w:ascii="Arial" w:hAnsi="Arial" w:cs="Arial"/>
          <w:sz w:val="20"/>
          <w:szCs w:val="20"/>
        </w:rPr>
      </w:pPr>
    </w:p>
    <w:p w:rsidR="009207F8" w:rsidRDefault="006F731C" w:rsidP="006F731C">
      <w:pPr>
        <w:pStyle w:val="Heading1"/>
      </w:pPr>
      <w:r>
        <w:t>Conclusion</w:t>
      </w:r>
    </w:p>
    <w:p w:rsidR="009207F8" w:rsidRPr="00B27C55" w:rsidRDefault="009207F8" w:rsidP="00910BCA">
      <w:pPr>
        <w:autoSpaceDE w:val="0"/>
        <w:autoSpaceDN w:val="0"/>
        <w:adjustRightInd w:val="0"/>
        <w:spacing w:after="0"/>
        <w:rPr>
          <w:rFonts w:ascii="Arial" w:hAnsi="Arial" w:cs="Arial"/>
          <w:sz w:val="20"/>
          <w:szCs w:val="20"/>
        </w:rPr>
      </w:pPr>
    </w:p>
    <w:p w:rsidR="009207F8" w:rsidRPr="00B27C55" w:rsidRDefault="006F731C"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The </w:t>
      </w:r>
      <w:r w:rsidR="00231163" w:rsidRPr="00B27C55">
        <w:rPr>
          <w:rFonts w:ascii="Arial" w:hAnsi="Arial" w:cs="Arial"/>
          <w:sz w:val="20"/>
          <w:szCs w:val="20"/>
        </w:rPr>
        <w:t xml:space="preserve">trucking </w:t>
      </w:r>
      <w:r w:rsidRPr="00B27C55">
        <w:rPr>
          <w:rFonts w:ascii="Arial" w:hAnsi="Arial" w:cs="Arial"/>
          <w:sz w:val="20"/>
          <w:szCs w:val="20"/>
        </w:rPr>
        <w:t xml:space="preserve">industry needs local governments to </w:t>
      </w:r>
      <w:r w:rsidR="00F00A6F">
        <w:rPr>
          <w:rFonts w:ascii="Arial" w:hAnsi="Arial" w:cs="Arial"/>
          <w:sz w:val="20"/>
          <w:szCs w:val="20"/>
        </w:rPr>
        <w:t>take on board</w:t>
      </w:r>
      <w:r w:rsidRPr="00B27C55">
        <w:rPr>
          <w:rFonts w:ascii="Arial" w:hAnsi="Arial" w:cs="Arial"/>
          <w:sz w:val="20"/>
          <w:szCs w:val="20"/>
        </w:rPr>
        <w:t xml:space="preserve"> its concerns, engage with the industry, avoid unnecessary restrictions on its movements and activities, not place onerous costs on the industry, and engage in objective, transparent and fair decision-making. </w:t>
      </w:r>
      <w:r w:rsidR="00CE0E0F" w:rsidRPr="00B27C55">
        <w:rPr>
          <w:rFonts w:ascii="Arial" w:hAnsi="Arial" w:cs="Arial"/>
          <w:sz w:val="20"/>
          <w:szCs w:val="20"/>
        </w:rPr>
        <w:t>Not only would such an approach improve productivity for the industry, the</w:t>
      </w:r>
      <w:r w:rsidR="00231163" w:rsidRPr="00B27C55">
        <w:rPr>
          <w:rFonts w:ascii="Arial" w:hAnsi="Arial" w:cs="Arial"/>
          <w:sz w:val="20"/>
          <w:szCs w:val="20"/>
        </w:rPr>
        <w:t xml:space="preserve"> benefits will flow on to other businesses</w:t>
      </w:r>
      <w:r w:rsidR="00CE0E0F" w:rsidRPr="00B27C55">
        <w:rPr>
          <w:rFonts w:ascii="Arial" w:hAnsi="Arial" w:cs="Arial"/>
          <w:sz w:val="20"/>
          <w:szCs w:val="20"/>
        </w:rPr>
        <w:t xml:space="preserve"> in the supply chain, the greater community and ultimately the Australian economy.</w:t>
      </w:r>
    </w:p>
    <w:p w:rsidR="00E14D2A" w:rsidRPr="00B27C55" w:rsidRDefault="00E14D2A" w:rsidP="00910BCA">
      <w:pPr>
        <w:autoSpaceDE w:val="0"/>
        <w:autoSpaceDN w:val="0"/>
        <w:adjustRightInd w:val="0"/>
        <w:spacing w:after="0"/>
        <w:rPr>
          <w:rFonts w:ascii="Arial" w:hAnsi="Arial" w:cs="Arial"/>
          <w:sz w:val="20"/>
          <w:szCs w:val="20"/>
        </w:rPr>
      </w:pPr>
    </w:p>
    <w:p w:rsidR="00AB178B" w:rsidRPr="00B27C55" w:rsidRDefault="00AB178B" w:rsidP="00910BCA">
      <w:pPr>
        <w:autoSpaceDE w:val="0"/>
        <w:autoSpaceDN w:val="0"/>
        <w:adjustRightInd w:val="0"/>
        <w:spacing w:after="0"/>
        <w:rPr>
          <w:rFonts w:ascii="Arial" w:hAnsi="Arial" w:cs="Arial"/>
          <w:sz w:val="20"/>
          <w:szCs w:val="20"/>
        </w:rPr>
      </w:pPr>
    </w:p>
    <w:p w:rsidR="00A96EEE" w:rsidRDefault="00A96EEE" w:rsidP="00A96EEE">
      <w:pPr>
        <w:pStyle w:val="Heading1"/>
      </w:pPr>
      <w:r>
        <w:t>References</w:t>
      </w:r>
    </w:p>
    <w:p w:rsidR="00A96EEE" w:rsidRPr="00B27C55" w:rsidRDefault="00A96EEE" w:rsidP="00910BCA">
      <w:pPr>
        <w:autoSpaceDE w:val="0"/>
        <w:autoSpaceDN w:val="0"/>
        <w:adjustRightInd w:val="0"/>
        <w:spacing w:after="0"/>
        <w:rPr>
          <w:rFonts w:ascii="Arial" w:hAnsi="Arial" w:cs="Arial"/>
          <w:sz w:val="20"/>
          <w:szCs w:val="20"/>
        </w:rPr>
      </w:pPr>
    </w:p>
    <w:p w:rsidR="00846688" w:rsidRPr="00B27C55" w:rsidRDefault="00E369EF" w:rsidP="00910BCA">
      <w:pPr>
        <w:autoSpaceDE w:val="0"/>
        <w:autoSpaceDN w:val="0"/>
        <w:adjustRightInd w:val="0"/>
        <w:spacing w:after="0"/>
        <w:rPr>
          <w:rFonts w:ascii="Arial" w:hAnsi="Arial" w:cs="Arial"/>
          <w:sz w:val="20"/>
          <w:szCs w:val="20"/>
        </w:rPr>
      </w:pPr>
      <w:r w:rsidRPr="00B27C55">
        <w:rPr>
          <w:rFonts w:ascii="Arial" w:hAnsi="Arial" w:cs="Arial"/>
          <w:sz w:val="20"/>
          <w:szCs w:val="20"/>
        </w:rPr>
        <w:t>Australian Gove</w:t>
      </w:r>
      <w:r w:rsidR="0039211D" w:rsidRPr="00B27C55">
        <w:rPr>
          <w:rFonts w:ascii="Arial" w:hAnsi="Arial" w:cs="Arial"/>
          <w:sz w:val="20"/>
          <w:szCs w:val="20"/>
        </w:rPr>
        <w:t>rnment Productivity Commission 2012</w:t>
      </w:r>
      <w:r w:rsidRPr="00B27C55">
        <w:rPr>
          <w:rFonts w:ascii="Arial" w:hAnsi="Arial" w:cs="Arial"/>
          <w:sz w:val="20"/>
          <w:szCs w:val="20"/>
        </w:rPr>
        <w:t xml:space="preserve">, </w:t>
      </w:r>
      <w:r w:rsidRPr="00B27C55">
        <w:rPr>
          <w:rFonts w:ascii="Arial" w:hAnsi="Arial" w:cs="Arial"/>
          <w:i/>
          <w:sz w:val="20"/>
          <w:szCs w:val="20"/>
        </w:rPr>
        <w:t>Performance Benchmarking of Australian Business Regulation: The Role of Local Government as Regulator</w:t>
      </w:r>
      <w:r w:rsidRPr="00B27C55">
        <w:rPr>
          <w:rFonts w:ascii="Arial" w:hAnsi="Arial" w:cs="Arial"/>
          <w:sz w:val="20"/>
          <w:szCs w:val="20"/>
        </w:rPr>
        <w:t>, Commonwealth of Australia</w:t>
      </w:r>
      <w:r w:rsidR="0039211D" w:rsidRPr="00B27C55">
        <w:rPr>
          <w:rFonts w:ascii="Arial" w:hAnsi="Arial" w:cs="Arial"/>
          <w:sz w:val="20"/>
          <w:szCs w:val="20"/>
        </w:rPr>
        <w:t>, Canberra</w:t>
      </w:r>
      <w:r w:rsidRPr="00B27C55">
        <w:rPr>
          <w:rFonts w:ascii="Arial" w:hAnsi="Arial" w:cs="Arial"/>
          <w:sz w:val="20"/>
          <w:szCs w:val="20"/>
        </w:rPr>
        <w:t>.</w:t>
      </w:r>
    </w:p>
    <w:p w:rsidR="00E369EF" w:rsidRPr="00B27C55" w:rsidRDefault="00E369EF" w:rsidP="00910BCA">
      <w:pPr>
        <w:autoSpaceDE w:val="0"/>
        <w:autoSpaceDN w:val="0"/>
        <w:adjustRightInd w:val="0"/>
        <w:spacing w:after="0"/>
        <w:rPr>
          <w:rFonts w:ascii="Arial" w:hAnsi="Arial" w:cs="Arial"/>
          <w:sz w:val="20"/>
          <w:szCs w:val="20"/>
        </w:rPr>
      </w:pPr>
    </w:p>
    <w:p w:rsidR="00560210" w:rsidRPr="00B27C55" w:rsidRDefault="00560210"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Beranek, LL 1988, </w:t>
      </w:r>
      <w:r w:rsidRPr="00B27C55">
        <w:rPr>
          <w:rFonts w:ascii="Arial" w:hAnsi="Arial" w:cs="Arial"/>
          <w:i/>
          <w:sz w:val="20"/>
          <w:szCs w:val="20"/>
        </w:rPr>
        <w:t>Noise and Vibration Control</w:t>
      </w:r>
      <w:r w:rsidRPr="00B27C55">
        <w:rPr>
          <w:rFonts w:ascii="Arial" w:hAnsi="Arial" w:cs="Arial"/>
          <w:sz w:val="20"/>
          <w:szCs w:val="20"/>
        </w:rPr>
        <w:t>, Institute of Noise Control Engineering, Cambridge.</w:t>
      </w:r>
    </w:p>
    <w:p w:rsidR="00560210" w:rsidRPr="00B27C55" w:rsidRDefault="00560210" w:rsidP="00910BCA">
      <w:pPr>
        <w:autoSpaceDE w:val="0"/>
        <w:autoSpaceDN w:val="0"/>
        <w:adjustRightInd w:val="0"/>
        <w:spacing w:after="0"/>
        <w:rPr>
          <w:rFonts w:ascii="Arial" w:hAnsi="Arial" w:cs="Arial"/>
          <w:sz w:val="20"/>
          <w:szCs w:val="20"/>
        </w:rPr>
      </w:pPr>
    </w:p>
    <w:p w:rsidR="0039211D" w:rsidRPr="00B27C55" w:rsidRDefault="0039211D"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Berglund, B &amp; Nilson, ME 2000, </w:t>
      </w:r>
      <w:r w:rsidRPr="00B27C55">
        <w:rPr>
          <w:rFonts w:ascii="Arial" w:hAnsi="Arial" w:cs="Arial"/>
          <w:i/>
          <w:sz w:val="20"/>
          <w:szCs w:val="20"/>
        </w:rPr>
        <w:t xml:space="preserve">Total Annoyance and Perceptually Discernible Noise Sources, </w:t>
      </w:r>
      <w:r w:rsidRPr="00B27C55">
        <w:rPr>
          <w:rFonts w:ascii="Arial" w:hAnsi="Arial" w:cs="Arial"/>
          <w:sz w:val="20"/>
          <w:szCs w:val="20"/>
        </w:rPr>
        <w:t>Presented at the Internoise 2000 Conference held by the International Congress on Noise Control Engineering, 27-31 August, Nice.</w:t>
      </w:r>
    </w:p>
    <w:p w:rsidR="0039211D" w:rsidRPr="00B27C55" w:rsidRDefault="0039211D" w:rsidP="00910BCA">
      <w:pPr>
        <w:autoSpaceDE w:val="0"/>
        <w:autoSpaceDN w:val="0"/>
        <w:adjustRightInd w:val="0"/>
        <w:spacing w:after="0"/>
        <w:rPr>
          <w:rFonts w:ascii="Arial" w:hAnsi="Arial" w:cs="Arial"/>
          <w:sz w:val="20"/>
          <w:szCs w:val="20"/>
        </w:rPr>
      </w:pPr>
    </w:p>
    <w:p w:rsidR="0039211D" w:rsidRPr="00B27C55" w:rsidRDefault="0039211D"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COAG (Council of Australian Governments) 2009, </w:t>
      </w:r>
      <w:r w:rsidRPr="00B27C55">
        <w:rPr>
          <w:rFonts w:ascii="Arial" w:hAnsi="Arial" w:cs="Arial"/>
          <w:i/>
          <w:sz w:val="20"/>
          <w:szCs w:val="20"/>
        </w:rPr>
        <w:t xml:space="preserve">Intergovernmental Agreement on Heavy Vehicle Regulatory Reform, </w:t>
      </w:r>
      <w:r w:rsidRPr="00B27C55">
        <w:rPr>
          <w:rFonts w:ascii="Arial" w:hAnsi="Arial" w:cs="Arial"/>
          <w:sz w:val="20"/>
          <w:szCs w:val="20"/>
        </w:rPr>
        <w:t>&lt;http://www.coag.gov.au/node/54&gt;, accessed 16 October 2012.</w:t>
      </w:r>
    </w:p>
    <w:p w:rsidR="0039211D" w:rsidRPr="00B27C55" w:rsidRDefault="0039211D" w:rsidP="00910BCA">
      <w:pPr>
        <w:autoSpaceDE w:val="0"/>
        <w:autoSpaceDN w:val="0"/>
        <w:adjustRightInd w:val="0"/>
        <w:spacing w:after="0"/>
        <w:rPr>
          <w:rFonts w:ascii="Arial" w:hAnsi="Arial" w:cs="Arial"/>
          <w:sz w:val="20"/>
          <w:szCs w:val="20"/>
        </w:rPr>
      </w:pPr>
    </w:p>
    <w:p w:rsidR="00E369EF" w:rsidRPr="00B27C55" w:rsidRDefault="0039211D" w:rsidP="00910BCA">
      <w:pPr>
        <w:autoSpaceDE w:val="0"/>
        <w:autoSpaceDN w:val="0"/>
        <w:adjustRightInd w:val="0"/>
        <w:spacing w:after="0"/>
        <w:rPr>
          <w:rFonts w:ascii="Arial" w:hAnsi="Arial" w:cs="Arial"/>
          <w:sz w:val="20"/>
          <w:szCs w:val="20"/>
        </w:rPr>
      </w:pPr>
      <w:r w:rsidRPr="00B27C55">
        <w:rPr>
          <w:rFonts w:ascii="Arial" w:hAnsi="Arial" w:cs="Arial"/>
          <w:sz w:val="20"/>
          <w:szCs w:val="20"/>
        </w:rPr>
        <w:t xml:space="preserve">PriceWaterhouseCoopers </w:t>
      </w:r>
      <w:r w:rsidR="00E369EF" w:rsidRPr="00B27C55">
        <w:rPr>
          <w:rFonts w:ascii="Arial" w:hAnsi="Arial" w:cs="Arial"/>
          <w:sz w:val="20"/>
          <w:szCs w:val="20"/>
        </w:rPr>
        <w:t xml:space="preserve">2009, </w:t>
      </w:r>
      <w:r w:rsidRPr="00B27C55">
        <w:rPr>
          <w:rFonts w:ascii="Arial" w:hAnsi="Arial" w:cs="Arial"/>
          <w:i/>
          <w:sz w:val="20"/>
          <w:szCs w:val="20"/>
        </w:rPr>
        <w:t>Meeting the 2050 Freight Challenge</w:t>
      </w:r>
      <w:r w:rsidRPr="00B27C55">
        <w:rPr>
          <w:rFonts w:ascii="Arial" w:hAnsi="Arial" w:cs="Arial"/>
          <w:sz w:val="20"/>
          <w:szCs w:val="20"/>
        </w:rPr>
        <w:t>, Prepared for Infrastructure Partnerships Australia, Sydney.</w:t>
      </w:r>
    </w:p>
    <w:p w:rsidR="0039211D" w:rsidRPr="00B27C55" w:rsidRDefault="0039211D" w:rsidP="00910BCA">
      <w:pPr>
        <w:autoSpaceDE w:val="0"/>
        <w:autoSpaceDN w:val="0"/>
        <w:adjustRightInd w:val="0"/>
        <w:spacing w:after="0"/>
        <w:rPr>
          <w:rFonts w:ascii="Arial" w:hAnsi="Arial" w:cs="Arial"/>
          <w:sz w:val="20"/>
          <w:szCs w:val="20"/>
        </w:rPr>
      </w:pPr>
    </w:p>
    <w:p w:rsidR="00A5489F" w:rsidRDefault="0039211D" w:rsidP="00945F75">
      <w:pPr>
        <w:autoSpaceDE w:val="0"/>
        <w:autoSpaceDN w:val="0"/>
        <w:adjustRightInd w:val="0"/>
        <w:spacing w:after="0"/>
        <w:rPr>
          <w:rFonts w:ascii="Arial" w:hAnsi="Arial" w:cs="Arial"/>
          <w:sz w:val="20"/>
          <w:szCs w:val="20"/>
        </w:rPr>
      </w:pPr>
      <w:r w:rsidRPr="00B27C55">
        <w:rPr>
          <w:rFonts w:ascii="Arial" w:hAnsi="Arial" w:cs="Arial"/>
          <w:sz w:val="20"/>
          <w:szCs w:val="20"/>
        </w:rPr>
        <w:t xml:space="preserve">Sandberg, U 2002, </w:t>
      </w:r>
      <w:r w:rsidRPr="00B27C55">
        <w:rPr>
          <w:rFonts w:ascii="Arial" w:hAnsi="Arial" w:cs="Arial"/>
          <w:i/>
          <w:sz w:val="20"/>
          <w:szCs w:val="20"/>
        </w:rPr>
        <w:t xml:space="preserve">Noise Emission from Powered Two-Wheeled Vehicles – Position Paper’, </w:t>
      </w:r>
      <w:r w:rsidRPr="00B27C55">
        <w:rPr>
          <w:rFonts w:ascii="Arial" w:hAnsi="Arial" w:cs="Arial"/>
          <w:sz w:val="20"/>
          <w:szCs w:val="20"/>
        </w:rPr>
        <w:t>Swedish National Road and Transport Research Institute, &lt;http://ec.europa.eu/environment/noise/pdf/noise_2wv_position_paper.pdf&gt;, accessed 16 October 2012.</w:t>
      </w:r>
    </w:p>
    <w:p w:rsidR="00B27C55" w:rsidRPr="00B27C55" w:rsidRDefault="00B27C55" w:rsidP="00945F75">
      <w:pPr>
        <w:autoSpaceDE w:val="0"/>
        <w:autoSpaceDN w:val="0"/>
        <w:adjustRightInd w:val="0"/>
        <w:spacing w:after="0"/>
        <w:rPr>
          <w:rFonts w:ascii="Arial" w:hAnsi="Arial" w:cs="Arial"/>
          <w:sz w:val="20"/>
          <w:szCs w:val="20"/>
        </w:rPr>
      </w:pPr>
    </w:p>
    <w:sectPr w:rsidR="00B27C55" w:rsidRPr="00B27C55" w:rsidSect="00C75B7B">
      <w:footerReference w:type="default" r:id="rId20"/>
      <w:pgSz w:w="11906" w:h="16838" w:code="9"/>
      <w:pgMar w:top="1134" w:right="1134" w:bottom="567" w:left="1134" w:header="703"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DC" w:rsidRDefault="00141CDC" w:rsidP="000756A4">
      <w:pPr>
        <w:spacing w:after="0" w:line="240" w:lineRule="auto"/>
      </w:pPr>
      <w:r>
        <w:separator/>
      </w:r>
    </w:p>
  </w:endnote>
  <w:endnote w:type="continuationSeparator" w:id="0">
    <w:p w:rsidR="00141CDC" w:rsidRDefault="00141CDC" w:rsidP="00075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DC" w:rsidRDefault="00141CDC" w:rsidP="00653697">
    <w:pPr>
      <w:ind w:right="-426"/>
      <w:jc w:val="right"/>
      <w:rPr>
        <w:rFonts w:ascii="Arial" w:hAnsi="Arial" w:cs="Arial"/>
        <w:smallCaps/>
        <w:noProof/>
        <w:szCs w:val="23"/>
      </w:rPr>
    </w:pPr>
    <w:r>
      <w:rPr>
        <w:rFonts w:ascii="Arial" w:hAnsi="Arial" w:cs="Arial"/>
        <w:smallCaps/>
        <w:noProof/>
        <w:szCs w:val="23"/>
      </w:rPr>
      <w:drawing>
        <wp:inline distT="0" distB="0" distL="0" distR="0">
          <wp:extent cx="1951355" cy="846455"/>
          <wp:effectExtent l="19050" t="0" r="0" b="0"/>
          <wp:docPr id="56"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141CDC" w:rsidRPr="00E8056B" w:rsidRDefault="00141CDC" w:rsidP="00E8056B">
    <w:pPr>
      <w:jc w:val="right"/>
      <w:rPr>
        <w:rFonts w:ascii="Arial" w:hAnsi="Arial" w:cs="Arial"/>
        <w:sz w:val="16"/>
        <w:szCs w:val="16"/>
      </w:rPr>
    </w:pPr>
  </w:p>
  <w:p w:rsidR="00141CDC" w:rsidRPr="00E8056B" w:rsidRDefault="00141CDC"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141CDC" w:rsidRPr="00E8056B" w:rsidRDefault="00141CDC"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DC" w:rsidRDefault="00897442">
    <w:pPr>
      <w:pStyle w:val="Footer"/>
      <w:jc w:val="right"/>
    </w:pPr>
    <w:fldSimple w:instr=" PAGE   \* MERGEFORMAT ">
      <w:r w:rsidR="00141CDC">
        <w:rPr>
          <w:noProof/>
        </w:rPr>
        <w:t>7</w:t>
      </w:r>
    </w:fldSimple>
  </w:p>
  <w:p w:rsidR="00141CDC" w:rsidRDefault="00141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DC" w:rsidRDefault="00141CDC" w:rsidP="00653697">
    <w:pPr>
      <w:ind w:right="-426"/>
      <w:jc w:val="right"/>
      <w:rPr>
        <w:rFonts w:ascii="Arial" w:hAnsi="Arial" w:cs="Arial"/>
        <w:smallCaps/>
        <w:noProof/>
        <w:szCs w:val="23"/>
      </w:rPr>
    </w:pPr>
  </w:p>
  <w:tbl>
    <w:tblPr>
      <w:tblW w:w="9865" w:type="dxa"/>
      <w:tblBorders>
        <w:top w:val="single" w:sz="4" w:space="0" w:color="000000"/>
        <w:insideH w:val="single" w:sz="4" w:space="0" w:color="000000"/>
      </w:tblBorders>
      <w:tblLook w:val="00A0"/>
    </w:tblPr>
    <w:tblGrid>
      <w:gridCol w:w="4638"/>
      <w:gridCol w:w="5227"/>
    </w:tblGrid>
    <w:tr w:rsidR="00141CDC" w:rsidRPr="00D735FF" w:rsidTr="00F10DDD">
      <w:trPr>
        <w:trHeight w:val="278"/>
      </w:trPr>
      <w:tc>
        <w:tcPr>
          <w:tcW w:w="4638" w:type="dxa"/>
          <w:vAlign w:val="center"/>
        </w:tcPr>
        <w:p w:rsidR="00141CDC" w:rsidRPr="00D735FF" w:rsidRDefault="00141CDC" w:rsidP="00195889">
          <w:pPr>
            <w:pStyle w:val="Footer"/>
            <w:tabs>
              <w:tab w:val="clear" w:pos="9026"/>
            </w:tabs>
            <w:rPr>
              <w:rFonts w:ascii="Arial" w:hAnsi="Arial" w:cs="Arial"/>
              <w:sz w:val="16"/>
              <w:szCs w:val="16"/>
            </w:rPr>
          </w:pPr>
          <w:r>
            <w:rPr>
              <w:rFonts w:ascii="Arial" w:hAnsi="Arial" w:cs="Arial"/>
              <w:sz w:val="16"/>
              <w:szCs w:val="16"/>
            </w:rPr>
            <w:t>The Impact of Local Government Regulation on the Australian Trucking Industry</w:t>
          </w:r>
        </w:p>
      </w:tc>
      <w:tc>
        <w:tcPr>
          <w:tcW w:w="5227" w:type="dxa"/>
          <w:vAlign w:val="center"/>
        </w:tcPr>
        <w:p w:rsidR="00141CDC" w:rsidRPr="00D735FF" w:rsidRDefault="00141CDC" w:rsidP="00F10DDD">
          <w:pPr>
            <w:pStyle w:val="Footer"/>
            <w:jc w:val="right"/>
            <w:rPr>
              <w:rFonts w:ascii="Arial" w:hAnsi="Arial" w:cs="Arial"/>
              <w:sz w:val="16"/>
              <w:szCs w:val="16"/>
            </w:rPr>
          </w:pPr>
          <w:r w:rsidRPr="00D735FF">
            <w:rPr>
              <w:rFonts w:ascii="Arial" w:hAnsi="Arial" w:cs="Arial"/>
              <w:sz w:val="16"/>
              <w:szCs w:val="16"/>
            </w:rPr>
            <w:t xml:space="preserve">Page </w:t>
          </w:r>
          <w:r w:rsidR="00897442"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00897442" w:rsidRPr="00D735FF">
            <w:rPr>
              <w:rFonts w:ascii="Arial" w:hAnsi="Arial" w:cs="Arial"/>
              <w:sz w:val="16"/>
              <w:szCs w:val="16"/>
            </w:rPr>
            <w:fldChar w:fldCharType="separate"/>
          </w:r>
          <w:r w:rsidR="009C088D">
            <w:rPr>
              <w:rFonts w:ascii="Arial" w:hAnsi="Arial" w:cs="Arial"/>
              <w:noProof/>
              <w:sz w:val="16"/>
              <w:szCs w:val="16"/>
            </w:rPr>
            <w:t>9</w:t>
          </w:r>
          <w:r w:rsidR="00897442" w:rsidRPr="00D735FF">
            <w:rPr>
              <w:rFonts w:ascii="Arial" w:hAnsi="Arial" w:cs="Arial"/>
              <w:sz w:val="16"/>
              <w:szCs w:val="16"/>
            </w:rPr>
            <w:fldChar w:fldCharType="end"/>
          </w:r>
        </w:p>
      </w:tc>
    </w:tr>
  </w:tbl>
  <w:p w:rsidR="00141CDC" w:rsidRPr="00E8056B" w:rsidRDefault="00141CDC" w:rsidP="00195889">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DC" w:rsidRDefault="00141CDC" w:rsidP="000756A4">
      <w:pPr>
        <w:spacing w:after="0" w:line="240" w:lineRule="auto"/>
      </w:pPr>
      <w:r>
        <w:separator/>
      </w:r>
    </w:p>
  </w:footnote>
  <w:footnote w:type="continuationSeparator" w:id="0">
    <w:p w:rsidR="00141CDC" w:rsidRDefault="00141CDC" w:rsidP="00075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DC" w:rsidRDefault="00141CDC" w:rsidP="008D1404">
    <w:pPr>
      <w:jc w:val="right"/>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DC" w:rsidRPr="00E8056B" w:rsidRDefault="00141CDC" w:rsidP="00653697">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141CDC" w:rsidRDefault="00141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4E0"/>
    <w:multiLevelType w:val="hybridMultilevel"/>
    <w:tmpl w:val="9CCCE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87751F"/>
    <w:multiLevelType w:val="hybridMultilevel"/>
    <w:tmpl w:val="A7921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82122E"/>
    <w:multiLevelType w:val="hybridMultilevel"/>
    <w:tmpl w:val="91F0169A"/>
    <w:lvl w:ilvl="0" w:tplc="CB3EB9C6">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2370D"/>
    <w:multiLevelType w:val="hybridMultilevel"/>
    <w:tmpl w:val="3714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FE6601"/>
    <w:multiLevelType w:val="hybridMultilevel"/>
    <w:tmpl w:val="FAE25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A4053"/>
    <w:multiLevelType w:val="hybridMultilevel"/>
    <w:tmpl w:val="E006C68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nsid w:val="15C423F1"/>
    <w:multiLevelType w:val="hybridMultilevel"/>
    <w:tmpl w:val="04F6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1115B8"/>
    <w:multiLevelType w:val="hybridMultilevel"/>
    <w:tmpl w:val="E0164D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B51ADF"/>
    <w:multiLevelType w:val="hybridMultilevel"/>
    <w:tmpl w:val="3648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EB63C2"/>
    <w:multiLevelType w:val="hybridMultilevel"/>
    <w:tmpl w:val="90AE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145385"/>
    <w:multiLevelType w:val="hybridMultilevel"/>
    <w:tmpl w:val="E0164D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3C2F40"/>
    <w:multiLevelType w:val="hybridMultilevel"/>
    <w:tmpl w:val="E0164D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BE387E"/>
    <w:multiLevelType w:val="hybridMultilevel"/>
    <w:tmpl w:val="C71E4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0D711F"/>
    <w:multiLevelType w:val="hybridMultilevel"/>
    <w:tmpl w:val="0D40AD7E"/>
    <w:lvl w:ilvl="0" w:tplc="7CAEAD3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44CB7027"/>
    <w:multiLevelType w:val="hybridMultilevel"/>
    <w:tmpl w:val="E0164D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813EFB"/>
    <w:multiLevelType w:val="hybridMultilevel"/>
    <w:tmpl w:val="AB3E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B90CEE"/>
    <w:multiLevelType w:val="hybridMultilevel"/>
    <w:tmpl w:val="4E242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554ED9"/>
    <w:multiLevelType w:val="multilevel"/>
    <w:tmpl w:val="4C5272EE"/>
    <w:lvl w:ilvl="0">
      <w:start w:val="1"/>
      <w:numFmt w:val="decimal"/>
      <w:pStyle w:val="Heading1"/>
      <w:lvlText w:val="%1."/>
      <w:lvlJc w:val="left"/>
      <w:pPr>
        <w:ind w:left="360" w:hanging="360"/>
      </w:pPr>
      <w:rPr>
        <w:rFonts w:cs="Times New Roman" w:hint="default"/>
      </w:rPr>
    </w:lvl>
    <w:lvl w:ilvl="1">
      <w:start w:val="1"/>
      <w:numFmt w:val="decimal"/>
      <w:pStyle w:val="ATAHeading2nofurtherlevels"/>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860079E"/>
    <w:multiLevelType w:val="hybridMultilevel"/>
    <w:tmpl w:val="DBC48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F6492D"/>
    <w:multiLevelType w:val="hybridMultilevel"/>
    <w:tmpl w:val="1B98D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pStyle w:val="ATA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9D1693"/>
    <w:multiLevelType w:val="hybridMultilevel"/>
    <w:tmpl w:val="87A8C95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nsid w:val="715B1225"/>
    <w:multiLevelType w:val="hybridMultilevel"/>
    <w:tmpl w:val="928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15223E"/>
    <w:multiLevelType w:val="hybridMultilevel"/>
    <w:tmpl w:val="D658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292C80"/>
    <w:multiLevelType w:val="hybridMultilevel"/>
    <w:tmpl w:val="AA2E4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13"/>
  </w:num>
  <w:num w:numId="13">
    <w:abstractNumId w:val="18"/>
  </w:num>
  <w:num w:numId="14">
    <w:abstractNumId w:val="14"/>
  </w:num>
  <w:num w:numId="15">
    <w:abstractNumId w:val="22"/>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2"/>
  </w:num>
  <w:num w:numId="27">
    <w:abstractNumId w:val="18"/>
  </w:num>
  <w:num w:numId="28">
    <w:abstractNumId w:val="1"/>
  </w:num>
  <w:num w:numId="29">
    <w:abstractNumId w:val="17"/>
  </w:num>
  <w:num w:numId="30">
    <w:abstractNumId w:val="24"/>
  </w:num>
  <w:num w:numId="31">
    <w:abstractNumId w:val="7"/>
  </w:num>
  <w:num w:numId="32">
    <w:abstractNumId w:val="18"/>
  </w:num>
  <w:num w:numId="33">
    <w:abstractNumId w:val="18"/>
  </w:num>
  <w:num w:numId="34">
    <w:abstractNumId w:val="18"/>
  </w:num>
  <w:num w:numId="35">
    <w:abstractNumId w:val="10"/>
  </w:num>
  <w:num w:numId="36">
    <w:abstractNumId w:val="11"/>
  </w:num>
  <w:num w:numId="37">
    <w:abstractNumId w:val="18"/>
  </w:num>
  <w:num w:numId="38">
    <w:abstractNumId w:val="15"/>
  </w:num>
  <w:num w:numId="39">
    <w:abstractNumId w:val="0"/>
  </w:num>
  <w:num w:numId="40">
    <w:abstractNumId w:val="12"/>
  </w:num>
  <w:num w:numId="41">
    <w:abstractNumId w:val="16"/>
  </w:num>
  <w:num w:numId="4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466D7C"/>
    <w:rsid w:val="0000023D"/>
    <w:rsid w:val="0000108B"/>
    <w:rsid w:val="000037BB"/>
    <w:rsid w:val="0000608E"/>
    <w:rsid w:val="000111D2"/>
    <w:rsid w:val="000144A5"/>
    <w:rsid w:val="00025460"/>
    <w:rsid w:val="00025EBD"/>
    <w:rsid w:val="00030424"/>
    <w:rsid w:val="00030915"/>
    <w:rsid w:val="00035E97"/>
    <w:rsid w:val="000456E8"/>
    <w:rsid w:val="00046651"/>
    <w:rsid w:val="00061C9B"/>
    <w:rsid w:val="000665EE"/>
    <w:rsid w:val="00071237"/>
    <w:rsid w:val="00071812"/>
    <w:rsid w:val="00072588"/>
    <w:rsid w:val="000756A4"/>
    <w:rsid w:val="00075AF2"/>
    <w:rsid w:val="0007619B"/>
    <w:rsid w:val="00082254"/>
    <w:rsid w:val="0008322E"/>
    <w:rsid w:val="0008710E"/>
    <w:rsid w:val="0009198B"/>
    <w:rsid w:val="0009278C"/>
    <w:rsid w:val="000944A9"/>
    <w:rsid w:val="000B246D"/>
    <w:rsid w:val="000B5BC2"/>
    <w:rsid w:val="000B5D2B"/>
    <w:rsid w:val="000B6FB7"/>
    <w:rsid w:val="000B6FE6"/>
    <w:rsid w:val="000C3CBF"/>
    <w:rsid w:val="000D0CC4"/>
    <w:rsid w:val="000D2FC9"/>
    <w:rsid w:val="000D4701"/>
    <w:rsid w:val="000D4844"/>
    <w:rsid w:val="000E489F"/>
    <w:rsid w:val="000E6208"/>
    <w:rsid w:val="000E7675"/>
    <w:rsid w:val="000F2EAF"/>
    <w:rsid w:val="000F7F04"/>
    <w:rsid w:val="00100F1F"/>
    <w:rsid w:val="0010335B"/>
    <w:rsid w:val="00107551"/>
    <w:rsid w:val="00111D2A"/>
    <w:rsid w:val="001241CF"/>
    <w:rsid w:val="00126A33"/>
    <w:rsid w:val="00127952"/>
    <w:rsid w:val="00130B61"/>
    <w:rsid w:val="00134F1A"/>
    <w:rsid w:val="00135192"/>
    <w:rsid w:val="00141CDC"/>
    <w:rsid w:val="00145A7A"/>
    <w:rsid w:val="00146ABE"/>
    <w:rsid w:val="00146D9D"/>
    <w:rsid w:val="00147DAC"/>
    <w:rsid w:val="00152594"/>
    <w:rsid w:val="00153094"/>
    <w:rsid w:val="00157869"/>
    <w:rsid w:val="00162582"/>
    <w:rsid w:val="0016394B"/>
    <w:rsid w:val="0017199F"/>
    <w:rsid w:val="0017705E"/>
    <w:rsid w:val="001779C4"/>
    <w:rsid w:val="001803C7"/>
    <w:rsid w:val="00182556"/>
    <w:rsid w:val="00190635"/>
    <w:rsid w:val="00195889"/>
    <w:rsid w:val="001A3E36"/>
    <w:rsid w:val="001A49A0"/>
    <w:rsid w:val="001A5A0B"/>
    <w:rsid w:val="001B05B0"/>
    <w:rsid w:val="001B4763"/>
    <w:rsid w:val="001B535E"/>
    <w:rsid w:val="001B72C6"/>
    <w:rsid w:val="001B7427"/>
    <w:rsid w:val="001C3184"/>
    <w:rsid w:val="001C53E2"/>
    <w:rsid w:val="001D0922"/>
    <w:rsid w:val="001E1503"/>
    <w:rsid w:val="001E27CB"/>
    <w:rsid w:val="001F5F7B"/>
    <w:rsid w:val="00214113"/>
    <w:rsid w:val="002171CE"/>
    <w:rsid w:val="00224129"/>
    <w:rsid w:val="00224C08"/>
    <w:rsid w:val="002250E4"/>
    <w:rsid w:val="002258BD"/>
    <w:rsid w:val="00225DA8"/>
    <w:rsid w:val="00227B2B"/>
    <w:rsid w:val="00227BD8"/>
    <w:rsid w:val="00231163"/>
    <w:rsid w:val="00231A09"/>
    <w:rsid w:val="002340FB"/>
    <w:rsid w:val="00235CA1"/>
    <w:rsid w:val="00250DC7"/>
    <w:rsid w:val="002517BD"/>
    <w:rsid w:val="002567C5"/>
    <w:rsid w:val="0026039B"/>
    <w:rsid w:val="00260FFB"/>
    <w:rsid w:val="00267627"/>
    <w:rsid w:val="00275168"/>
    <w:rsid w:val="0028535D"/>
    <w:rsid w:val="00286E66"/>
    <w:rsid w:val="0028758D"/>
    <w:rsid w:val="00294025"/>
    <w:rsid w:val="00294577"/>
    <w:rsid w:val="0029688D"/>
    <w:rsid w:val="002A55A9"/>
    <w:rsid w:val="002A5A89"/>
    <w:rsid w:val="002B175C"/>
    <w:rsid w:val="002B73ED"/>
    <w:rsid w:val="002C38D0"/>
    <w:rsid w:val="002C58AE"/>
    <w:rsid w:val="002C6BCF"/>
    <w:rsid w:val="002C6F3A"/>
    <w:rsid w:val="002D4336"/>
    <w:rsid w:val="002D4C6F"/>
    <w:rsid w:val="002F33E0"/>
    <w:rsid w:val="002F5621"/>
    <w:rsid w:val="002F6437"/>
    <w:rsid w:val="00303613"/>
    <w:rsid w:val="00306AD3"/>
    <w:rsid w:val="00307AB5"/>
    <w:rsid w:val="00313867"/>
    <w:rsid w:val="00316CE1"/>
    <w:rsid w:val="00331451"/>
    <w:rsid w:val="0033165D"/>
    <w:rsid w:val="003327DE"/>
    <w:rsid w:val="00344710"/>
    <w:rsid w:val="00346C31"/>
    <w:rsid w:val="003474E3"/>
    <w:rsid w:val="003555DB"/>
    <w:rsid w:val="003578DF"/>
    <w:rsid w:val="0037265B"/>
    <w:rsid w:val="00372E1F"/>
    <w:rsid w:val="00375974"/>
    <w:rsid w:val="003765A4"/>
    <w:rsid w:val="003821F9"/>
    <w:rsid w:val="00385491"/>
    <w:rsid w:val="003870DC"/>
    <w:rsid w:val="0039211D"/>
    <w:rsid w:val="003969F6"/>
    <w:rsid w:val="003A34A3"/>
    <w:rsid w:val="003A3C94"/>
    <w:rsid w:val="003A6EFD"/>
    <w:rsid w:val="003B391D"/>
    <w:rsid w:val="003C3B8C"/>
    <w:rsid w:val="003C7AAE"/>
    <w:rsid w:val="003D0F29"/>
    <w:rsid w:val="003D5139"/>
    <w:rsid w:val="003D728C"/>
    <w:rsid w:val="003E125B"/>
    <w:rsid w:val="003E2D99"/>
    <w:rsid w:val="003E3860"/>
    <w:rsid w:val="00406229"/>
    <w:rsid w:val="00422ADD"/>
    <w:rsid w:val="0042313E"/>
    <w:rsid w:val="00432033"/>
    <w:rsid w:val="00435EF3"/>
    <w:rsid w:val="00437338"/>
    <w:rsid w:val="00443F9C"/>
    <w:rsid w:val="00444D43"/>
    <w:rsid w:val="00444E7E"/>
    <w:rsid w:val="00465517"/>
    <w:rsid w:val="00465CC4"/>
    <w:rsid w:val="00466D7C"/>
    <w:rsid w:val="0046753A"/>
    <w:rsid w:val="00472AD8"/>
    <w:rsid w:val="004736BC"/>
    <w:rsid w:val="00475317"/>
    <w:rsid w:val="00485DD7"/>
    <w:rsid w:val="00485F73"/>
    <w:rsid w:val="00486357"/>
    <w:rsid w:val="00492323"/>
    <w:rsid w:val="004A79B3"/>
    <w:rsid w:val="004B0F33"/>
    <w:rsid w:val="004B23C6"/>
    <w:rsid w:val="004C4078"/>
    <w:rsid w:val="004D3FBE"/>
    <w:rsid w:val="004D62BE"/>
    <w:rsid w:val="004D63E8"/>
    <w:rsid w:val="004E3682"/>
    <w:rsid w:val="004E7114"/>
    <w:rsid w:val="004F1A23"/>
    <w:rsid w:val="0050002C"/>
    <w:rsid w:val="00502034"/>
    <w:rsid w:val="00503AE8"/>
    <w:rsid w:val="00505F8D"/>
    <w:rsid w:val="005115E3"/>
    <w:rsid w:val="00512640"/>
    <w:rsid w:val="00513661"/>
    <w:rsid w:val="00515F1D"/>
    <w:rsid w:val="00517053"/>
    <w:rsid w:val="00522DA4"/>
    <w:rsid w:val="00523882"/>
    <w:rsid w:val="00524B47"/>
    <w:rsid w:val="0053194F"/>
    <w:rsid w:val="00531E7F"/>
    <w:rsid w:val="00534CE0"/>
    <w:rsid w:val="00540FBC"/>
    <w:rsid w:val="00547762"/>
    <w:rsid w:val="005507C1"/>
    <w:rsid w:val="00552BA2"/>
    <w:rsid w:val="00554ACF"/>
    <w:rsid w:val="005562A2"/>
    <w:rsid w:val="00560210"/>
    <w:rsid w:val="0056035A"/>
    <w:rsid w:val="00564C4D"/>
    <w:rsid w:val="00567D35"/>
    <w:rsid w:val="005773DF"/>
    <w:rsid w:val="005848FF"/>
    <w:rsid w:val="0058519B"/>
    <w:rsid w:val="00586247"/>
    <w:rsid w:val="00591918"/>
    <w:rsid w:val="00594BAD"/>
    <w:rsid w:val="005969CF"/>
    <w:rsid w:val="005A5B63"/>
    <w:rsid w:val="005B1B70"/>
    <w:rsid w:val="005B25D8"/>
    <w:rsid w:val="005B413B"/>
    <w:rsid w:val="005B4AAB"/>
    <w:rsid w:val="005B6BCE"/>
    <w:rsid w:val="005C004E"/>
    <w:rsid w:val="005C3F13"/>
    <w:rsid w:val="005D152F"/>
    <w:rsid w:val="005D5A02"/>
    <w:rsid w:val="005E075E"/>
    <w:rsid w:val="005E28CF"/>
    <w:rsid w:val="005E3516"/>
    <w:rsid w:val="005E400D"/>
    <w:rsid w:val="005E5E23"/>
    <w:rsid w:val="005E6A2B"/>
    <w:rsid w:val="005F2F1C"/>
    <w:rsid w:val="005F3333"/>
    <w:rsid w:val="0060026C"/>
    <w:rsid w:val="006064CF"/>
    <w:rsid w:val="006120D9"/>
    <w:rsid w:val="00612AB7"/>
    <w:rsid w:val="0061794A"/>
    <w:rsid w:val="00626D80"/>
    <w:rsid w:val="00630056"/>
    <w:rsid w:val="00637C46"/>
    <w:rsid w:val="00640D87"/>
    <w:rsid w:val="006436FF"/>
    <w:rsid w:val="006438B4"/>
    <w:rsid w:val="0065284E"/>
    <w:rsid w:val="00653697"/>
    <w:rsid w:val="00656599"/>
    <w:rsid w:val="00660B9C"/>
    <w:rsid w:val="0066586E"/>
    <w:rsid w:val="00666802"/>
    <w:rsid w:val="00671821"/>
    <w:rsid w:val="0067182F"/>
    <w:rsid w:val="00680ABF"/>
    <w:rsid w:val="006873E9"/>
    <w:rsid w:val="00696E4A"/>
    <w:rsid w:val="006A119D"/>
    <w:rsid w:val="006A2C1C"/>
    <w:rsid w:val="006A7ADD"/>
    <w:rsid w:val="006B0270"/>
    <w:rsid w:val="006B2E36"/>
    <w:rsid w:val="006C40C7"/>
    <w:rsid w:val="006C40F3"/>
    <w:rsid w:val="006C5271"/>
    <w:rsid w:val="006D7395"/>
    <w:rsid w:val="006E09FE"/>
    <w:rsid w:val="006E1730"/>
    <w:rsid w:val="006F2404"/>
    <w:rsid w:val="006F3C84"/>
    <w:rsid w:val="006F4893"/>
    <w:rsid w:val="006F731C"/>
    <w:rsid w:val="00700E49"/>
    <w:rsid w:val="00703B03"/>
    <w:rsid w:val="007053F0"/>
    <w:rsid w:val="00705E23"/>
    <w:rsid w:val="0070649C"/>
    <w:rsid w:val="007066D7"/>
    <w:rsid w:val="00706C98"/>
    <w:rsid w:val="00707C7E"/>
    <w:rsid w:val="00711052"/>
    <w:rsid w:val="0071271E"/>
    <w:rsid w:val="00713EFF"/>
    <w:rsid w:val="00726675"/>
    <w:rsid w:val="00730710"/>
    <w:rsid w:val="00747F44"/>
    <w:rsid w:val="00760871"/>
    <w:rsid w:val="007616F2"/>
    <w:rsid w:val="00770352"/>
    <w:rsid w:val="007729F9"/>
    <w:rsid w:val="00773ADE"/>
    <w:rsid w:val="00777292"/>
    <w:rsid w:val="00783D1A"/>
    <w:rsid w:val="0079133D"/>
    <w:rsid w:val="0079747F"/>
    <w:rsid w:val="007A16A2"/>
    <w:rsid w:val="007A17F0"/>
    <w:rsid w:val="007B1818"/>
    <w:rsid w:val="007B19B2"/>
    <w:rsid w:val="007B3C55"/>
    <w:rsid w:val="007B4731"/>
    <w:rsid w:val="007B6C8E"/>
    <w:rsid w:val="007D12FA"/>
    <w:rsid w:val="007E169D"/>
    <w:rsid w:val="007E593D"/>
    <w:rsid w:val="007E5C82"/>
    <w:rsid w:val="007F314D"/>
    <w:rsid w:val="008042E0"/>
    <w:rsid w:val="00804B82"/>
    <w:rsid w:val="008054E6"/>
    <w:rsid w:val="00807DF2"/>
    <w:rsid w:val="00813D01"/>
    <w:rsid w:val="00820B45"/>
    <w:rsid w:val="0082214C"/>
    <w:rsid w:val="00827B68"/>
    <w:rsid w:val="00831F36"/>
    <w:rsid w:val="00833DE6"/>
    <w:rsid w:val="00835CC0"/>
    <w:rsid w:val="00836FCE"/>
    <w:rsid w:val="00840110"/>
    <w:rsid w:val="00843822"/>
    <w:rsid w:val="00843F90"/>
    <w:rsid w:val="00844F3D"/>
    <w:rsid w:val="00845FA4"/>
    <w:rsid w:val="00846688"/>
    <w:rsid w:val="00847739"/>
    <w:rsid w:val="0085231A"/>
    <w:rsid w:val="00855170"/>
    <w:rsid w:val="008670A4"/>
    <w:rsid w:val="008704C8"/>
    <w:rsid w:val="00871282"/>
    <w:rsid w:val="00872D59"/>
    <w:rsid w:val="0087430F"/>
    <w:rsid w:val="00883B05"/>
    <w:rsid w:val="0088525A"/>
    <w:rsid w:val="00891473"/>
    <w:rsid w:val="008930F5"/>
    <w:rsid w:val="00897442"/>
    <w:rsid w:val="00897829"/>
    <w:rsid w:val="008B4076"/>
    <w:rsid w:val="008B6858"/>
    <w:rsid w:val="008B7635"/>
    <w:rsid w:val="008C2976"/>
    <w:rsid w:val="008C2ED0"/>
    <w:rsid w:val="008C7F35"/>
    <w:rsid w:val="008D1404"/>
    <w:rsid w:val="008E0384"/>
    <w:rsid w:val="008E5317"/>
    <w:rsid w:val="008E76D9"/>
    <w:rsid w:val="008F49FB"/>
    <w:rsid w:val="008F52F5"/>
    <w:rsid w:val="00902086"/>
    <w:rsid w:val="009020C8"/>
    <w:rsid w:val="009101F6"/>
    <w:rsid w:val="00910BCA"/>
    <w:rsid w:val="00912B52"/>
    <w:rsid w:val="009207F8"/>
    <w:rsid w:val="00924580"/>
    <w:rsid w:val="0093070F"/>
    <w:rsid w:val="00930A13"/>
    <w:rsid w:val="00932BB6"/>
    <w:rsid w:val="00934BE7"/>
    <w:rsid w:val="009366B1"/>
    <w:rsid w:val="00940E30"/>
    <w:rsid w:val="0094363E"/>
    <w:rsid w:val="00943A49"/>
    <w:rsid w:val="0094478B"/>
    <w:rsid w:val="00945F75"/>
    <w:rsid w:val="0095505F"/>
    <w:rsid w:val="009556F4"/>
    <w:rsid w:val="0096061B"/>
    <w:rsid w:val="009668C1"/>
    <w:rsid w:val="00971312"/>
    <w:rsid w:val="00976621"/>
    <w:rsid w:val="00977FD1"/>
    <w:rsid w:val="00984C88"/>
    <w:rsid w:val="00985643"/>
    <w:rsid w:val="00992495"/>
    <w:rsid w:val="0099503D"/>
    <w:rsid w:val="00997310"/>
    <w:rsid w:val="009A1A7E"/>
    <w:rsid w:val="009A1D20"/>
    <w:rsid w:val="009A4BCB"/>
    <w:rsid w:val="009B4329"/>
    <w:rsid w:val="009B643F"/>
    <w:rsid w:val="009C088D"/>
    <w:rsid w:val="009C1C03"/>
    <w:rsid w:val="009C471A"/>
    <w:rsid w:val="009F0CB4"/>
    <w:rsid w:val="009F5F21"/>
    <w:rsid w:val="00A02ABE"/>
    <w:rsid w:val="00A03728"/>
    <w:rsid w:val="00A105BD"/>
    <w:rsid w:val="00A11CF6"/>
    <w:rsid w:val="00A1332D"/>
    <w:rsid w:val="00A1611B"/>
    <w:rsid w:val="00A2664E"/>
    <w:rsid w:val="00A26D5C"/>
    <w:rsid w:val="00A30937"/>
    <w:rsid w:val="00A318E3"/>
    <w:rsid w:val="00A327EA"/>
    <w:rsid w:val="00A35BEB"/>
    <w:rsid w:val="00A41920"/>
    <w:rsid w:val="00A4501C"/>
    <w:rsid w:val="00A5489F"/>
    <w:rsid w:val="00A56A02"/>
    <w:rsid w:val="00A61218"/>
    <w:rsid w:val="00A671B9"/>
    <w:rsid w:val="00A6721C"/>
    <w:rsid w:val="00A718D4"/>
    <w:rsid w:val="00A8073B"/>
    <w:rsid w:val="00A94B82"/>
    <w:rsid w:val="00A94EED"/>
    <w:rsid w:val="00A96EEE"/>
    <w:rsid w:val="00AA0BF3"/>
    <w:rsid w:val="00AA37F6"/>
    <w:rsid w:val="00AB0C95"/>
    <w:rsid w:val="00AB0D39"/>
    <w:rsid w:val="00AB178B"/>
    <w:rsid w:val="00AB222F"/>
    <w:rsid w:val="00AB6E63"/>
    <w:rsid w:val="00AB7585"/>
    <w:rsid w:val="00AB78B1"/>
    <w:rsid w:val="00AC1582"/>
    <w:rsid w:val="00AD3DFB"/>
    <w:rsid w:val="00AE11C3"/>
    <w:rsid w:val="00AE3CAF"/>
    <w:rsid w:val="00AE4AF0"/>
    <w:rsid w:val="00AE4F8B"/>
    <w:rsid w:val="00AE680D"/>
    <w:rsid w:val="00AE6D2F"/>
    <w:rsid w:val="00AF010D"/>
    <w:rsid w:val="00AF5776"/>
    <w:rsid w:val="00B00835"/>
    <w:rsid w:val="00B017CE"/>
    <w:rsid w:val="00B06E2E"/>
    <w:rsid w:val="00B10325"/>
    <w:rsid w:val="00B15C34"/>
    <w:rsid w:val="00B205EB"/>
    <w:rsid w:val="00B209A4"/>
    <w:rsid w:val="00B23F5B"/>
    <w:rsid w:val="00B27C55"/>
    <w:rsid w:val="00B3595D"/>
    <w:rsid w:val="00B36C90"/>
    <w:rsid w:val="00B44B81"/>
    <w:rsid w:val="00B50150"/>
    <w:rsid w:val="00B50A37"/>
    <w:rsid w:val="00B52384"/>
    <w:rsid w:val="00B56A8E"/>
    <w:rsid w:val="00B577FA"/>
    <w:rsid w:val="00B62F55"/>
    <w:rsid w:val="00B668E2"/>
    <w:rsid w:val="00B66949"/>
    <w:rsid w:val="00B747A3"/>
    <w:rsid w:val="00B755AB"/>
    <w:rsid w:val="00B82F33"/>
    <w:rsid w:val="00B844A5"/>
    <w:rsid w:val="00B900E9"/>
    <w:rsid w:val="00B90FD1"/>
    <w:rsid w:val="00B92612"/>
    <w:rsid w:val="00B93EA4"/>
    <w:rsid w:val="00B97FE0"/>
    <w:rsid w:val="00BA0341"/>
    <w:rsid w:val="00BA3D5B"/>
    <w:rsid w:val="00BA4A7A"/>
    <w:rsid w:val="00BA5BD8"/>
    <w:rsid w:val="00BA6391"/>
    <w:rsid w:val="00BB694F"/>
    <w:rsid w:val="00BB71C0"/>
    <w:rsid w:val="00BB7353"/>
    <w:rsid w:val="00BC1F0C"/>
    <w:rsid w:val="00BD30B1"/>
    <w:rsid w:val="00BD338E"/>
    <w:rsid w:val="00BE718A"/>
    <w:rsid w:val="00C00373"/>
    <w:rsid w:val="00C02807"/>
    <w:rsid w:val="00C04BBE"/>
    <w:rsid w:val="00C1016D"/>
    <w:rsid w:val="00C138B4"/>
    <w:rsid w:val="00C1417E"/>
    <w:rsid w:val="00C16A80"/>
    <w:rsid w:val="00C16AA9"/>
    <w:rsid w:val="00C26C3B"/>
    <w:rsid w:val="00C32C8D"/>
    <w:rsid w:val="00C4484E"/>
    <w:rsid w:val="00C46B2F"/>
    <w:rsid w:val="00C50AC8"/>
    <w:rsid w:val="00C5408E"/>
    <w:rsid w:val="00C57091"/>
    <w:rsid w:val="00C5778D"/>
    <w:rsid w:val="00C63D7A"/>
    <w:rsid w:val="00C7302B"/>
    <w:rsid w:val="00C733E7"/>
    <w:rsid w:val="00C75B7B"/>
    <w:rsid w:val="00C84E60"/>
    <w:rsid w:val="00C902A6"/>
    <w:rsid w:val="00C92929"/>
    <w:rsid w:val="00C9303F"/>
    <w:rsid w:val="00C938F8"/>
    <w:rsid w:val="00C9629A"/>
    <w:rsid w:val="00CA08C3"/>
    <w:rsid w:val="00CA27BC"/>
    <w:rsid w:val="00CA3522"/>
    <w:rsid w:val="00CA5433"/>
    <w:rsid w:val="00CB483D"/>
    <w:rsid w:val="00CC1614"/>
    <w:rsid w:val="00CC3796"/>
    <w:rsid w:val="00CC4F83"/>
    <w:rsid w:val="00CC6D5E"/>
    <w:rsid w:val="00CD149C"/>
    <w:rsid w:val="00CD1F32"/>
    <w:rsid w:val="00CD2564"/>
    <w:rsid w:val="00CE0E0F"/>
    <w:rsid w:val="00CE258E"/>
    <w:rsid w:val="00CE694F"/>
    <w:rsid w:val="00CE746D"/>
    <w:rsid w:val="00CF095F"/>
    <w:rsid w:val="00CF0F9C"/>
    <w:rsid w:val="00CF5054"/>
    <w:rsid w:val="00CF5A61"/>
    <w:rsid w:val="00CF787F"/>
    <w:rsid w:val="00D02D48"/>
    <w:rsid w:val="00D050E2"/>
    <w:rsid w:val="00D105DB"/>
    <w:rsid w:val="00D11F84"/>
    <w:rsid w:val="00D14A11"/>
    <w:rsid w:val="00D1738D"/>
    <w:rsid w:val="00D17DDF"/>
    <w:rsid w:val="00D22B61"/>
    <w:rsid w:val="00D306B9"/>
    <w:rsid w:val="00D3112D"/>
    <w:rsid w:val="00D3624A"/>
    <w:rsid w:val="00D3684A"/>
    <w:rsid w:val="00D40CFB"/>
    <w:rsid w:val="00D41D52"/>
    <w:rsid w:val="00D42ABD"/>
    <w:rsid w:val="00D44969"/>
    <w:rsid w:val="00D46331"/>
    <w:rsid w:val="00D47CD7"/>
    <w:rsid w:val="00D47FAC"/>
    <w:rsid w:val="00D53CAE"/>
    <w:rsid w:val="00D57EAB"/>
    <w:rsid w:val="00D6766C"/>
    <w:rsid w:val="00D735FF"/>
    <w:rsid w:val="00D7389F"/>
    <w:rsid w:val="00D77A4C"/>
    <w:rsid w:val="00D812E2"/>
    <w:rsid w:val="00D81B74"/>
    <w:rsid w:val="00D90C94"/>
    <w:rsid w:val="00D94B83"/>
    <w:rsid w:val="00DB14B3"/>
    <w:rsid w:val="00DC38E0"/>
    <w:rsid w:val="00DC6B58"/>
    <w:rsid w:val="00DC7B50"/>
    <w:rsid w:val="00DD01DF"/>
    <w:rsid w:val="00DD196B"/>
    <w:rsid w:val="00DE1FB1"/>
    <w:rsid w:val="00DE2772"/>
    <w:rsid w:val="00DE60FB"/>
    <w:rsid w:val="00DE66EB"/>
    <w:rsid w:val="00DE7F7F"/>
    <w:rsid w:val="00DF0013"/>
    <w:rsid w:val="00DF1F36"/>
    <w:rsid w:val="00DF7DE7"/>
    <w:rsid w:val="00E12D25"/>
    <w:rsid w:val="00E14D2A"/>
    <w:rsid w:val="00E14FDA"/>
    <w:rsid w:val="00E20C39"/>
    <w:rsid w:val="00E246B4"/>
    <w:rsid w:val="00E25411"/>
    <w:rsid w:val="00E3108E"/>
    <w:rsid w:val="00E32F37"/>
    <w:rsid w:val="00E34FFC"/>
    <w:rsid w:val="00E3621B"/>
    <w:rsid w:val="00E369EF"/>
    <w:rsid w:val="00E523A5"/>
    <w:rsid w:val="00E57AB0"/>
    <w:rsid w:val="00E60620"/>
    <w:rsid w:val="00E64EE2"/>
    <w:rsid w:val="00E65C4A"/>
    <w:rsid w:val="00E67CD9"/>
    <w:rsid w:val="00E70348"/>
    <w:rsid w:val="00E7318B"/>
    <w:rsid w:val="00E750CB"/>
    <w:rsid w:val="00E761DA"/>
    <w:rsid w:val="00E77F66"/>
    <w:rsid w:val="00E8056B"/>
    <w:rsid w:val="00E86A45"/>
    <w:rsid w:val="00E919E2"/>
    <w:rsid w:val="00E94F6D"/>
    <w:rsid w:val="00EA3F6F"/>
    <w:rsid w:val="00EA60C8"/>
    <w:rsid w:val="00EA792A"/>
    <w:rsid w:val="00EB04DF"/>
    <w:rsid w:val="00EB072E"/>
    <w:rsid w:val="00EB0EC8"/>
    <w:rsid w:val="00EB1629"/>
    <w:rsid w:val="00EC4BFC"/>
    <w:rsid w:val="00EC50C6"/>
    <w:rsid w:val="00ED2DA4"/>
    <w:rsid w:val="00EE2C91"/>
    <w:rsid w:val="00EF38F3"/>
    <w:rsid w:val="00EF57A2"/>
    <w:rsid w:val="00EF6187"/>
    <w:rsid w:val="00EF7F08"/>
    <w:rsid w:val="00F00A6F"/>
    <w:rsid w:val="00F00F2A"/>
    <w:rsid w:val="00F01435"/>
    <w:rsid w:val="00F03888"/>
    <w:rsid w:val="00F10DDD"/>
    <w:rsid w:val="00F211F7"/>
    <w:rsid w:val="00F221A4"/>
    <w:rsid w:val="00F23ADD"/>
    <w:rsid w:val="00F25014"/>
    <w:rsid w:val="00F26299"/>
    <w:rsid w:val="00F62576"/>
    <w:rsid w:val="00F643DB"/>
    <w:rsid w:val="00F71768"/>
    <w:rsid w:val="00F746FC"/>
    <w:rsid w:val="00F74C05"/>
    <w:rsid w:val="00F816C6"/>
    <w:rsid w:val="00F827F5"/>
    <w:rsid w:val="00F8285B"/>
    <w:rsid w:val="00F8433B"/>
    <w:rsid w:val="00F908E4"/>
    <w:rsid w:val="00F9096A"/>
    <w:rsid w:val="00FA0045"/>
    <w:rsid w:val="00FA1C05"/>
    <w:rsid w:val="00FA202C"/>
    <w:rsid w:val="00FA5B15"/>
    <w:rsid w:val="00FA606E"/>
    <w:rsid w:val="00FA731C"/>
    <w:rsid w:val="00FA746E"/>
    <w:rsid w:val="00FB12E3"/>
    <w:rsid w:val="00FB14AF"/>
    <w:rsid w:val="00FB1A7A"/>
    <w:rsid w:val="00FB210F"/>
    <w:rsid w:val="00FB5183"/>
    <w:rsid w:val="00FB6999"/>
    <w:rsid w:val="00FC0ADF"/>
    <w:rsid w:val="00FC417B"/>
    <w:rsid w:val="00FC481B"/>
    <w:rsid w:val="00FC71A4"/>
    <w:rsid w:val="00FD035C"/>
    <w:rsid w:val="00FD1CB6"/>
    <w:rsid w:val="00FF2907"/>
    <w:rsid w:val="00FF41F5"/>
    <w:rsid w:val="00FF6F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3" style="mso-width-percent:400;mso-height-percent:200;mso-width-relative:margin;mso-height-relative:margin;v-text-anchor:middle" fillcolor="white">
      <v:fill color="white"/>
      <v:textbox style="mso-fit-shape-to-text:t"/>
      <o:colormenu v:ext="edit" strokecolor="red"/>
    </o:shapedefaults>
    <o:shapelayout v:ext="edit">
      <o:idmap v:ext="edit" data="1"/>
      <o:rules v:ext="edit">
        <o:r id="V:Rule3" type="connector" idref="#_x0000_s1150"/>
        <o:r id="V:Rule4"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C8"/>
    <w:pPr>
      <w:spacing w:after="200" w:line="276" w:lineRule="auto"/>
    </w:pPr>
    <w:rPr>
      <w:sz w:val="22"/>
      <w:szCs w:val="22"/>
    </w:rPr>
  </w:style>
  <w:style w:type="paragraph" w:styleId="Heading1">
    <w:name w:val="heading 1"/>
    <w:aliases w:val="ATA Submission Heading 1"/>
    <w:basedOn w:val="Normal"/>
    <w:next w:val="Normal"/>
    <w:link w:val="Heading1Char"/>
    <w:uiPriority w:val="99"/>
    <w:qFormat/>
    <w:rsid w:val="00EE2C91"/>
    <w:pPr>
      <w:numPr>
        <w:numId w:val="13"/>
      </w:numPr>
      <w:spacing w:after="0" w:line="240" w:lineRule="auto"/>
      <w:outlineLvl w:val="0"/>
    </w:pPr>
    <w:rPr>
      <w:rFonts w:ascii="Arial" w:hAnsi="Arial" w:cs="Arial"/>
      <w:b/>
      <w:color w:val="000064"/>
      <w:sz w:val="28"/>
      <w:szCs w:val="28"/>
      <w:lang w:eastAsia="en-US"/>
    </w:rPr>
  </w:style>
  <w:style w:type="paragraph" w:styleId="Heading2">
    <w:name w:val="heading 2"/>
    <w:basedOn w:val="Normal"/>
    <w:next w:val="Normal"/>
    <w:link w:val="Heading2Char"/>
    <w:semiHidden/>
    <w:unhideWhenUsed/>
    <w:qFormat/>
    <w:locked/>
    <w:rsid w:val="0065369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9"/>
    <w:qFormat/>
    <w:locked/>
    <w:rsid w:val="00653697"/>
    <w:pPr>
      <w:keepNext/>
      <w:spacing w:before="240" w:after="60" w:line="240" w:lineRule="auto"/>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EE2C91"/>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5369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653697"/>
    <w:rPr>
      <w:rFonts w:ascii="Cambria" w:hAnsi="Cambria"/>
      <w:b/>
      <w:bCs/>
      <w:sz w:val="26"/>
      <w:szCs w:val="26"/>
      <w:lang w:eastAsia="en-US"/>
    </w:rPr>
  </w:style>
  <w:style w:type="paragraph" w:styleId="ListParagraph">
    <w:name w:val="List Paragraph"/>
    <w:basedOn w:val="Normal"/>
    <w:uiPriority w:val="34"/>
    <w:qFormat/>
    <w:rsid w:val="001E27CB"/>
    <w:pPr>
      <w:ind w:left="720"/>
      <w:contextualSpacing/>
    </w:pPr>
  </w:style>
  <w:style w:type="table" w:styleId="TableGrid">
    <w:name w:val="Table Grid"/>
    <w:basedOn w:val="TableNormal"/>
    <w:uiPriority w:val="59"/>
    <w:rsid w:val="00CF5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246D"/>
    <w:pPr>
      <w:tabs>
        <w:tab w:val="center" w:pos="4513"/>
        <w:tab w:val="right" w:pos="9026"/>
      </w:tabs>
      <w:spacing w:after="0" w:line="240" w:lineRule="auto"/>
    </w:pPr>
    <w:rPr>
      <w:lang w:eastAsia="en-US"/>
    </w:rPr>
  </w:style>
  <w:style w:type="character" w:customStyle="1" w:styleId="HeaderChar">
    <w:name w:val="Header Char"/>
    <w:basedOn w:val="DefaultParagraphFont"/>
    <w:link w:val="Header"/>
    <w:uiPriority w:val="99"/>
    <w:locked/>
    <w:rsid w:val="000B246D"/>
    <w:rPr>
      <w:rFonts w:ascii="Calibri" w:eastAsia="Times New Roman" w:hAnsi="Calibri" w:cs="Times New Roman"/>
      <w:lang w:eastAsia="en-US"/>
    </w:rPr>
  </w:style>
  <w:style w:type="paragraph" w:styleId="Footer">
    <w:name w:val="footer"/>
    <w:basedOn w:val="Normal"/>
    <w:link w:val="FooterChar"/>
    <w:uiPriority w:val="99"/>
    <w:rsid w:val="000B246D"/>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locked/>
    <w:rsid w:val="000B246D"/>
    <w:rPr>
      <w:rFonts w:ascii="Calibri" w:eastAsia="Times New Roman" w:hAnsi="Calibri" w:cs="Times New Roman"/>
      <w:lang w:eastAsia="en-US"/>
    </w:rPr>
  </w:style>
  <w:style w:type="paragraph" w:customStyle="1" w:styleId="ATAnormal">
    <w:name w:val="ATA normal"/>
    <w:basedOn w:val="Normal"/>
    <w:link w:val="ATAnormalChar"/>
    <w:uiPriority w:val="99"/>
    <w:rsid w:val="000B246D"/>
    <w:pPr>
      <w:spacing w:after="0" w:line="240" w:lineRule="auto"/>
    </w:pPr>
    <w:rPr>
      <w:rFonts w:ascii="Arial" w:hAnsi="Arial"/>
      <w:sz w:val="20"/>
      <w:szCs w:val="20"/>
      <w:lang w:eastAsia="en-US"/>
    </w:rPr>
  </w:style>
  <w:style w:type="character" w:customStyle="1" w:styleId="ATAnormalChar">
    <w:name w:val="ATA normal Char"/>
    <w:link w:val="ATAnormal"/>
    <w:uiPriority w:val="99"/>
    <w:locked/>
    <w:rsid w:val="000B246D"/>
    <w:rPr>
      <w:rFonts w:ascii="Arial" w:eastAsia="Times New Roman" w:hAnsi="Arial"/>
      <w:lang w:eastAsia="en-US"/>
    </w:rPr>
  </w:style>
  <w:style w:type="paragraph" w:customStyle="1" w:styleId="ATASubHead1">
    <w:name w:val="ATASubHead1"/>
    <w:basedOn w:val="Normal"/>
    <w:link w:val="ATASubHead1Char"/>
    <w:qFormat/>
    <w:rsid w:val="000B246D"/>
    <w:pPr>
      <w:tabs>
        <w:tab w:val="left" w:pos="851"/>
      </w:tabs>
      <w:spacing w:before="240" w:after="120" w:line="240" w:lineRule="auto"/>
    </w:pPr>
    <w:rPr>
      <w:rFonts w:ascii="Arial" w:hAnsi="Arial"/>
      <w:b/>
      <w:color w:val="000064"/>
      <w:sz w:val="28"/>
      <w:szCs w:val="20"/>
      <w:lang w:eastAsia="en-US"/>
    </w:rPr>
  </w:style>
  <w:style w:type="character" w:customStyle="1" w:styleId="ATASubHead1Char">
    <w:name w:val="ATASubHead1 Char"/>
    <w:link w:val="ATASubHead1"/>
    <w:locked/>
    <w:rsid w:val="000B246D"/>
    <w:rPr>
      <w:rFonts w:ascii="Arial" w:eastAsia="Times New Roman" w:hAnsi="Arial"/>
      <w:b/>
      <w:color w:val="000064"/>
      <w:sz w:val="28"/>
      <w:lang w:eastAsia="en-US"/>
    </w:rPr>
  </w:style>
  <w:style w:type="paragraph" w:styleId="BalloonText">
    <w:name w:val="Balloon Text"/>
    <w:basedOn w:val="Normal"/>
    <w:link w:val="BalloonTextChar"/>
    <w:uiPriority w:val="99"/>
    <w:semiHidden/>
    <w:rsid w:val="0084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FA4"/>
    <w:rPr>
      <w:rFonts w:ascii="Tahoma" w:hAnsi="Tahoma" w:cs="Tahoma"/>
      <w:sz w:val="16"/>
      <w:szCs w:val="16"/>
    </w:rPr>
  </w:style>
  <w:style w:type="paragraph" w:styleId="FootnoteText">
    <w:name w:val="footnote text"/>
    <w:basedOn w:val="Normal"/>
    <w:link w:val="FootnoteTextChar"/>
    <w:uiPriority w:val="99"/>
    <w:semiHidden/>
    <w:rsid w:val="00836FCE"/>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836FCE"/>
    <w:rPr>
      <w:rFonts w:eastAsia="Times New Roman" w:cs="Times New Roman"/>
      <w:sz w:val="20"/>
      <w:szCs w:val="20"/>
      <w:lang w:eastAsia="en-US"/>
    </w:rPr>
  </w:style>
  <w:style w:type="character" w:styleId="FootnoteReference">
    <w:name w:val="footnote reference"/>
    <w:basedOn w:val="DefaultParagraphFont"/>
    <w:uiPriority w:val="99"/>
    <w:semiHidden/>
    <w:rsid w:val="00836FCE"/>
    <w:rPr>
      <w:rFonts w:cs="Times New Roman"/>
      <w:vertAlign w:val="superscript"/>
    </w:rPr>
  </w:style>
  <w:style w:type="character" w:styleId="CommentReference">
    <w:name w:val="annotation reference"/>
    <w:basedOn w:val="DefaultParagraphFont"/>
    <w:uiPriority w:val="99"/>
    <w:semiHidden/>
    <w:rsid w:val="00513661"/>
    <w:rPr>
      <w:rFonts w:cs="Times New Roman"/>
      <w:sz w:val="16"/>
      <w:szCs w:val="16"/>
    </w:rPr>
  </w:style>
  <w:style w:type="paragraph" w:styleId="CommentText">
    <w:name w:val="annotation text"/>
    <w:basedOn w:val="Normal"/>
    <w:link w:val="CommentTextChar"/>
    <w:uiPriority w:val="99"/>
    <w:semiHidden/>
    <w:rsid w:val="005136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3661"/>
    <w:rPr>
      <w:rFonts w:cs="Times New Roman"/>
      <w:sz w:val="20"/>
      <w:szCs w:val="20"/>
    </w:rPr>
  </w:style>
  <w:style w:type="paragraph" w:styleId="CommentSubject">
    <w:name w:val="annotation subject"/>
    <w:basedOn w:val="CommentText"/>
    <w:next w:val="CommentText"/>
    <w:link w:val="CommentSubjectChar"/>
    <w:uiPriority w:val="99"/>
    <w:semiHidden/>
    <w:rsid w:val="00513661"/>
    <w:rPr>
      <w:b/>
      <w:bCs/>
    </w:rPr>
  </w:style>
  <w:style w:type="character" w:customStyle="1" w:styleId="CommentSubjectChar">
    <w:name w:val="Comment Subject Char"/>
    <w:basedOn w:val="CommentTextChar"/>
    <w:link w:val="CommentSubject"/>
    <w:uiPriority w:val="99"/>
    <w:semiHidden/>
    <w:locked/>
    <w:rsid w:val="00513661"/>
    <w:rPr>
      <w:b/>
      <w:bCs/>
    </w:rPr>
  </w:style>
  <w:style w:type="paragraph" w:customStyle="1" w:styleId="ATAHeading2">
    <w:name w:val="ATA Heading 2"/>
    <w:basedOn w:val="Normal"/>
    <w:link w:val="ATAHeading2Char"/>
    <w:uiPriority w:val="99"/>
    <w:rsid w:val="00EE2C91"/>
    <w:pPr>
      <w:spacing w:before="120" w:after="120"/>
      <w:ind w:left="851" w:hanging="851"/>
    </w:pPr>
    <w:rPr>
      <w:rFonts w:ascii="Arial" w:hAnsi="Arial" w:cs="Arial"/>
      <w:b/>
      <w:color w:val="000064"/>
      <w:sz w:val="26"/>
      <w:szCs w:val="26"/>
      <w:lang w:eastAsia="en-US"/>
    </w:rPr>
  </w:style>
  <w:style w:type="character" w:customStyle="1" w:styleId="ATAHeading2Char">
    <w:name w:val="ATA Heading 2 Char"/>
    <w:basedOn w:val="DefaultParagraphFont"/>
    <w:link w:val="ATAHeading2"/>
    <w:uiPriority w:val="99"/>
    <w:locked/>
    <w:rsid w:val="00831F36"/>
    <w:rPr>
      <w:rFonts w:ascii="Arial" w:eastAsia="Times New Roman" w:hAnsi="Arial" w:cs="Arial"/>
      <w:b/>
      <w:color w:val="000064"/>
      <w:sz w:val="26"/>
      <w:szCs w:val="26"/>
      <w:lang w:eastAsia="en-US"/>
    </w:rPr>
  </w:style>
  <w:style w:type="paragraph" w:customStyle="1" w:styleId="RecommendationStyle">
    <w:name w:val="Recommendation Style"/>
    <w:basedOn w:val="Normal"/>
    <w:link w:val="RecommendationStyleChar"/>
    <w:qFormat/>
    <w:rsid w:val="00EE2C91"/>
    <w:pPr>
      <w:numPr>
        <w:numId w:val="14"/>
      </w:numPr>
      <w:tabs>
        <w:tab w:val="left" w:pos="2098"/>
      </w:tabs>
      <w:spacing w:before="240" w:after="120" w:line="240" w:lineRule="auto"/>
    </w:pPr>
    <w:rPr>
      <w:rFonts w:ascii="Arial" w:hAnsi="Arial" w:cs="Arial"/>
      <w:b/>
      <w:i/>
      <w:sz w:val="20"/>
      <w:szCs w:val="20"/>
      <w:lang w:eastAsia="en-US"/>
    </w:rPr>
  </w:style>
  <w:style w:type="character" w:customStyle="1" w:styleId="RecommendationStyleChar">
    <w:name w:val="Recommendation Style Char"/>
    <w:basedOn w:val="DefaultParagraphFont"/>
    <w:link w:val="RecommendationStyle"/>
    <w:locked/>
    <w:rsid w:val="00A56A02"/>
    <w:rPr>
      <w:rFonts w:ascii="Arial" w:eastAsia="Times New Roman" w:hAnsi="Arial" w:cs="Arial"/>
      <w:b/>
      <w:i/>
      <w:sz w:val="20"/>
      <w:szCs w:val="20"/>
      <w:lang w:eastAsia="en-US"/>
    </w:rPr>
  </w:style>
  <w:style w:type="paragraph" w:customStyle="1" w:styleId="RecommendationStyle2">
    <w:name w:val="Recommendation Style 2"/>
    <w:basedOn w:val="Normal"/>
    <w:link w:val="RecommendationStyle2Char"/>
    <w:qFormat/>
    <w:rsid w:val="00A56A02"/>
    <w:pPr>
      <w:spacing w:after="0" w:line="240" w:lineRule="auto"/>
      <w:jc w:val="both"/>
    </w:pPr>
    <w:rPr>
      <w:rFonts w:ascii="Arial" w:hAnsi="Arial" w:cs="Arial"/>
      <w:b/>
      <w:sz w:val="20"/>
      <w:szCs w:val="20"/>
      <w:lang w:eastAsia="en-US"/>
    </w:rPr>
  </w:style>
  <w:style w:type="character" w:customStyle="1" w:styleId="RecommendationStyle2Char">
    <w:name w:val="Recommendation Style 2 Char"/>
    <w:basedOn w:val="DefaultParagraphFont"/>
    <w:link w:val="RecommendationStyle2"/>
    <w:rsid w:val="00653697"/>
    <w:rPr>
      <w:rFonts w:ascii="Arial" w:hAnsi="Arial" w:cs="Arial"/>
      <w:b/>
      <w:lang w:eastAsia="en-US"/>
    </w:rPr>
  </w:style>
  <w:style w:type="paragraph" w:customStyle="1" w:styleId="ATAHeading3">
    <w:name w:val="ATA Heading 3"/>
    <w:basedOn w:val="ATAHeading2"/>
    <w:link w:val="ATAHeading3Char"/>
    <w:uiPriority w:val="99"/>
    <w:rsid w:val="00831F36"/>
    <w:pPr>
      <w:numPr>
        <w:ilvl w:val="2"/>
        <w:numId w:val="1"/>
      </w:numPr>
      <w:tabs>
        <w:tab w:val="left" w:pos="992"/>
      </w:tabs>
      <w:ind w:left="992" w:hanging="992"/>
    </w:pPr>
    <w:rPr>
      <w:i/>
      <w:color w:val="0D0D0D"/>
      <w:sz w:val="22"/>
      <w:szCs w:val="22"/>
    </w:rPr>
  </w:style>
  <w:style w:type="character" w:customStyle="1" w:styleId="ATAHeading3Char">
    <w:name w:val="ATA Heading 3 Char"/>
    <w:basedOn w:val="DefaultParagraphFont"/>
    <w:link w:val="ATAHeading3"/>
    <w:uiPriority w:val="99"/>
    <w:locked/>
    <w:rsid w:val="00653697"/>
    <w:rPr>
      <w:rFonts w:ascii="Arial" w:hAnsi="Arial" w:cs="Arial"/>
      <w:b/>
      <w:i/>
      <w:color w:val="0D0D0D"/>
      <w:sz w:val="22"/>
      <w:szCs w:val="22"/>
      <w:lang w:eastAsia="en-US"/>
    </w:rPr>
  </w:style>
  <w:style w:type="paragraph" w:customStyle="1" w:styleId="ATAHeading2nofurtherlevels">
    <w:name w:val="ATA Heading 2 no further levels"/>
    <w:basedOn w:val="ATAHeading2"/>
    <w:link w:val="ATAHeading2nofurtherlevelsChar"/>
    <w:uiPriority w:val="99"/>
    <w:rsid w:val="00831F36"/>
    <w:pPr>
      <w:numPr>
        <w:ilvl w:val="1"/>
        <w:numId w:val="13"/>
      </w:numPr>
    </w:pPr>
    <w:rPr>
      <w:i/>
      <w:color w:val="000000"/>
      <w:sz w:val="22"/>
      <w:szCs w:val="22"/>
    </w:rPr>
  </w:style>
  <w:style w:type="character" w:customStyle="1" w:styleId="ATAHeading2nofurtherlevelsChar">
    <w:name w:val="ATA Heading 2 no further levels Char"/>
    <w:basedOn w:val="ATAHeading2Char"/>
    <w:link w:val="ATAHeading2nofurtherlevels"/>
    <w:uiPriority w:val="99"/>
    <w:locked/>
    <w:rsid w:val="00831F36"/>
    <w:rPr>
      <w:i/>
      <w:color w:val="000000"/>
    </w:rPr>
  </w:style>
  <w:style w:type="paragraph" w:styleId="TOC1">
    <w:name w:val="toc 1"/>
    <w:basedOn w:val="Normal"/>
    <w:next w:val="Normal"/>
    <w:autoRedefine/>
    <w:uiPriority w:val="39"/>
    <w:rsid w:val="006A2C1C"/>
    <w:pPr>
      <w:tabs>
        <w:tab w:val="left" w:pos="442"/>
        <w:tab w:val="right" w:leader="dot" w:pos="9628"/>
      </w:tabs>
      <w:spacing w:before="360" w:after="100" w:line="240" w:lineRule="auto"/>
    </w:pPr>
    <w:rPr>
      <w:rFonts w:ascii="Arial" w:hAnsi="Arial" w:cs="Arial"/>
      <w:b/>
      <w:noProof/>
      <w:sz w:val="20"/>
      <w:szCs w:val="20"/>
      <w:lang w:eastAsia="en-US"/>
    </w:rPr>
  </w:style>
  <w:style w:type="paragraph" w:styleId="TOC2">
    <w:name w:val="toc 2"/>
    <w:basedOn w:val="Normal"/>
    <w:next w:val="Normal"/>
    <w:autoRedefine/>
    <w:uiPriority w:val="39"/>
    <w:rsid w:val="006A2C1C"/>
    <w:pPr>
      <w:tabs>
        <w:tab w:val="left" w:pos="880"/>
        <w:tab w:val="right" w:leader="dot" w:pos="9639"/>
      </w:tabs>
      <w:spacing w:after="120" w:line="240" w:lineRule="auto"/>
      <w:ind w:left="221"/>
    </w:pPr>
    <w:rPr>
      <w:rFonts w:ascii="Arial" w:hAnsi="Arial"/>
      <w:sz w:val="20"/>
      <w:lang w:eastAsia="en-US"/>
    </w:rPr>
  </w:style>
  <w:style w:type="character" w:styleId="Hyperlink">
    <w:name w:val="Hyperlink"/>
    <w:basedOn w:val="DefaultParagraphFont"/>
    <w:uiPriority w:val="99"/>
    <w:rsid w:val="009A1D20"/>
    <w:rPr>
      <w:rFonts w:cs="Times New Roman"/>
      <w:color w:val="0000FF"/>
      <w:u w:val="single"/>
    </w:rPr>
  </w:style>
  <w:style w:type="paragraph" w:customStyle="1" w:styleId="Default">
    <w:name w:val="Default"/>
    <w:link w:val="DefaultChar"/>
    <w:rsid w:val="00100F1F"/>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uiPriority w:val="99"/>
    <w:locked/>
    <w:rsid w:val="00653697"/>
    <w:rPr>
      <w:rFonts w:ascii="Arial" w:hAnsi="Arial" w:cs="Arial"/>
      <w:color w:val="000000"/>
      <w:sz w:val="24"/>
      <w:szCs w:val="24"/>
    </w:rPr>
  </w:style>
  <w:style w:type="paragraph" w:styleId="TOCHeading">
    <w:name w:val="TOC Heading"/>
    <w:basedOn w:val="Heading1"/>
    <w:next w:val="Normal"/>
    <w:uiPriority w:val="39"/>
    <w:unhideWhenUsed/>
    <w:qFormat/>
    <w:rsid w:val="0046551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BodyText2">
    <w:name w:val="Body Text 2"/>
    <w:basedOn w:val="Normal"/>
    <w:link w:val="BodyText2Char"/>
    <w:uiPriority w:val="99"/>
    <w:semiHidden/>
    <w:rsid w:val="00653697"/>
    <w:pPr>
      <w:spacing w:after="0" w:line="240" w:lineRule="auto"/>
    </w:pPr>
    <w:rPr>
      <w:rFonts w:ascii="Arial" w:hAnsi="Arial" w:cs="Arial"/>
      <w:b/>
      <w:bCs/>
      <w:szCs w:val="20"/>
      <w:lang w:eastAsia="en-US"/>
    </w:rPr>
  </w:style>
  <w:style w:type="character" w:customStyle="1" w:styleId="BodyText2Char">
    <w:name w:val="Body Text 2 Char"/>
    <w:basedOn w:val="DefaultParagraphFont"/>
    <w:link w:val="BodyText2"/>
    <w:uiPriority w:val="99"/>
    <w:semiHidden/>
    <w:rsid w:val="00653697"/>
    <w:rPr>
      <w:rFonts w:ascii="Arial" w:hAnsi="Arial" w:cs="Arial"/>
      <w:b/>
      <w:bCs/>
      <w:sz w:val="22"/>
      <w:lang w:eastAsia="en-US"/>
    </w:rPr>
  </w:style>
  <w:style w:type="paragraph" w:customStyle="1" w:styleId="Quotes">
    <w:name w:val="Quotes"/>
    <w:basedOn w:val="Default"/>
    <w:link w:val="QuotesChar"/>
    <w:uiPriority w:val="99"/>
    <w:rsid w:val="00653697"/>
    <w:pPr>
      <w:ind w:left="851"/>
    </w:pPr>
    <w:rPr>
      <w:rFonts w:ascii="Times New Roman" w:eastAsia="Calibri" w:hAnsi="Times New Roman" w:cs="Times New Roman"/>
      <w:sz w:val="22"/>
      <w:szCs w:val="22"/>
    </w:rPr>
  </w:style>
  <w:style w:type="character" w:customStyle="1" w:styleId="QuotesChar">
    <w:name w:val="Quotes Char"/>
    <w:basedOn w:val="DefaultChar"/>
    <w:link w:val="Quotes"/>
    <w:uiPriority w:val="99"/>
    <w:locked/>
    <w:rsid w:val="00653697"/>
    <w:rPr>
      <w:rFonts w:ascii="Times New Roman" w:eastAsia="Calibri" w:hAnsi="Times New Roman"/>
      <w:sz w:val="22"/>
      <w:szCs w:val="22"/>
    </w:rPr>
  </w:style>
  <w:style w:type="paragraph" w:customStyle="1" w:styleId="ATARecommendationHeading">
    <w:name w:val="ATA Recommendation Heading"/>
    <w:basedOn w:val="Normal"/>
    <w:link w:val="ATARecommendationHeadingChar"/>
    <w:uiPriority w:val="99"/>
    <w:rsid w:val="00653697"/>
    <w:pPr>
      <w:spacing w:after="0" w:line="240" w:lineRule="auto"/>
    </w:pPr>
    <w:rPr>
      <w:rFonts w:ascii="Arial" w:eastAsia="Calibri" w:hAnsi="Arial" w:cs="Arial"/>
      <w:i/>
      <w:lang w:eastAsia="en-US"/>
    </w:rPr>
  </w:style>
  <w:style w:type="character" w:customStyle="1" w:styleId="ATARecommendationHeadingChar">
    <w:name w:val="ATA Recommendation Heading Char"/>
    <w:basedOn w:val="DefaultParagraphFont"/>
    <w:link w:val="ATARecommendationHeading"/>
    <w:uiPriority w:val="99"/>
    <w:rsid w:val="00653697"/>
    <w:rPr>
      <w:rFonts w:ascii="Arial" w:eastAsia="Calibri" w:hAnsi="Arial" w:cs="Arial"/>
      <w:i/>
      <w:sz w:val="22"/>
      <w:szCs w:val="22"/>
      <w:lang w:eastAsia="en-US"/>
    </w:rPr>
  </w:style>
  <w:style w:type="character" w:styleId="Strong">
    <w:name w:val="Strong"/>
    <w:basedOn w:val="DefaultParagraphFont"/>
    <w:uiPriority w:val="22"/>
    <w:qFormat/>
    <w:locked/>
    <w:rsid w:val="00653697"/>
    <w:rPr>
      <w:b/>
      <w:bCs/>
    </w:rPr>
  </w:style>
  <w:style w:type="character" w:customStyle="1" w:styleId="EndnoteTextChar">
    <w:name w:val="Endnote Text Char"/>
    <w:basedOn w:val="DefaultParagraphFont"/>
    <w:link w:val="EndnoteText"/>
    <w:uiPriority w:val="99"/>
    <w:semiHidden/>
    <w:rsid w:val="00653697"/>
    <w:rPr>
      <w:rFonts w:eastAsia="Calibri"/>
      <w:lang w:eastAsia="en-US"/>
    </w:rPr>
  </w:style>
  <w:style w:type="paragraph" w:styleId="EndnoteText">
    <w:name w:val="endnote text"/>
    <w:basedOn w:val="Normal"/>
    <w:link w:val="EndnoteTextChar"/>
    <w:uiPriority w:val="99"/>
    <w:semiHidden/>
    <w:unhideWhenUsed/>
    <w:rsid w:val="00653697"/>
    <w:pPr>
      <w:spacing w:after="0" w:line="240" w:lineRule="auto"/>
    </w:pPr>
    <w:rPr>
      <w:rFonts w:eastAsia="Calibri"/>
      <w:sz w:val="20"/>
      <w:szCs w:val="20"/>
      <w:lang w:eastAsia="en-US"/>
    </w:rPr>
  </w:style>
  <w:style w:type="paragraph" w:customStyle="1" w:styleId="RecommendationStyle3">
    <w:name w:val="Recommendation Style 3"/>
    <w:basedOn w:val="RecommendationStyle2"/>
    <w:link w:val="RecommendationStyle3Char"/>
    <w:qFormat/>
    <w:rsid w:val="00653697"/>
    <w:rPr>
      <w:rFonts w:eastAsia="Calibri"/>
      <w:color w:val="FFFFFF" w:themeColor="background1"/>
    </w:rPr>
  </w:style>
  <w:style w:type="character" w:customStyle="1" w:styleId="RecommendationStyle3Char">
    <w:name w:val="Recommendation Style 3 Char"/>
    <w:basedOn w:val="RecommendationStyle2Char"/>
    <w:link w:val="RecommendationStyle3"/>
    <w:rsid w:val="00653697"/>
    <w:rPr>
      <w:rFonts w:eastAsia="Calibri"/>
      <w:color w:val="FFFFFF" w:themeColor="background1"/>
    </w:rPr>
  </w:style>
  <w:style w:type="paragraph" w:styleId="TOC3">
    <w:name w:val="toc 3"/>
    <w:basedOn w:val="Normal"/>
    <w:next w:val="Normal"/>
    <w:autoRedefine/>
    <w:uiPriority w:val="39"/>
    <w:locked/>
    <w:rsid w:val="00653697"/>
    <w:pPr>
      <w:tabs>
        <w:tab w:val="right" w:leader="dot" w:pos="9628"/>
      </w:tabs>
      <w:spacing w:after="0" w:line="240" w:lineRule="auto"/>
      <w:ind w:left="442"/>
    </w:pPr>
    <w:rPr>
      <w:rFonts w:eastAsia="Calibri"/>
      <w:noProof/>
      <w:color w:val="FFFFFF" w:themeColor="background1"/>
      <w:lang w:eastAsia="en-US"/>
    </w:rPr>
  </w:style>
  <w:style w:type="character" w:customStyle="1" w:styleId="author-name2">
    <w:name w:val="author-name2"/>
    <w:basedOn w:val="DefaultParagraphFont"/>
    <w:rsid w:val="00653697"/>
    <w:rPr>
      <w:b/>
      <w:bCs/>
    </w:rPr>
  </w:style>
  <w:style w:type="character" w:customStyle="1" w:styleId="source-name5">
    <w:name w:val="source-name5"/>
    <w:basedOn w:val="DefaultParagraphFont"/>
    <w:rsid w:val="00653697"/>
    <w:rPr>
      <w:i/>
      <w:iCs/>
    </w:rPr>
  </w:style>
  <w:style w:type="character" w:customStyle="1" w:styleId="publish-date5">
    <w:name w:val="publish-date5"/>
    <w:basedOn w:val="DefaultParagraphFont"/>
    <w:rsid w:val="00653697"/>
    <w:rPr>
      <w:i/>
      <w:iCs/>
      <w:sz w:val="14"/>
      <w:szCs w:val="14"/>
    </w:rPr>
  </w:style>
  <w:style w:type="paragraph" w:customStyle="1" w:styleId="ATAPreMnorm">
    <w:name w:val="ATAPreM norm"/>
    <w:basedOn w:val="Normal"/>
    <w:link w:val="ATAPreMnormChar"/>
    <w:qFormat/>
    <w:rsid w:val="00653697"/>
    <w:pPr>
      <w:spacing w:after="0" w:line="240" w:lineRule="auto"/>
    </w:pPr>
    <w:rPr>
      <w:rFonts w:ascii="Arial" w:hAnsi="Arial" w:cs="Arial"/>
      <w:i/>
      <w:color w:val="000000"/>
      <w:sz w:val="20"/>
      <w:szCs w:val="20"/>
    </w:rPr>
  </w:style>
  <w:style w:type="character" w:customStyle="1" w:styleId="ATAPreMnormChar">
    <w:name w:val="ATAPreM norm Char"/>
    <w:basedOn w:val="DefaultParagraphFont"/>
    <w:link w:val="ATAPreMnorm"/>
    <w:rsid w:val="00653697"/>
    <w:rPr>
      <w:rFonts w:ascii="Arial" w:hAnsi="Arial" w:cs="Arial"/>
      <w:i/>
      <w:color w:val="000000"/>
    </w:rPr>
  </w:style>
  <w:style w:type="paragraph" w:customStyle="1" w:styleId="ATAPervMHeading">
    <w:name w:val="ATAPervMHeading"/>
    <w:basedOn w:val="Normal"/>
    <w:link w:val="ATAPervMHeadingChar"/>
    <w:qFormat/>
    <w:rsid w:val="00653697"/>
    <w:pPr>
      <w:tabs>
        <w:tab w:val="left" w:pos="851"/>
      </w:tabs>
      <w:spacing w:after="0" w:line="240" w:lineRule="auto"/>
      <w:ind w:left="851" w:hanging="851"/>
    </w:pPr>
    <w:rPr>
      <w:rFonts w:ascii="Arial" w:eastAsia="Calibri" w:hAnsi="Arial" w:cs="Arial"/>
      <w:b/>
      <w:i/>
      <w:sz w:val="20"/>
      <w:szCs w:val="20"/>
      <w:lang w:eastAsia="en-US"/>
    </w:rPr>
  </w:style>
  <w:style w:type="character" w:customStyle="1" w:styleId="ATAPervMHeadingChar">
    <w:name w:val="ATAPervMHeading Char"/>
    <w:basedOn w:val="DefaultParagraphFont"/>
    <w:link w:val="ATAPervMHeading"/>
    <w:rsid w:val="00653697"/>
    <w:rPr>
      <w:rFonts w:ascii="Arial" w:eastAsia="Calibri" w:hAnsi="Arial" w:cs="Arial"/>
      <w:b/>
      <w:i/>
      <w:lang w:eastAsia="en-US"/>
    </w:rPr>
  </w:style>
</w:styles>
</file>

<file path=word/webSettings.xml><?xml version="1.0" encoding="utf-8"?>
<w:webSettings xmlns:r="http://schemas.openxmlformats.org/officeDocument/2006/relationships" xmlns:w="http://schemas.openxmlformats.org/wordprocessingml/2006/main">
  <w:divs>
    <w:div w:id="246772017">
      <w:bodyDiv w:val="1"/>
      <w:marLeft w:val="0"/>
      <w:marRight w:val="0"/>
      <w:marTop w:val="0"/>
      <w:marBottom w:val="0"/>
      <w:divBdr>
        <w:top w:val="none" w:sz="0" w:space="0" w:color="auto"/>
        <w:left w:val="none" w:sz="0" w:space="0" w:color="auto"/>
        <w:bottom w:val="none" w:sz="0" w:space="0" w:color="auto"/>
        <w:right w:val="none" w:sz="0" w:space="0" w:color="auto"/>
      </w:divBdr>
    </w:div>
    <w:div w:id="385418611">
      <w:bodyDiv w:val="1"/>
      <w:marLeft w:val="0"/>
      <w:marRight w:val="0"/>
      <w:marTop w:val="0"/>
      <w:marBottom w:val="0"/>
      <w:divBdr>
        <w:top w:val="none" w:sz="0" w:space="0" w:color="auto"/>
        <w:left w:val="none" w:sz="0" w:space="0" w:color="auto"/>
        <w:bottom w:val="none" w:sz="0" w:space="0" w:color="auto"/>
        <w:right w:val="none" w:sz="0" w:space="0" w:color="auto"/>
      </w:divBdr>
    </w:div>
    <w:div w:id="572278060">
      <w:bodyDiv w:val="1"/>
      <w:marLeft w:val="0"/>
      <w:marRight w:val="0"/>
      <w:marTop w:val="0"/>
      <w:marBottom w:val="0"/>
      <w:divBdr>
        <w:top w:val="none" w:sz="0" w:space="0" w:color="auto"/>
        <w:left w:val="none" w:sz="0" w:space="0" w:color="auto"/>
        <w:bottom w:val="none" w:sz="0" w:space="0" w:color="auto"/>
        <w:right w:val="none" w:sz="0" w:space="0" w:color="auto"/>
      </w:divBdr>
      <w:divsChild>
        <w:div w:id="705373814">
          <w:marLeft w:val="0"/>
          <w:marRight w:val="0"/>
          <w:marTop w:val="0"/>
          <w:marBottom w:val="0"/>
          <w:divBdr>
            <w:top w:val="none" w:sz="0" w:space="0" w:color="auto"/>
            <w:left w:val="none" w:sz="0" w:space="0" w:color="auto"/>
            <w:bottom w:val="none" w:sz="0" w:space="0" w:color="auto"/>
            <w:right w:val="none" w:sz="0" w:space="0" w:color="auto"/>
          </w:divBdr>
          <w:divsChild>
            <w:div w:id="387724433">
              <w:marLeft w:val="0"/>
              <w:marRight w:val="0"/>
              <w:marTop w:val="0"/>
              <w:marBottom w:val="0"/>
              <w:divBdr>
                <w:top w:val="none" w:sz="0" w:space="0" w:color="auto"/>
                <w:left w:val="single" w:sz="4" w:space="0" w:color="AAAAAA"/>
                <w:bottom w:val="none" w:sz="0" w:space="0" w:color="auto"/>
                <w:right w:val="single" w:sz="4" w:space="0" w:color="AAAAAA"/>
              </w:divBdr>
              <w:divsChild>
                <w:div w:id="1181043885">
                  <w:marLeft w:val="0"/>
                  <w:marRight w:val="0"/>
                  <w:marTop w:val="0"/>
                  <w:marBottom w:val="0"/>
                  <w:divBdr>
                    <w:top w:val="none" w:sz="0" w:space="0" w:color="auto"/>
                    <w:left w:val="none" w:sz="0" w:space="0" w:color="auto"/>
                    <w:bottom w:val="none" w:sz="0" w:space="0" w:color="auto"/>
                    <w:right w:val="none" w:sz="0" w:space="0" w:color="auto"/>
                  </w:divBdr>
                  <w:divsChild>
                    <w:div w:id="1415936968">
                      <w:marLeft w:val="0"/>
                      <w:marRight w:val="0"/>
                      <w:marTop w:val="0"/>
                      <w:marBottom w:val="0"/>
                      <w:divBdr>
                        <w:top w:val="none" w:sz="0" w:space="0" w:color="auto"/>
                        <w:left w:val="none" w:sz="0" w:space="0" w:color="auto"/>
                        <w:bottom w:val="none" w:sz="0" w:space="0" w:color="auto"/>
                        <w:right w:val="none" w:sz="0" w:space="0" w:color="auto"/>
                      </w:divBdr>
                      <w:divsChild>
                        <w:div w:id="988052918">
                          <w:marLeft w:val="0"/>
                          <w:marRight w:val="0"/>
                          <w:marTop w:val="0"/>
                          <w:marBottom w:val="0"/>
                          <w:divBdr>
                            <w:top w:val="none" w:sz="0" w:space="0" w:color="auto"/>
                            <w:left w:val="none" w:sz="0" w:space="0" w:color="auto"/>
                            <w:bottom w:val="none" w:sz="0" w:space="0" w:color="auto"/>
                            <w:right w:val="none" w:sz="0" w:space="0" w:color="auto"/>
                          </w:divBdr>
                          <w:divsChild>
                            <w:div w:id="2062171232">
                              <w:marLeft w:val="0"/>
                              <w:marRight w:val="0"/>
                              <w:marTop w:val="0"/>
                              <w:marBottom w:val="0"/>
                              <w:divBdr>
                                <w:top w:val="none" w:sz="0" w:space="0" w:color="auto"/>
                                <w:left w:val="none" w:sz="0" w:space="0" w:color="auto"/>
                                <w:bottom w:val="none" w:sz="0" w:space="0" w:color="auto"/>
                                <w:right w:val="none" w:sz="0" w:space="0" w:color="auto"/>
                              </w:divBdr>
                              <w:divsChild>
                                <w:div w:id="2065136552">
                                  <w:marLeft w:val="0"/>
                                  <w:marRight w:val="0"/>
                                  <w:marTop w:val="0"/>
                                  <w:marBottom w:val="0"/>
                                  <w:divBdr>
                                    <w:top w:val="none" w:sz="0" w:space="0" w:color="auto"/>
                                    <w:left w:val="none" w:sz="0" w:space="0" w:color="auto"/>
                                    <w:bottom w:val="none" w:sz="0" w:space="0" w:color="auto"/>
                                    <w:right w:val="none" w:sz="0" w:space="0" w:color="auto"/>
                                  </w:divBdr>
                                  <w:divsChild>
                                    <w:div w:id="1704361836">
                                      <w:marLeft w:val="0"/>
                                      <w:marRight w:val="0"/>
                                      <w:marTop w:val="0"/>
                                      <w:marBottom w:val="0"/>
                                      <w:divBdr>
                                        <w:top w:val="none" w:sz="0" w:space="0" w:color="auto"/>
                                        <w:left w:val="none" w:sz="0" w:space="0" w:color="auto"/>
                                        <w:bottom w:val="none" w:sz="0" w:space="0" w:color="auto"/>
                                        <w:right w:val="none" w:sz="0" w:space="0" w:color="auto"/>
                                      </w:divBdr>
                                      <w:divsChild>
                                        <w:div w:id="4088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750132">
      <w:bodyDiv w:val="1"/>
      <w:marLeft w:val="0"/>
      <w:marRight w:val="0"/>
      <w:marTop w:val="0"/>
      <w:marBottom w:val="0"/>
      <w:divBdr>
        <w:top w:val="none" w:sz="0" w:space="0" w:color="auto"/>
        <w:left w:val="none" w:sz="0" w:space="0" w:color="auto"/>
        <w:bottom w:val="none" w:sz="0" w:space="0" w:color="auto"/>
        <w:right w:val="none" w:sz="0" w:space="0" w:color="auto"/>
      </w:divBdr>
    </w:div>
    <w:div w:id="987171019">
      <w:marLeft w:val="0"/>
      <w:marRight w:val="0"/>
      <w:marTop w:val="0"/>
      <w:marBottom w:val="0"/>
      <w:divBdr>
        <w:top w:val="none" w:sz="0" w:space="0" w:color="auto"/>
        <w:left w:val="none" w:sz="0" w:space="0" w:color="auto"/>
        <w:bottom w:val="none" w:sz="0" w:space="0" w:color="auto"/>
        <w:right w:val="none" w:sz="0" w:space="0" w:color="auto"/>
      </w:divBdr>
    </w:div>
    <w:div w:id="987171020">
      <w:marLeft w:val="0"/>
      <w:marRight w:val="0"/>
      <w:marTop w:val="0"/>
      <w:marBottom w:val="0"/>
      <w:divBdr>
        <w:top w:val="none" w:sz="0" w:space="0" w:color="auto"/>
        <w:left w:val="none" w:sz="0" w:space="0" w:color="auto"/>
        <w:bottom w:val="none" w:sz="0" w:space="0" w:color="auto"/>
        <w:right w:val="none" w:sz="0" w:space="0" w:color="auto"/>
      </w:divBdr>
    </w:div>
    <w:div w:id="987171021">
      <w:marLeft w:val="0"/>
      <w:marRight w:val="0"/>
      <w:marTop w:val="0"/>
      <w:marBottom w:val="0"/>
      <w:divBdr>
        <w:top w:val="none" w:sz="0" w:space="0" w:color="auto"/>
        <w:left w:val="none" w:sz="0" w:space="0" w:color="auto"/>
        <w:bottom w:val="none" w:sz="0" w:space="0" w:color="auto"/>
        <w:right w:val="none" w:sz="0" w:space="0" w:color="auto"/>
      </w:divBdr>
    </w:div>
    <w:div w:id="987171022">
      <w:marLeft w:val="0"/>
      <w:marRight w:val="0"/>
      <w:marTop w:val="0"/>
      <w:marBottom w:val="0"/>
      <w:divBdr>
        <w:top w:val="none" w:sz="0" w:space="0" w:color="auto"/>
        <w:left w:val="none" w:sz="0" w:space="0" w:color="auto"/>
        <w:bottom w:val="none" w:sz="0" w:space="0" w:color="auto"/>
        <w:right w:val="none" w:sz="0" w:space="0" w:color="auto"/>
      </w:divBdr>
    </w:div>
    <w:div w:id="987171023">
      <w:marLeft w:val="0"/>
      <w:marRight w:val="0"/>
      <w:marTop w:val="0"/>
      <w:marBottom w:val="0"/>
      <w:divBdr>
        <w:top w:val="none" w:sz="0" w:space="0" w:color="auto"/>
        <w:left w:val="none" w:sz="0" w:space="0" w:color="auto"/>
        <w:bottom w:val="none" w:sz="0" w:space="0" w:color="auto"/>
        <w:right w:val="none" w:sz="0" w:space="0" w:color="auto"/>
      </w:divBdr>
    </w:div>
    <w:div w:id="987171024">
      <w:marLeft w:val="0"/>
      <w:marRight w:val="0"/>
      <w:marTop w:val="0"/>
      <w:marBottom w:val="0"/>
      <w:divBdr>
        <w:top w:val="none" w:sz="0" w:space="0" w:color="auto"/>
        <w:left w:val="none" w:sz="0" w:space="0" w:color="auto"/>
        <w:bottom w:val="none" w:sz="0" w:space="0" w:color="auto"/>
        <w:right w:val="none" w:sz="0" w:space="0" w:color="auto"/>
      </w:divBdr>
    </w:div>
    <w:div w:id="987171025">
      <w:marLeft w:val="0"/>
      <w:marRight w:val="0"/>
      <w:marTop w:val="0"/>
      <w:marBottom w:val="0"/>
      <w:divBdr>
        <w:top w:val="none" w:sz="0" w:space="0" w:color="auto"/>
        <w:left w:val="none" w:sz="0" w:space="0" w:color="auto"/>
        <w:bottom w:val="none" w:sz="0" w:space="0" w:color="auto"/>
        <w:right w:val="none" w:sz="0" w:space="0" w:color="auto"/>
      </w:divBdr>
    </w:div>
    <w:div w:id="987171026">
      <w:marLeft w:val="0"/>
      <w:marRight w:val="0"/>
      <w:marTop w:val="0"/>
      <w:marBottom w:val="0"/>
      <w:divBdr>
        <w:top w:val="none" w:sz="0" w:space="0" w:color="auto"/>
        <w:left w:val="none" w:sz="0" w:space="0" w:color="auto"/>
        <w:bottom w:val="none" w:sz="0" w:space="0" w:color="auto"/>
        <w:right w:val="none" w:sz="0" w:space="0" w:color="auto"/>
      </w:divBdr>
    </w:div>
    <w:div w:id="987171027">
      <w:marLeft w:val="0"/>
      <w:marRight w:val="0"/>
      <w:marTop w:val="0"/>
      <w:marBottom w:val="0"/>
      <w:divBdr>
        <w:top w:val="none" w:sz="0" w:space="0" w:color="auto"/>
        <w:left w:val="none" w:sz="0" w:space="0" w:color="auto"/>
        <w:bottom w:val="none" w:sz="0" w:space="0" w:color="auto"/>
        <w:right w:val="none" w:sz="0" w:space="0" w:color="auto"/>
      </w:divBdr>
    </w:div>
    <w:div w:id="987171028">
      <w:marLeft w:val="0"/>
      <w:marRight w:val="0"/>
      <w:marTop w:val="0"/>
      <w:marBottom w:val="0"/>
      <w:divBdr>
        <w:top w:val="none" w:sz="0" w:space="0" w:color="auto"/>
        <w:left w:val="none" w:sz="0" w:space="0" w:color="auto"/>
        <w:bottom w:val="none" w:sz="0" w:space="0" w:color="auto"/>
        <w:right w:val="none" w:sz="0" w:space="0" w:color="auto"/>
      </w:divBdr>
    </w:div>
    <w:div w:id="987171029">
      <w:marLeft w:val="0"/>
      <w:marRight w:val="0"/>
      <w:marTop w:val="0"/>
      <w:marBottom w:val="0"/>
      <w:divBdr>
        <w:top w:val="none" w:sz="0" w:space="0" w:color="auto"/>
        <w:left w:val="none" w:sz="0" w:space="0" w:color="auto"/>
        <w:bottom w:val="none" w:sz="0" w:space="0" w:color="auto"/>
        <w:right w:val="none" w:sz="0" w:space="0" w:color="auto"/>
      </w:divBdr>
    </w:div>
    <w:div w:id="987171030">
      <w:marLeft w:val="0"/>
      <w:marRight w:val="0"/>
      <w:marTop w:val="0"/>
      <w:marBottom w:val="0"/>
      <w:divBdr>
        <w:top w:val="none" w:sz="0" w:space="0" w:color="auto"/>
        <w:left w:val="none" w:sz="0" w:space="0" w:color="auto"/>
        <w:bottom w:val="none" w:sz="0" w:space="0" w:color="auto"/>
        <w:right w:val="none" w:sz="0" w:space="0" w:color="auto"/>
      </w:divBdr>
    </w:div>
    <w:div w:id="987171031">
      <w:marLeft w:val="0"/>
      <w:marRight w:val="0"/>
      <w:marTop w:val="0"/>
      <w:marBottom w:val="0"/>
      <w:divBdr>
        <w:top w:val="none" w:sz="0" w:space="0" w:color="auto"/>
        <w:left w:val="none" w:sz="0" w:space="0" w:color="auto"/>
        <w:bottom w:val="none" w:sz="0" w:space="0" w:color="auto"/>
        <w:right w:val="none" w:sz="0" w:space="0" w:color="auto"/>
      </w:divBdr>
    </w:div>
    <w:div w:id="987171032">
      <w:marLeft w:val="0"/>
      <w:marRight w:val="0"/>
      <w:marTop w:val="0"/>
      <w:marBottom w:val="0"/>
      <w:divBdr>
        <w:top w:val="none" w:sz="0" w:space="0" w:color="auto"/>
        <w:left w:val="none" w:sz="0" w:space="0" w:color="auto"/>
        <w:bottom w:val="none" w:sz="0" w:space="0" w:color="auto"/>
        <w:right w:val="none" w:sz="0" w:space="0" w:color="auto"/>
      </w:divBdr>
    </w:div>
    <w:div w:id="987171033">
      <w:marLeft w:val="0"/>
      <w:marRight w:val="0"/>
      <w:marTop w:val="0"/>
      <w:marBottom w:val="0"/>
      <w:divBdr>
        <w:top w:val="none" w:sz="0" w:space="0" w:color="auto"/>
        <w:left w:val="none" w:sz="0" w:space="0" w:color="auto"/>
        <w:bottom w:val="none" w:sz="0" w:space="0" w:color="auto"/>
        <w:right w:val="none" w:sz="0" w:space="0" w:color="auto"/>
      </w:divBdr>
    </w:div>
    <w:div w:id="987171034">
      <w:marLeft w:val="0"/>
      <w:marRight w:val="0"/>
      <w:marTop w:val="0"/>
      <w:marBottom w:val="0"/>
      <w:divBdr>
        <w:top w:val="none" w:sz="0" w:space="0" w:color="auto"/>
        <w:left w:val="none" w:sz="0" w:space="0" w:color="auto"/>
        <w:bottom w:val="none" w:sz="0" w:space="0" w:color="auto"/>
        <w:right w:val="none" w:sz="0" w:space="0" w:color="auto"/>
      </w:divBdr>
    </w:div>
    <w:div w:id="987171035">
      <w:marLeft w:val="0"/>
      <w:marRight w:val="0"/>
      <w:marTop w:val="0"/>
      <w:marBottom w:val="0"/>
      <w:divBdr>
        <w:top w:val="none" w:sz="0" w:space="0" w:color="auto"/>
        <w:left w:val="none" w:sz="0" w:space="0" w:color="auto"/>
        <w:bottom w:val="none" w:sz="0" w:space="0" w:color="auto"/>
        <w:right w:val="none" w:sz="0" w:space="0" w:color="auto"/>
      </w:divBdr>
    </w:div>
    <w:div w:id="987171036">
      <w:marLeft w:val="0"/>
      <w:marRight w:val="0"/>
      <w:marTop w:val="0"/>
      <w:marBottom w:val="0"/>
      <w:divBdr>
        <w:top w:val="none" w:sz="0" w:space="0" w:color="auto"/>
        <w:left w:val="none" w:sz="0" w:space="0" w:color="auto"/>
        <w:bottom w:val="none" w:sz="0" w:space="0" w:color="auto"/>
        <w:right w:val="none" w:sz="0" w:space="0" w:color="auto"/>
      </w:divBdr>
    </w:div>
    <w:div w:id="987171037">
      <w:marLeft w:val="0"/>
      <w:marRight w:val="0"/>
      <w:marTop w:val="0"/>
      <w:marBottom w:val="0"/>
      <w:divBdr>
        <w:top w:val="none" w:sz="0" w:space="0" w:color="auto"/>
        <w:left w:val="none" w:sz="0" w:space="0" w:color="auto"/>
        <w:bottom w:val="none" w:sz="0" w:space="0" w:color="auto"/>
        <w:right w:val="none" w:sz="0" w:space="0" w:color="auto"/>
      </w:divBdr>
    </w:div>
    <w:div w:id="987171038">
      <w:marLeft w:val="0"/>
      <w:marRight w:val="0"/>
      <w:marTop w:val="0"/>
      <w:marBottom w:val="0"/>
      <w:divBdr>
        <w:top w:val="none" w:sz="0" w:space="0" w:color="auto"/>
        <w:left w:val="none" w:sz="0" w:space="0" w:color="auto"/>
        <w:bottom w:val="none" w:sz="0" w:space="0" w:color="auto"/>
        <w:right w:val="none" w:sz="0" w:space="0" w:color="auto"/>
      </w:divBdr>
    </w:div>
    <w:div w:id="987171039">
      <w:marLeft w:val="0"/>
      <w:marRight w:val="0"/>
      <w:marTop w:val="0"/>
      <w:marBottom w:val="0"/>
      <w:divBdr>
        <w:top w:val="none" w:sz="0" w:space="0" w:color="auto"/>
        <w:left w:val="none" w:sz="0" w:space="0" w:color="auto"/>
        <w:bottom w:val="none" w:sz="0" w:space="0" w:color="auto"/>
        <w:right w:val="none" w:sz="0" w:space="0" w:color="auto"/>
      </w:divBdr>
    </w:div>
    <w:div w:id="987171040">
      <w:marLeft w:val="0"/>
      <w:marRight w:val="0"/>
      <w:marTop w:val="0"/>
      <w:marBottom w:val="0"/>
      <w:divBdr>
        <w:top w:val="none" w:sz="0" w:space="0" w:color="auto"/>
        <w:left w:val="none" w:sz="0" w:space="0" w:color="auto"/>
        <w:bottom w:val="none" w:sz="0" w:space="0" w:color="auto"/>
        <w:right w:val="none" w:sz="0" w:space="0" w:color="auto"/>
      </w:divBdr>
    </w:div>
    <w:div w:id="987171041">
      <w:marLeft w:val="0"/>
      <w:marRight w:val="0"/>
      <w:marTop w:val="0"/>
      <w:marBottom w:val="0"/>
      <w:divBdr>
        <w:top w:val="none" w:sz="0" w:space="0" w:color="auto"/>
        <w:left w:val="none" w:sz="0" w:space="0" w:color="auto"/>
        <w:bottom w:val="none" w:sz="0" w:space="0" w:color="auto"/>
        <w:right w:val="none" w:sz="0" w:space="0" w:color="auto"/>
      </w:divBdr>
    </w:div>
    <w:div w:id="987171042">
      <w:marLeft w:val="0"/>
      <w:marRight w:val="0"/>
      <w:marTop w:val="0"/>
      <w:marBottom w:val="0"/>
      <w:divBdr>
        <w:top w:val="none" w:sz="0" w:space="0" w:color="auto"/>
        <w:left w:val="none" w:sz="0" w:space="0" w:color="auto"/>
        <w:bottom w:val="none" w:sz="0" w:space="0" w:color="auto"/>
        <w:right w:val="none" w:sz="0" w:space="0" w:color="auto"/>
      </w:divBdr>
    </w:div>
    <w:div w:id="987171043">
      <w:marLeft w:val="0"/>
      <w:marRight w:val="0"/>
      <w:marTop w:val="0"/>
      <w:marBottom w:val="0"/>
      <w:divBdr>
        <w:top w:val="none" w:sz="0" w:space="0" w:color="auto"/>
        <w:left w:val="none" w:sz="0" w:space="0" w:color="auto"/>
        <w:bottom w:val="none" w:sz="0" w:space="0" w:color="auto"/>
        <w:right w:val="none" w:sz="0" w:space="0" w:color="auto"/>
      </w:divBdr>
    </w:div>
    <w:div w:id="987171044">
      <w:marLeft w:val="0"/>
      <w:marRight w:val="0"/>
      <w:marTop w:val="0"/>
      <w:marBottom w:val="0"/>
      <w:divBdr>
        <w:top w:val="none" w:sz="0" w:space="0" w:color="auto"/>
        <w:left w:val="none" w:sz="0" w:space="0" w:color="auto"/>
        <w:bottom w:val="none" w:sz="0" w:space="0" w:color="auto"/>
        <w:right w:val="none" w:sz="0" w:space="0" w:color="auto"/>
      </w:divBdr>
    </w:div>
    <w:div w:id="987171045">
      <w:marLeft w:val="0"/>
      <w:marRight w:val="0"/>
      <w:marTop w:val="0"/>
      <w:marBottom w:val="0"/>
      <w:divBdr>
        <w:top w:val="none" w:sz="0" w:space="0" w:color="auto"/>
        <w:left w:val="none" w:sz="0" w:space="0" w:color="auto"/>
        <w:bottom w:val="none" w:sz="0" w:space="0" w:color="auto"/>
        <w:right w:val="none" w:sz="0" w:space="0" w:color="auto"/>
      </w:divBdr>
    </w:div>
    <w:div w:id="987171046">
      <w:marLeft w:val="0"/>
      <w:marRight w:val="0"/>
      <w:marTop w:val="0"/>
      <w:marBottom w:val="0"/>
      <w:divBdr>
        <w:top w:val="none" w:sz="0" w:space="0" w:color="auto"/>
        <w:left w:val="none" w:sz="0" w:space="0" w:color="auto"/>
        <w:bottom w:val="none" w:sz="0" w:space="0" w:color="auto"/>
        <w:right w:val="none" w:sz="0" w:space="0" w:color="auto"/>
      </w:divBdr>
    </w:div>
    <w:div w:id="987171047">
      <w:marLeft w:val="0"/>
      <w:marRight w:val="0"/>
      <w:marTop w:val="0"/>
      <w:marBottom w:val="0"/>
      <w:divBdr>
        <w:top w:val="none" w:sz="0" w:space="0" w:color="auto"/>
        <w:left w:val="none" w:sz="0" w:space="0" w:color="auto"/>
        <w:bottom w:val="none" w:sz="0" w:space="0" w:color="auto"/>
        <w:right w:val="none" w:sz="0" w:space="0" w:color="auto"/>
      </w:divBdr>
    </w:div>
    <w:div w:id="1370302593">
      <w:bodyDiv w:val="1"/>
      <w:marLeft w:val="0"/>
      <w:marRight w:val="0"/>
      <w:marTop w:val="0"/>
      <w:marBottom w:val="0"/>
      <w:divBdr>
        <w:top w:val="none" w:sz="0" w:space="0" w:color="auto"/>
        <w:left w:val="none" w:sz="0" w:space="0" w:color="auto"/>
        <w:bottom w:val="none" w:sz="0" w:space="0" w:color="auto"/>
        <w:right w:val="none" w:sz="0" w:space="0" w:color="auto"/>
      </w:divBdr>
    </w:div>
    <w:div w:id="14070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3FE3-C59E-4922-AD1E-2D1E5681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3015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coonand</dc:creator>
  <cp:lastModifiedBy>jacqueline.james</cp:lastModifiedBy>
  <cp:revision>14</cp:revision>
  <cp:lastPrinted>2012-10-18T22:28:00Z</cp:lastPrinted>
  <dcterms:created xsi:type="dcterms:W3CDTF">2012-10-19T03:52:00Z</dcterms:created>
  <dcterms:modified xsi:type="dcterms:W3CDTF">2012-10-24T03:52:00Z</dcterms:modified>
</cp:coreProperties>
</file>