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5670"/>
      </w:tblGrid>
      <w:tr w:rsidR="00D735FF" w:rsidTr="00D735FF">
        <w:trPr>
          <w:trHeight w:val="756"/>
        </w:trPr>
        <w:tc>
          <w:tcPr>
            <w:tcW w:w="2660" w:type="dxa"/>
            <w:vAlign w:val="center"/>
          </w:tcPr>
          <w:p w:rsidR="00D735FF" w:rsidRPr="00D735FF" w:rsidRDefault="00D735FF" w:rsidP="00D735FF">
            <w:pPr>
              <w:pStyle w:val="Header"/>
              <w:rPr>
                <w:rFonts w:ascii="Arial" w:hAnsi="Arial" w:cs="Arial"/>
                <w:b/>
                <w:sz w:val="28"/>
                <w:szCs w:val="28"/>
              </w:rPr>
            </w:pPr>
            <w:r>
              <w:rPr>
                <w:rFonts w:ascii="Arial" w:hAnsi="Arial" w:cs="Arial"/>
                <w:b/>
                <w:sz w:val="28"/>
                <w:szCs w:val="28"/>
              </w:rPr>
              <w:t>Submission to:</w:t>
            </w:r>
          </w:p>
        </w:tc>
        <w:tc>
          <w:tcPr>
            <w:tcW w:w="5670" w:type="dxa"/>
            <w:vAlign w:val="center"/>
          </w:tcPr>
          <w:p w:rsidR="00D735FF" w:rsidRPr="00D735FF" w:rsidRDefault="003078A4" w:rsidP="00D735FF">
            <w:pPr>
              <w:pStyle w:val="Header"/>
              <w:rPr>
                <w:rFonts w:ascii="Arial" w:hAnsi="Arial" w:cs="Arial"/>
                <w:sz w:val="28"/>
                <w:szCs w:val="28"/>
              </w:rPr>
            </w:pPr>
            <w:r>
              <w:rPr>
                <w:rFonts w:ascii="Arial" w:hAnsi="Arial" w:cs="Arial"/>
                <w:sz w:val="28"/>
                <w:szCs w:val="28"/>
              </w:rPr>
              <w:t>Business Tax Working Group</w:t>
            </w:r>
          </w:p>
        </w:tc>
      </w:tr>
      <w:tr w:rsidR="00D735FF" w:rsidTr="00D735FF">
        <w:trPr>
          <w:trHeight w:val="756"/>
        </w:trPr>
        <w:tc>
          <w:tcPr>
            <w:tcW w:w="2660" w:type="dxa"/>
            <w:vAlign w:val="center"/>
          </w:tcPr>
          <w:p w:rsidR="00D735FF" w:rsidRPr="00D735FF" w:rsidRDefault="00D735FF" w:rsidP="00D735FF">
            <w:pPr>
              <w:pStyle w:val="Header"/>
              <w:rPr>
                <w:rFonts w:ascii="Arial" w:hAnsi="Arial" w:cs="Arial"/>
                <w:b/>
                <w:sz w:val="28"/>
                <w:szCs w:val="28"/>
              </w:rPr>
            </w:pPr>
            <w:r>
              <w:rPr>
                <w:rFonts w:ascii="Arial" w:hAnsi="Arial" w:cs="Arial"/>
                <w:b/>
                <w:sz w:val="28"/>
                <w:szCs w:val="28"/>
              </w:rPr>
              <w:t>Title:</w:t>
            </w:r>
          </w:p>
        </w:tc>
        <w:tc>
          <w:tcPr>
            <w:tcW w:w="5670" w:type="dxa"/>
            <w:vAlign w:val="center"/>
          </w:tcPr>
          <w:p w:rsidR="00D735FF" w:rsidRPr="00D735FF" w:rsidRDefault="003078A4" w:rsidP="003255FC">
            <w:pPr>
              <w:pStyle w:val="Header"/>
              <w:rPr>
                <w:rFonts w:ascii="Arial" w:hAnsi="Arial" w:cs="Arial"/>
                <w:sz w:val="28"/>
                <w:szCs w:val="28"/>
              </w:rPr>
            </w:pPr>
            <w:r>
              <w:rPr>
                <w:rFonts w:ascii="Arial" w:hAnsi="Arial" w:cs="Arial"/>
                <w:sz w:val="28"/>
                <w:szCs w:val="28"/>
              </w:rPr>
              <w:t>ATA response to the Business Tax Working Group discussion paper</w:t>
            </w:r>
          </w:p>
        </w:tc>
      </w:tr>
      <w:tr w:rsidR="00D735FF" w:rsidTr="00D735FF">
        <w:trPr>
          <w:trHeight w:val="756"/>
        </w:trPr>
        <w:tc>
          <w:tcPr>
            <w:tcW w:w="2660" w:type="dxa"/>
            <w:vAlign w:val="center"/>
          </w:tcPr>
          <w:p w:rsidR="00D735FF" w:rsidRPr="00D735FF" w:rsidRDefault="00D735FF" w:rsidP="00D735FF">
            <w:pPr>
              <w:pStyle w:val="Header"/>
              <w:rPr>
                <w:rFonts w:ascii="Arial" w:hAnsi="Arial" w:cs="Arial"/>
                <w:b/>
                <w:sz w:val="28"/>
                <w:szCs w:val="28"/>
              </w:rPr>
            </w:pPr>
            <w:r w:rsidRPr="00D735FF">
              <w:rPr>
                <w:rFonts w:ascii="Arial" w:hAnsi="Arial" w:cs="Arial"/>
                <w:b/>
                <w:sz w:val="28"/>
                <w:szCs w:val="28"/>
              </w:rPr>
              <w:t>Date:</w:t>
            </w:r>
          </w:p>
        </w:tc>
        <w:tc>
          <w:tcPr>
            <w:tcW w:w="5670" w:type="dxa"/>
            <w:vAlign w:val="center"/>
          </w:tcPr>
          <w:p w:rsidR="00D735FF" w:rsidRPr="00D735FF" w:rsidRDefault="003078A4" w:rsidP="00D40DBE">
            <w:pPr>
              <w:pStyle w:val="Header"/>
              <w:rPr>
                <w:rFonts w:ascii="Arial" w:hAnsi="Arial" w:cs="Arial"/>
                <w:sz w:val="28"/>
                <w:szCs w:val="28"/>
              </w:rPr>
            </w:pPr>
            <w:r>
              <w:rPr>
                <w:rFonts w:ascii="Arial" w:hAnsi="Arial" w:cs="Arial"/>
                <w:sz w:val="28"/>
                <w:szCs w:val="28"/>
              </w:rPr>
              <w:t xml:space="preserve">21 September </w:t>
            </w:r>
            <w:r w:rsidR="00233F35">
              <w:rPr>
                <w:rFonts w:ascii="Arial" w:hAnsi="Arial" w:cs="Arial"/>
                <w:sz w:val="28"/>
                <w:szCs w:val="28"/>
              </w:rPr>
              <w:t>201</w:t>
            </w:r>
            <w:r w:rsidR="00B118D6">
              <w:rPr>
                <w:rFonts w:ascii="Arial" w:hAnsi="Arial" w:cs="Arial"/>
                <w:sz w:val="28"/>
                <w:szCs w:val="28"/>
              </w:rPr>
              <w:t>2</w:t>
            </w:r>
          </w:p>
        </w:tc>
      </w:tr>
    </w:tbl>
    <w:p w:rsidR="00D735FF" w:rsidRDefault="00D735FF" w:rsidP="00D735FF">
      <w:pPr>
        <w:pStyle w:val="Header"/>
        <w:rPr>
          <w:rFonts w:ascii="Arial" w:hAnsi="Arial" w:cs="Arial"/>
          <w:sz w:val="16"/>
          <w:szCs w:val="16"/>
        </w:rPr>
      </w:pPr>
    </w:p>
    <w:p w:rsidR="00D735FF" w:rsidRDefault="00D735FF" w:rsidP="00D735FF">
      <w:pPr>
        <w:pStyle w:val="Header"/>
        <w:rPr>
          <w:rFonts w:ascii="Arial" w:hAnsi="Arial" w:cs="Arial"/>
          <w:sz w:val="16"/>
          <w:szCs w:val="16"/>
        </w:rPr>
      </w:pPr>
    </w:p>
    <w:p w:rsidR="00576ED0" w:rsidRPr="003E2B20" w:rsidRDefault="00576ED0" w:rsidP="00EB0C47">
      <w:pPr>
        <w:pStyle w:val="Header"/>
        <w:rPr>
          <w:rFonts w:ascii="Arial" w:hAnsi="Arial" w:cs="Arial"/>
          <w:sz w:val="16"/>
          <w:szCs w:val="16"/>
        </w:rPr>
      </w:pPr>
    </w:p>
    <w:p w:rsidR="00576ED0" w:rsidRDefault="00576ED0" w:rsidP="00C1627A">
      <w:pPr>
        <w:rPr>
          <w:rFonts w:ascii="Arial" w:hAnsi="Arial" w:cs="Arial"/>
        </w:rPr>
        <w:sectPr w:rsidR="00576ED0" w:rsidSect="005F5ACC">
          <w:headerReference w:type="default" r:id="rId8"/>
          <w:footerReference w:type="default" r:id="rId9"/>
          <w:headerReference w:type="first" r:id="rId10"/>
          <w:footerReference w:type="first" r:id="rId11"/>
          <w:pgSz w:w="11906" w:h="16838"/>
          <w:pgMar w:top="5103" w:right="1133" w:bottom="1418" w:left="1134" w:header="851" w:footer="651" w:gutter="0"/>
          <w:cols w:space="708"/>
          <w:docGrid w:linePitch="360"/>
        </w:sectPr>
      </w:pPr>
    </w:p>
    <w:p w:rsidR="00576ED0" w:rsidRDefault="00576ED0">
      <w:pPr>
        <w:rPr>
          <w:rFonts w:ascii="Arial" w:hAnsi="Arial" w:cs="Arial"/>
          <w:sz w:val="20"/>
          <w:szCs w:val="20"/>
        </w:rPr>
      </w:pPr>
    </w:p>
    <w:p w:rsidR="00742A10" w:rsidRPr="007428F4" w:rsidRDefault="006E0763" w:rsidP="00742A10">
      <w:pPr>
        <w:rPr>
          <w:rFonts w:ascii="Arial" w:hAnsi="Arial" w:cs="Arial"/>
          <w:b/>
          <w:color w:val="000064"/>
        </w:rPr>
      </w:pPr>
      <w:r>
        <w:rPr>
          <w:rFonts w:ascii="Arial" w:hAnsi="Arial" w:cs="Arial"/>
          <w:b/>
          <w:color w:val="000064"/>
        </w:rPr>
        <w:t>C</w:t>
      </w:r>
      <w:r w:rsidR="00742A10">
        <w:rPr>
          <w:rFonts w:ascii="Arial" w:hAnsi="Arial" w:cs="Arial"/>
          <w:b/>
          <w:color w:val="000064"/>
        </w:rPr>
        <w:t>ontents</w:t>
      </w:r>
    </w:p>
    <w:p w:rsidR="00C43E03" w:rsidRDefault="00C43E03">
      <w:pPr>
        <w:rPr>
          <w:rFonts w:ascii="Arial" w:hAnsi="Arial" w:cs="Arial"/>
          <w:sz w:val="20"/>
          <w:szCs w:val="20"/>
        </w:rPr>
      </w:pPr>
    </w:p>
    <w:sdt>
      <w:sdtPr>
        <w:rPr>
          <w:rFonts w:ascii="Calibri" w:eastAsia="Calibri" w:hAnsi="Calibri" w:cs="Times New Roman"/>
          <w:b w:val="0"/>
          <w:bCs w:val="0"/>
          <w:color w:val="auto"/>
          <w:sz w:val="22"/>
          <w:szCs w:val="22"/>
          <w:lang w:val="en-AU"/>
        </w:rPr>
        <w:id w:val="21069667"/>
        <w:docPartObj>
          <w:docPartGallery w:val="Table of Contents"/>
          <w:docPartUnique/>
        </w:docPartObj>
      </w:sdtPr>
      <w:sdtContent>
        <w:p w:rsidR="00C43E03" w:rsidRDefault="00C43E03">
          <w:pPr>
            <w:pStyle w:val="TOCHeading"/>
          </w:pPr>
        </w:p>
        <w:p w:rsidR="00F90BA9" w:rsidRDefault="00AB46E4">
          <w:pPr>
            <w:pStyle w:val="TOC1"/>
            <w:rPr>
              <w:rFonts w:asciiTheme="minorHAnsi" w:eastAsiaTheme="minorEastAsia" w:hAnsiTheme="minorHAnsi" w:cstheme="minorBidi"/>
              <w:b w:val="0"/>
              <w:sz w:val="22"/>
              <w:szCs w:val="22"/>
              <w:lang w:eastAsia="en-AU"/>
            </w:rPr>
          </w:pPr>
          <w:r w:rsidRPr="00AB46E4">
            <w:fldChar w:fldCharType="begin"/>
          </w:r>
          <w:r w:rsidR="00C43E03">
            <w:instrText xml:space="preserve"> TOC \o "1-3" \h \z \u </w:instrText>
          </w:r>
          <w:r w:rsidRPr="00AB46E4">
            <w:fldChar w:fldCharType="separate"/>
          </w:r>
          <w:hyperlink w:anchor="_Toc336331457" w:history="1">
            <w:r w:rsidR="00F90BA9" w:rsidRPr="00477A59">
              <w:rPr>
                <w:rStyle w:val="Hyperlink"/>
              </w:rPr>
              <w:t>About the Australian Trucking Association</w:t>
            </w:r>
            <w:r w:rsidR="00F90BA9">
              <w:rPr>
                <w:webHidden/>
              </w:rPr>
              <w:tab/>
            </w:r>
            <w:r w:rsidR="00F90BA9">
              <w:rPr>
                <w:webHidden/>
              </w:rPr>
              <w:fldChar w:fldCharType="begin"/>
            </w:r>
            <w:r w:rsidR="00F90BA9">
              <w:rPr>
                <w:webHidden/>
              </w:rPr>
              <w:instrText xml:space="preserve"> PAGEREF _Toc336331457 \h </w:instrText>
            </w:r>
            <w:r w:rsidR="00F90BA9">
              <w:rPr>
                <w:webHidden/>
              </w:rPr>
            </w:r>
            <w:r w:rsidR="00F90BA9">
              <w:rPr>
                <w:webHidden/>
              </w:rPr>
              <w:fldChar w:fldCharType="separate"/>
            </w:r>
            <w:r w:rsidR="00AA06FD">
              <w:rPr>
                <w:webHidden/>
              </w:rPr>
              <w:t>3</w:t>
            </w:r>
            <w:r w:rsidR="00F90BA9">
              <w:rPr>
                <w:webHidden/>
              </w:rPr>
              <w:fldChar w:fldCharType="end"/>
            </w:r>
          </w:hyperlink>
        </w:p>
        <w:p w:rsidR="00F90BA9" w:rsidRDefault="00F90BA9">
          <w:pPr>
            <w:pStyle w:val="TOC1"/>
            <w:rPr>
              <w:rFonts w:asciiTheme="minorHAnsi" w:eastAsiaTheme="minorEastAsia" w:hAnsiTheme="minorHAnsi" w:cstheme="minorBidi"/>
              <w:b w:val="0"/>
              <w:sz w:val="22"/>
              <w:szCs w:val="22"/>
              <w:lang w:eastAsia="en-AU"/>
            </w:rPr>
          </w:pPr>
          <w:hyperlink w:anchor="_Toc336331458" w:history="1">
            <w:r w:rsidRPr="00477A59">
              <w:rPr>
                <w:rStyle w:val="Hyperlink"/>
              </w:rPr>
              <w:t>Summary</w:t>
            </w:r>
            <w:r>
              <w:rPr>
                <w:webHidden/>
              </w:rPr>
              <w:tab/>
            </w:r>
            <w:r>
              <w:rPr>
                <w:webHidden/>
              </w:rPr>
              <w:fldChar w:fldCharType="begin"/>
            </w:r>
            <w:r>
              <w:rPr>
                <w:webHidden/>
              </w:rPr>
              <w:instrText xml:space="preserve"> PAGEREF _Toc336331458 \h </w:instrText>
            </w:r>
            <w:r>
              <w:rPr>
                <w:webHidden/>
              </w:rPr>
            </w:r>
            <w:r>
              <w:rPr>
                <w:webHidden/>
              </w:rPr>
              <w:fldChar w:fldCharType="separate"/>
            </w:r>
            <w:r w:rsidR="00AA06FD">
              <w:rPr>
                <w:webHidden/>
              </w:rPr>
              <w:t>4</w:t>
            </w:r>
            <w:r>
              <w:rPr>
                <w:webHidden/>
              </w:rPr>
              <w:fldChar w:fldCharType="end"/>
            </w:r>
          </w:hyperlink>
        </w:p>
        <w:p w:rsidR="00F90BA9" w:rsidRDefault="00F90BA9">
          <w:pPr>
            <w:pStyle w:val="TOC1"/>
            <w:tabs>
              <w:tab w:val="left" w:pos="442"/>
            </w:tabs>
            <w:rPr>
              <w:rFonts w:asciiTheme="minorHAnsi" w:eastAsiaTheme="minorEastAsia" w:hAnsiTheme="minorHAnsi" w:cstheme="minorBidi"/>
              <w:b w:val="0"/>
              <w:sz w:val="22"/>
              <w:szCs w:val="22"/>
              <w:lang w:eastAsia="en-AU"/>
            </w:rPr>
          </w:pPr>
          <w:hyperlink w:anchor="_Toc336331459" w:history="1">
            <w:r w:rsidRPr="00477A59">
              <w:rPr>
                <w:rStyle w:val="Hyperlink"/>
                <w:rFonts w:cs="Times New Roman"/>
              </w:rPr>
              <w:t>1.</w:t>
            </w:r>
            <w:r>
              <w:rPr>
                <w:rFonts w:asciiTheme="minorHAnsi" w:eastAsiaTheme="minorEastAsia" w:hAnsiTheme="minorHAnsi" w:cstheme="minorBidi"/>
                <w:b w:val="0"/>
                <w:sz w:val="22"/>
                <w:szCs w:val="22"/>
                <w:lang w:eastAsia="en-AU"/>
              </w:rPr>
              <w:tab/>
            </w:r>
            <w:r w:rsidRPr="00477A59">
              <w:rPr>
                <w:rStyle w:val="Hyperlink"/>
              </w:rPr>
              <w:t>Introduction</w:t>
            </w:r>
            <w:r>
              <w:rPr>
                <w:webHidden/>
              </w:rPr>
              <w:tab/>
            </w:r>
            <w:r>
              <w:rPr>
                <w:webHidden/>
              </w:rPr>
              <w:fldChar w:fldCharType="begin"/>
            </w:r>
            <w:r>
              <w:rPr>
                <w:webHidden/>
              </w:rPr>
              <w:instrText xml:space="preserve"> PAGEREF _Toc336331459 \h </w:instrText>
            </w:r>
            <w:r>
              <w:rPr>
                <w:webHidden/>
              </w:rPr>
            </w:r>
            <w:r>
              <w:rPr>
                <w:webHidden/>
              </w:rPr>
              <w:fldChar w:fldCharType="separate"/>
            </w:r>
            <w:r w:rsidR="00AA06FD">
              <w:rPr>
                <w:webHidden/>
              </w:rPr>
              <w:t>5</w:t>
            </w:r>
            <w:r>
              <w:rPr>
                <w:webHidden/>
              </w:rPr>
              <w:fldChar w:fldCharType="end"/>
            </w:r>
          </w:hyperlink>
        </w:p>
        <w:p w:rsidR="00F90BA9" w:rsidRDefault="00F90BA9">
          <w:pPr>
            <w:pStyle w:val="TOC1"/>
            <w:tabs>
              <w:tab w:val="left" w:pos="442"/>
            </w:tabs>
            <w:rPr>
              <w:rFonts w:asciiTheme="minorHAnsi" w:eastAsiaTheme="minorEastAsia" w:hAnsiTheme="minorHAnsi" w:cstheme="minorBidi"/>
              <w:b w:val="0"/>
              <w:sz w:val="22"/>
              <w:szCs w:val="22"/>
              <w:lang w:eastAsia="en-AU"/>
            </w:rPr>
          </w:pPr>
          <w:hyperlink w:anchor="_Toc336331460" w:history="1">
            <w:r w:rsidRPr="00477A59">
              <w:rPr>
                <w:rStyle w:val="Hyperlink"/>
                <w:rFonts w:cs="Times New Roman"/>
              </w:rPr>
              <w:t>2.</w:t>
            </w:r>
            <w:r>
              <w:rPr>
                <w:rFonts w:asciiTheme="minorHAnsi" w:eastAsiaTheme="minorEastAsia" w:hAnsiTheme="minorHAnsi" w:cstheme="minorBidi"/>
                <w:b w:val="0"/>
                <w:sz w:val="22"/>
                <w:szCs w:val="22"/>
                <w:lang w:eastAsia="en-AU"/>
              </w:rPr>
              <w:tab/>
            </w:r>
            <w:r w:rsidRPr="00477A59">
              <w:rPr>
                <w:rStyle w:val="Hyperlink"/>
              </w:rPr>
              <w:t>Evidence from trucking businesses</w:t>
            </w:r>
            <w:r>
              <w:rPr>
                <w:webHidden/>
              </w:rPr>
              <w:tab/>
            </w:r>
            <w:r>
              <w:rPr>
                <w:webHidden/>
              </w:rPr>
              <w:fldChar w:fldCharType="begin"/>
            </w:r>
            <w:r>
              <w:rPr>
                <w:webHidden/>
              </w:rPr>
              <w:instrText xml:space="preserve"> PAGEREF _Toc336331460 \h </w:instrText>
            </w:r>
            <w:r>
              <w:rPr>
                <w:webHidden/>
              </w:rPr>
            </w:r>
            <w:r>
              <w:rPr>
                <w:webHidden/>
              </w:rPr>
              <w:fldChar w:fldCharType="separate"/>
            </w:r>
            <w:r w:rsidR="00AA06FD">
              <w:rPr>
                <w:webHidden/>
              </w:rPr>
              <w:t>6</w:t>
            </w:r>
            <w:r>
              <w:rPr>
                <w:webHidden/>
              </w:rPr>
              <w:fldChar w:fldCharType="end"/>
            </w:r>
          </w:hyperlink>
        </w:p>
        <w:p w:rsidR="00F90BA9" w:rsidRDefault="00F90BA9">
          <w:pPr>
            <w:pStyle w:val="TOC2"/>
            <w:rPr>
              <w:rFonts w:asciiTheme="minorHAnsi" w:eastAsiaTheme="minorEastAsia" w:hAnsiTheme="minorHAnsi" w:cstheme="minorBidi"/>
              <w:sz w:val="22"/>
              <w:lang w:eastAsia="en-AU" w:bidi="ar-SA"/>
            </w:rPr>
          </w:pPr>
          <w:hyperlink w:anchor="_Toc336331461" w:history="1">
            <w:r w:rsidRPr="00477A59">
              <w:rPr>
                <w:rStyle w:val="Hyperlink"/>
              </w:rPr>
              <w:t>Views about a cut to the company tax rate</w:t>
            </w:r>
            <w:r>
              <w:rPr>
                <w:webHidden/>
              </w:rPr>
              <w:tab/>
            </w:r>
            <w:r>
              <w:rPr>
                <w:webHidden/>
              </w:rPr>
              <w:fldChar w:fldCharType="begin"/>
            </w:r>
            <w:r>
              <w:rPr>
                <w:webHidden/>
              </w:rPr>
              <w:instrText xml:space="preserve"> PAGEREF _Toc336331461 \h </w:instrText>
            </w:r>
            <w:r>
              <w:rPr>
                <w:webHidden/>
              </w:rPr>
            </w:r>
            <w:r>
              <w:rPr>
                <w:webHidden/>
              </w:rPr>
              <w:fldChar w:fldCharType="separate"/>
            </w:r>
            <w:r w:rsidR="00AA06FD">
              <w:rPr>
                <w:webHidden/>
              </w:rPr>
              <w:t>6</w:t>
            </w:r>
            <w:r>
              <w:rPr>
                <w:webHidden/>
              </w:rPr>
              <w:fldChar w:fldCharType="end"/>
            </w:r>
          </w:hyperlink>
        </w:p>
        <w:p w:rsidR="00F90BA9" w:rsidRDefault="00F90BA9">
          <w:pPr>
            <w:pStyle w:val="TOC2"/>
            <w:rPr>
              <w:rFonts w:asciiTheme="minorHAnsi" w:eastAsiaTheme="minorEastAsia" w:hAnsiTheme="minorHAnsi" w:cstheme="minorBidi"/>
              <w:sz w:val="22"/>
              <w:lang w:eastAsia="en-AU" w:bidi="ar-SA"/>
            </w:rPr>
          </w:pPr>
          <w:hyperlink w:anchor="_Toc336331462" w:history="1">
            <w:r w:rsidRPr="00477A59">
              <w:rPr>
                <w:rStyle w:val="Hyperlink"/>
              </w:rPr>
              <w:t>Views about the impact of option B.6</w:t>
            </w:r>
            <w:r>
              <w:rPr>
                <w:webHidden/>
              </w:rPr>
              <w:tab/>
            </w:r>
            <w:r>
              <w:rPr>
                <w:webHidden/>
              </w:rPr>
              <w:fldChar w:fldCharType="begin"/>
            </w:r>
            <w:r>
              <w:rPr>
                <w:webHidden/>
              </w:rPr>
              <w:instrText xml:space="preserve"> PAGEREF _Toc336331462 \h </w:instrText>
            </w:r>
            <w:r>
              <w:rPr>
                <w:webHidden/>
              </w:rPr>
            </w:r>
            <w:r>
              <w:rPr>
                <w:webHidden/>
              </w:rPr>
              <w:fldChar w:fldCharType="separate"/>
            </w:r>
            <w:r w:rsidR="00AA06FD">
              <w:rPr>
                <w:webHidden/>
              </w:rPr>
              <w:t>7</w:t>
            </w:r>
            <w:r>
              <w:rPr>
                <w:webHidden/>
              </w:rPr>
              <w:fldChar w:fldCharType="end"/>
            </w:r>
          </w:hyperlink>
        </w:p>
        <w:p w:rsidR="00F90BA9" w:rsidRDefault="00F90BA9">
          <w:pPr>
            <w:pStyle w:val="TOC1"/>
            <w:tabs>
              <w:tab w:val="left" w:pos="442"/>
            </w:tabs>
            <w:rPr>
              <w:rFonts w:asciiTheme="minorHAnsi" w:eastAsiaTheme="minorEastAsia" w:hAnsiTheme="minorHAnsi" w:cstheme="minorBidi"/>
              <w:b w:val="0"/>
              <w:sz w:val="22"/>
              <w:szCs w:val="22"/>
              <w:lang w:eastAsia="en-AU"/>
            </w:rPr>
          </w:pPr>
          <w:hyperlink w:anchor="_Toc336331463" w:history="1">
            <w:r w:rsidRPr="00477A59">
              <w:rPr>
                <w:rStyle w:val="Hyperlink"/>
                <w:rFonts w:cs="Times New Roman"/>
              </w:rPr>
              <w:t>3.</w:t>
            </w:r>
            <w:r>
              <w:rPr>
                <w:rFonts w:asciiTheme="minorHAnsi" w:eastAsiaTheme="minorEastAsia" w:hAnsiTheme="minorHAnsi" w:cstheme="minorBidi"/>
                <w:b w:val="0"/>
                <w:sz w:val="22"/>
                <w:szCs w:val="22"/>
                <w:lang w:eastAsia="en-AU"/>
              </w:rPr>
              <w:tab/>
            </w:r>
            <w:r w:rsidRPr="00477A59">
              <w:rPr>
                <w:rStyle w:val="Hyperlink"/>
              </w:rPr>
              <w:t>Modelling the cash flow impact of option B.6</w:t>
            </w:r>
            <w:r>
              <w:rPr>
                <w:webHidden/>
              </w:rPr>
              <w:tab/>
            </w:r>
            <w:r>
              <w:rPr>
                <w:webHidden/>
              </w:rPr>
              <w:fldChar w:fldCharType="begin"/>
            </w:r>
            <w:r>
              <w:rPr>
                <w:webHidden/>
              </w:rPr>
              <w:instrText xml:space="preserve"> PAGEREF _Toc336331463 \h </w:instrText>
            </w:r>
            <w:r>
              <w:rPr>
                <w:webHidden/>
              </w:rPr>
            </w:r>
            <w:r>
              <w:rPr>
                <w:webHidden/>
              </w:rPr>
              <w:fldChar w:fldCharType="separate"/>
            </w:r>
            <w:r w:rsidR="00AA06FD">
              <w:rPr>
                <w:webHidden/>
              </w:rPr>
              <w:t>7</w:t>
            </w:r>
            <w:r>
              <w:rPr>
                <w:webHidden/>
              </w:rPr>
              <w:fldChar w:fldCharType="end"/>
            </w:r>
          </w:hyperlink>
        </w:p>
        <w:p w:rsidR="00F90BA9" w:rsidRDefault="00F90BA9">
          <w:pPr>
            <w:pStyle w:val="TOC2"/>
            <w:rPr>
              <w:rFonts w:asciiTheme="minorHAnsi" w:eastAsiaTheme="minorEastAsia" w:hAnsiTheme="minorHAnsi" w:cstheme="minorBidi"/>
              <w:sz w:val="22"/>
              <w:lang w:eastAsia="en-AU" w:bidi="ar-SA"/>
            </w:rPr>
          </w:pPr>
          <w:hyperlink w:anchor="_Toc336331464" w:history="1">
            <w:r w:rsidRPr="00477A59">
              <w:rPr>
                <w:rStyle w:val="Hyperlink"/>
              </w:rPr>
              <w:t>Modelling results: prime movers</w:t>
            </w:r>
            <w:r>
              <w:rPr>
                <w:webHidden/>
              </w:rPr>
              <w:tab/>
            </w:r>
            <w:r>
              <w:rPr>
                <w:webHidden/>
              </w:rPr>
              <w:fldChar w:fldCharType="begin"/>
            </w:r>
            <w:r>
              <w:rPr>
                <w:webHidden/>
              </w:rPr>
              <w:instrText xml:space="preserve"> PAGEREF _Toc336331464 \h </w:instrText>
            </w:r>
            <w:r>
              <w:rPr>
                <w:webHidden/>
              </w:rPr>
            </w:r>
            <w:r>
              <w:rPr>
                <w:webHidden/>
              </w:rPr>
              <w:fldChar w:fldCharType="separate"/>
            </w:r>
            <w:r w:rsidR="00AA06FD">
              <w:rPr>
                <w:webHidden/>
              </w:rPr>
              <w:t>8</w:t>
            </w:r>
            <w:r>
              <w:rPr>
                <w:webHidden/>
              </w:rPr>
              <w:fldChar w:fldCharType="end"/>
            </w:r>
          </w:hyperlink>
        </w:p>
        <w:p w:rsidR="00F90BA9" w:rsidRDefault="00F90BA9">
          <w:pPr>
            <w:pStyle w:val="TOC2"/>
            <w:rPr>
              <w:rFonts w:asciiTheme="minorHAnsi" w:eastAsiaTheme="minorEastAsia" w:hAnsiTheme="minorHAnsi" w:cstheme="minorBidi"/>
              <w:sz w:val="22"/>
              <w:lang w:eastAsia="en-AU" w:bidi="ar-SA"/>
            </w:rPr>
          </w:pPr>
          <w:hyperlink w:anchor="_Toc336331465" w:history="1">
            <w:r w:rsidRPr="00477A59">
              <w:rPr>
                <w:rStyle w:val="Hyperlink"/>
              </w:rPr>
              <w:t>Modelling results: rigid trucks</w:t>
            </w:r>
            <w:r>
              <w:rPr>
                <w:webHidden/>
              </w:rPr>
              <w:tab/>
            </w:r>
            <w:r>
              <w:rPr>
                <w:webHidden/>
              </w:rPr>
              <w:fldChar w:fldCharType="begin"/>
            </w:r>
            <w:r>
              <w:rPr>
                <w:webHidden/>
              </w:rPr>
              <w:instrText xml:space="preserve"> PAGEREF _Toc336331465 \h </w:instrText>
            </w:r>
            <w:r>
              <w:rPr>
                <w:webHidden/>
              </w:rPr>
            </w:r>
            <w:r>
              <w:rPr>
                <w:webHidden/>
              </w:rPr>
              <w:fldChar w:fldCharType="separate"/>
            </w:r>
            <w:r w:rsidR="00AA06FD">
              <w:rPr>
                <w:webHidden/>
              </w:rPr>
              <w:t>9</w:t>
            </w:r>
            <w:r>
              <w:rPr>
                <w:webHidden/>
              </w:rPr>
              <w:fldChar w:fldCharType="end"/>
            </w:r>
          </w:hyperlink>
        </w:p>
        <w:p w:rsidR="00F90BA9" w:rsidRDefault="00F90BA9">
          <w:pPr>
            <w:pStyle w:val="TOC2"/>
            <w:rPr>
              <w:rFonts w:asciiTheme="minorHAnsi" w:eastAsiaTheme="minorEastAsia" w:hAnsiTheme="minorHAnsi" w:cstheme="minorBidi"/>
              <w:sz w:val="22"/>
              <w:lang w:eastAsia="en-AU" w:bidi="ar-SA"/>
            </w:rPr>
          </w:pPr>
          <w:hyperlink w:anchor="_Toc336331466" w:history="1">
            <w:r w:rsidRPr="00477A59">
              <w:rPr>
                <w:rStyle w:val="Hyperlink"/>
              </w:rPr>
              <w:t>Implications of the modelling results</w:t>
            </w:r>
            <w:r>
              <w:rPr>
                <w:webHidden/>
              </w:rPr>
              <w:tab/>
            </w:r>
            <w:r>
              <w:rPr>
                <w:webHidden/>
              </w:rPr>
              <w:fldChar w:fldCharType="begin"/>
            </w:r>
            <w:r>
              <w:rPr>
                <w:webHidden/>
              </w:rPr>
              <w:instrText xml:space="preserve"> PAGEREF _Toc336331466 \h </w:instrText>
            </w:r>
            <w:r>
              <w:rPr>
                <w:webHidden/>
              </w:rPr>
            </w:r>
            <w:r>
              <w:rPr>
                <w:webHidden/>
              </w:rPr>
              <w:fldChar w:fldCharType="separate"/>
            </w:r>
            <w:r w:rsidR="00AA06FD">
              <w:rPr>
                <w:webHidden/>
              </w:rPr>
              <w:t>10</w:t>
            </w:r>
            <w:r>
              <w:rPr>
                <w:webHidden/>
              </w:rPr>
              <w:fldChar w:fldCharType="end"/>
            </w:r>
          </w:hyperlink>
        </w:p>
        <w:p w:rsidR="00F90BA9" w:rsidRDefault="00F90BA9">
          <w:pPr>
            <w:pStyle w:val="TOC1"/>
            <w:tabs>
              <w:tab w:val="left" w:pos="442"/>
            </w:tabs>
            <w:rPr>
              <w:rFonts w:asciiTheme="minorHAnsi" w:eastAsiaTheme="minorEastAsia" w:hAnsiTheme="minorHAnsi" w:cstheme="minorBidi"/>
              <w:b w:val="0"/>
              <w:sz w:val="22"/>
              <w:szCs w:val="22"/>
              <w:lang w:eastAsia="en-AU"/>
            </w:rPr>
          </w:pPr>
          <w:hyperlink w:anchor="_Toc336331467" w:history="1">
            <w:r w:rsidRPr="00477A59">
              <w:rPr>
                <w:rStyle w:val="Hyperlink"/>
                <w:rFonts w:cs="Times New Roman"/>
              </w:rPr>
              <w:t>4.</w:t>
            </w:r>
            <w:r>
              <w:rPr>
                <w:rFonts w:asciiTheme="minorHAnsi" w:eastAsiaTheme="minorEastAsia" w:hAnsiTheme="minorHAnsi" w:cstheme="minorBidi"/>
                <w:b w:val="0"/>
                <w:sz w:val="22"/>
                <w:szCs w:val="22"/>
                <w:lang w:eastAsia="en-AU"/>
              </w:rPr>
              <w:tab/>
            </w:r>
            <w:r w:rsidRPr="00477A59">
              <w:rPr>
                <w:rStyle w:val="Hyperlink"/>
              </w:rPr>
              <w:t>Impact on road safety and the environment</w:t>
            </w:r>
            <w:r>
              <w:rPr>
                <w:webHidden/>
              </w:rPr>
              <w:tab/>
            </w:r>
            <w:r>
              <w:rPr>
                <w:webHidden/>
              </w:rPr>
              <w:fldChar w:fldCharType="begin"/>
            </w:r>
            <w:r>
              <w:rPr>
                <w:webHidden/>
              </w:rPr>
              <w:instrText xml:space="preserve"> PAGEREF _Toc336331467 \h </w:instrText>
            </w:r>
            <w:r>
              <w:rPr>
                <w:webHidden/>
              </w:rPr>
            </w:r>
            <w:r>
              <w:rPr>
                <w:webHidden/>
              </w:rPr>
              <w:fldChar w:fldCharType="separate"/>
            </w:r>
            <w:r w:rsidR="00AA06FD">
              <w:rPr>
                <w:webHidden/>
              </w:rPr>
              <w:t>10</w:t>
            </w:r>
            <w:r>
              <w:rPr>
                <w:webHidden/>
              </w:rPr>
              <w:fldChar w:fldCharType="end"/>
            </w:r>
          </w:hyperlink>
        </w:p>
        <w:p w:rsidR="00F90BA9" w:rsidRDefault="00F90BA9">
          <w:pPr>
            <w:pStyle w:val="TOC2"/>
            <w:rPr>
              <w:rFonts w:asciiTheme="minorHAnsi" w:eastAsiaTheme="minorEastAsia" w:hAnsiTheme="minorHAnsi" w:cstheme="minorBidi"/>
              <w:sz w:val="22"/>
              <w:lang w:eastAsia="en-AU" w:bidi="ar-SA"/>
            </w:rPr>
          </w:pPr>
          <w:hyperlink w:anchor="_Toc336331468" w:history="1">
            <w:r w:rsidRPr="00477A59">
              <w:rPr>
                <w:rStyle w:val="Hyperlink"/>
              </w:rPr>
              <w:t>How truck safety standards and emissions are regulated</w:t>
            </w:r>
            <w:r>
              <w:rPr>
                <w:webHidden/>
              </w:rPr>
              <w:tab/>
            </w:r>
            <w:r>
              <w:rPr>
                <w:webHidden/>
              </w:rPr>
              <w:fldChar w:fldCharType="begin"/>
            </w:r>
            <w:r>
              <w:rPr>
                <w:webHidden/>
              </w:rPr>
              <w:instrText xml:space="preserve"> PAGEREF _Toc336331468 \h </w:instrText>
            </w:r>
            <w:r>
              <w:rPr>
                <w:webHidden/>
              </w:rPr>
            </w:r>
            <w:r>
              <w:rPr>
                <w:webHidden/>
              </w:rPr>
              <w:fldChar w:fldCharType="separate"/>
            </w:r>
            <w:r w:rsidR="00AA06FD">
              <w:rPr>
                <w:webHidden/>
              </w:rPr>
              <w:t>10</w:t>
            </w:r>
            <w:r>
              <w:rPr>
                <w:webHidden/>
              </w:rPr>
              <w:fldChar w:fldCharType="end"/>
            </w:r>
          </w:hyperlink>
        </w:p>
        <w:p w:rsidR="00F90BA9" w:rsidRDefault="00F90BA9">
          <w:pPr>
            <w:pStyle w:val="TOC2"/>
            <w:rPr>
              <w:rFonts w:asciiTheme="minorHAnsi" w:eastAsiaTheme="minorEastAsia" w:hAnsiTheme="minorHAnsi" w:cstheme="minorBidi"/>
              <w:sz w:val="22"/>
              <w:lang w:eastAsia="en-AU" w:bidi="ar-SA"/>
            </w:rPr>
          </w:pPr>
          <w:hyperlink w:anchor="_Toc336331469" w:history="1">
            <w:r w:rsidRPr="00477A59">
              <w:rPr>
                <w:rStyle w:val="Hyperlink"/>
              </w:rPr>
              <w:t>Age profile and turnover of the Australian truck fleet</w:t>
            </w:r>
            <w:r>
              <w:rPr>
                <w:webHidden/>
              </w:rPr>
              <w:tab/>
            </w:r>
            <w:r>
              <w:rPr>
                <w:webHidden/>
              </w:rPr>
              <w:fldChar w:fldCharType="begin"/>
            </w:r>
            <w:r>
              <w:rPr>
                <w:webHidden/>
              </w:rPr>
              <w:instrText xml:space="preserve"> PAGEREF _Toc336331469 \h </w:instrText>
            </w:r>
            <w:r>
              <w:rPr>
                <w:webHidden/>
              </w:rPr>
            </w:r>
            <w:r>
              <w:rPr>
                <w:webHidden/>
              </w:rPr>
              <w:fldChar w:fldCharType="separate"/>
            </w:r>
            <w:r w:rsidR="00AA06FD">
              <w:rPr>
                <w:webHidden/>
              </w:rPr>
              <w:t>11</w:t>
            </w:r>
            <w:r>
              <w:rPr>
                <w:webHidden/>
              </w:rPr>
              <w:fldChar w:fldCharType="end"/>
            </w:r>
          </w:hyperlink>
        </w:p>
        <w:p w:rsidR="00F90BA9" w:rsidRDefault="00F90BA9">
          <w:pPr>
            <w:pStyle w:val="TOC2"/>
            <w:rPr>
              <w:rFonts w:asciiTheme="minorHAnsi" w:eastAsiaTheme="minorEastAsia" w:hAnsiTheme="minorHAnsi" w:cstheme="minorBidi"/>
              <w:sz w:val="22"/>
              <w:lang w:eastAsia="en-AU" w:bidi="ar-SA"/>
            </w:rPr>
          </w:pPr>
          <w:hyperlink w:anchor="_Toc336331470" w:history="1">
            <w:r w:rsidRPr="00477A59">
              <w:rPr>
                <w:rStyle w:val="Hyperlink"/>
              </w:rPr>
              <w:t>Truck safety standards</w:t>
            </w:r>
            <w:r>
              <w:rPr>
                <w:webHidden/>
              </w:rPr>
              <w:tab/>
            </w:r>
            <w:r>
              <w:rPr>
                <w:webHidden/>
              </w:rPr>
              <w:fldChar w:fldCharType="begin"/>
            </w:r>
            <w:r>
              <w:rPr>
                <w:webHidden/>
              </w:rPr>
              <w:instrText xml:space="preserve"> PAGEREF _Toc336331470 \h </w:instrText>
            </w:r>
            <w:r>
              <w:rPr>
                <w:webHidden/>
              </w:rPr>
            </w:r>
            <w:r>
              <w:rPr>
                <w:webHidden/>
              </w:rPr>
              <w:fldChar w:fldCharType="separate"/>
            </w:r>
            <w:r w:rsidR="00AA06FD">
              <w:rPr>
                <w:webHidden/>
              </w:rPr>
              <w:t>11</w:t>
            </w:r>
            <w:r>
              <w:rPr>
                <w:webHidden/>
              </w:rPr>
              <w:fldChar w:fldCharType="end"/>
            </w:r>
          </w:hyperlink>
        </w:p>
        <w:p w:rsidR="00F90BA9" w:rsidRDefault="00F90BA9">
          <w:pPr>
            <w:pStyle w:val="TOC2"/>
            <w:rPr>
              <w:rFonts w:asciiTheme="minorHAnsi" w:eastAsiaTheme="minorEastAsia" w:hAnsiTheme="minorHAnsi" w:cstheme="minorBidi"/>
              <w:sz w:val="22"/>
              <w:lang w:eastAsia="en-AU" w:bidi="ar-SA"/>
            </w:rPr>
          </w:pPr>
          <w:hyperlink w:anchor="_Toc336331471" w:history="1">
            <w:r w:rsidRPr="00477A59">
              <w:rPr>
                <w:rStyle w:val="Hyperlink"/>
                <w:lang w:val="en-US"/>
              </w:rPr>
              <w:t>Emission standards</w:t>
            </w:r>
            <w:r>
              <w:rPr>
                <w:webHidden/>
              </w:rPr>
              <w:tab/>
            </w:r>
            <w:r>
              <w:rPr>
                <w:webHidden/>
              </w:rPr>
              <w:fldChar w:fldCharType="begin"/>
            </w:r>
            <w:r>
              <w:rPr>
                <w:webHidden/>
              </w:rPr>
              <w:instrText xml:space="preserve"> PAGEREF _Toc336331471 \h </w:instrText>
            </w:r>
            <w:r>
              <w:rPr>
                <w:webHidden/>
              </w:rPr>
            </w:r>
            <w:r>
              <w:rPr>
                <w:webHidden/>
              </w:rPr>
              <w:fldChar w:fldCharType="separate"/>
            </w:r>
            <w:r w:rsidR="00AA06FD">
              <w:rPr>
                <w:webHidden/>
              </w:rPr>
              <w:t>13</w:t>
            </w:r>
            <w:r>
              <w:rPr>
                <w:webHidden/>
              </w:rPr>
              <w:fldChar w:fldCharType="end"/>
            </w:r>
          </w:hyperlink>
        </w:p>
        <w:p w:rsidR="00F90BA9" w:rsidRDefault="00F90BA9">
          <w:pPr>
            <w:pStyle w:val="TOC1"/>
            <w:tabs>
              <w:tab w:val="left" w:pos="442"/>
            </w:tabs>
            <w:rPr>
              <w:rFonts w:asciiTheme="minorHAnsi" w:eastAsiaTheme="minorEastAsia" w:hAnsiTheme="minorHAnsi" w:cstheme="minorBidi"/>
              <w:b w:val="0"/>
              <w:sz w:val="22"/>
              <w:szCs w:val="22"/>
              <w:lang w:eastAsia="en-AU"/>
            </w:rPr>
          </w:pPr>
          <w:hyperlink w:anchor="_Toc336331472" w:history="1">
            <w:r w:rsidRPr="00477A59">
              <w:rPr>
                <w:rStyle w:val="Hyperlink"/>
                <w:rFonts w:cs="Times New Roman"/>
              </w:rPr>
              <w:t>5.</w:t>
            </w:r>
            <w:r>
              <w:rPr>
                <w:rFonts w:asciiTheme="minorHAnsi" w:eastAsiaTheme="minorEastAsia" w:hAnsiTheme="minorHAnsi" w:cstheme="minorBidi"/>
                <w:b w:val="0"/>
                <w:sz w:val="22"/>
                <w:szCs w:val="22"/>
                <w:lang w:eastAsia="en-AU"/>
              </w:rPr>
              <w:tab/>
            </w:r>
            <w:r w:rsidRPr="00477A59">
              <w:rPr>
                <w:rStyle w:val="Hyperlink"/>
              </w:rPr>
              <w:t>Conclusion</w:t>
            </w:r>
            <w:r>
              <w:rPr>
                <w:webHidden/>
              </w:rPr>
              <w:tab/>
            </w:r>
            <w:r>
              <w:rPr>
                <w:webHidden/>
              </w:rPr>
              <w:fldChar w:fldCharType="begin"/>
            </w:r>
            <w:r>
              <w:rPr>
                <w:webHidden/>
              </w:rPr>
              <w:instrText xml:space="preserve"> PAGEREF _Toc336331472 \h </w:instrText>
            </w:r>
            <w:r>
              <w:rPr>
                <w:webHidden/>
              </w:rPr>
            </w:r>
            <w:r>
              <w:rPr>
                <w:webHidden/>
              </w:rPr>
              <w:fldChar w:fldCharType="separate"/>
            </w:r>
            <w:r w:rsidR="00AA06FD">
              <w:rPr>
                <w:webHidden/>
              </w:rPr>
              <w:t>14</w:t>
            </w:r>
            <w:r>
              <w:rPr>
                <w:webHidden/>
              </w:rPr>
              <w:fldChar w:fldCharType="end"/>
            </w:r>
          </w:hyperlink>
        </w:p>
        <w:p w:rsidR="00F90BA9" w:rsidRDefault="00F90BA9">
          <w:pPr>
            <w:pStyle w:val="TOC1"/>
            <w:rPr>
              <w:rFonts w:asciiTheme="minorHAnsi" w:eastAsiaTheme="minorEastAsia" w:hAnsiTheme="minorHAnsi" w:cstheme="minorBidi"/>
              <w:b w:val="0"/>
              <w:sz w:val="22"/>
              <w:szCs w:val="22"/>
              <w:lang w:eastAsia="en-AU"/>
            </w:rPr>
          </w:pPr>
          <w:hyperlink w:anchor="_Toc336331473" w:history="1">
            <w:r w:rsidRPr="00477A59">
              <w:rPr>
                <w:rStyle w:val="Hyperlink"/>
              </w:rPr>
              <w:t>Attachment A: effective life of trucks questionnaire</w:t>
            </w:r>
            <w:r>
              <w:rPr>
                <w:webHidden/>
              </w:rPr>
              <w:tab/>
            </w:r>
            <w:r>
              <w:rPr>
                <w:webHidden/>
              </w:rPr>
              <w:fldChar w:fldCharType="begin"/>
            </w:r>
            <w:r>
              <w:rPr>
                <w:webHidden/>
              </w:rPr>
              <w:instrText xml:space="preserve"> PAGEREF _Toc336331473 \h </w:instrText>
            </w:r>
            <w:r>
              <w:rPr>
                <w:webHidden/>
              </w:rPr>
            </w:r>
            <w:r>
              <w:rPr>
                <w:webHidden/>
              </w:rPr>
              <w:fldChar w:fldCharType="separate"/>
            </w:r>
            <w:r w:rsidR="00AA06FD">
              <w:rPr>
                <w:webHidden/>
              </w:rPr>
              <w:t>16</w:t>
            </w:r>
            <w:r>
              <w:rPr>
                <w:webHidden/>
              </w:rPr>
              <w:fldChar w:fldCharType="end"/>
            </w:r>
          </w:hyperlink>
        </w:p>
        <w:p w:rsidR="00C43E03" w:rsidRDefault="00AB46E4">
          <w:r>
            <w:fldChar w:fldCharType="end"/>
          </w:r>
        </w:p>
      </w:sdtContent>
    </w:sdt>
    <w:p w:rsidR="00742A10" w:rsidRDefault="00742A10">
      <w:pPr>
        <w:rPr>
          <w:rFonts w:ascii="Arial" w:hAnsi="Arial" w:cs="Arial"/>
          <w:sz w:val="20"/>
          <w:szCs w:val="20"/>
        </w:rPr>
      </w:pPr>
      <w:r>
        <w:rPr>
          <w:rFonts w:ascii="Arial" w:hAnsi="Arial" w:cs="Arial"/>
          <w:sz w:val="20"/>
          <w:szCs w:val="20"/>
        </w:rPr>
        <w:br w:type="page"/>
      </w:r>
    </w:p>
    <w:p w:rsidR="006E0763" w:rsidRPr="00D709FD" w:rsidRDefault="006E0763" w:rsidP="006E0763">
      <w:pPr>
        <w:pStyle w:val="Heading1"/>
        <w:numPr>
          <w:ilvl w:val="0"/>
          <w:numId w:val="0"/>
        </w:numPr>
        <w:ind w:left="360" w:hanging="360"/>
        <w:rPr>
          <w:sz w:val="22"/>
          <w:szCs w:val="22"/>
        </w:rPr>
      </w:pPr>
      <w:bookmarkStart w:id="0" w:name="_Toc336331457"/>
      <w:r w:rsidRPr="00D709FD">
        <w:rPr>
          <w:sz w:val="22"/>
          <w:szCs w:val="22"/>
        </w:rPr>
        <w:lastRenderedPageBreak/>
        <w:t>About the Australian Trucking Association</w:t>
      </w:r>
      <w:bookmarkEnd w:id="0"/>
    </w:p>
    <w:p w:rsidR="006E0763" w:rsidRPr="00740005" w:rsidRDefault="006E0763" w:rsidP="006E0763">
      <w:pPr>
        <w:rPr>
          <w:rFonts w:ascii="Arial" w:hAnsi="Arial" w:cs="Arial"/>
          <w:sz w:val="20"/>
          <w:szCs w:val="20"/>
        </w:rPr>
      </w:pPr>
    </w:p>
    <w:p w:rsidR="006E0763" w:rsidRPr="00740005" w:rsidRDefault="006E0763" w:rsidP="006E0763">
      <w:pPr>
        <w:autoSpaceDE w:val="0"/>
        <w:autoSpaceDN w:val="0"/>
        <w:adjustRightInd w:val="0"/>
        <w:rPr>
          <w:rFonts w:ascii="Arial" w:hAnsi="Arial" w:cs="Arial"/>
          <w:sz w:val="20"/>
          <w:szCs w:val="20"/>
          <w:lang w:val="en-US"/>
        </w:rPr>
      </w:pPr>
      <w:r>
        <w:rPr>
          <w:rFonts w:ascii="Arial" w:hAnsi="Arial" w:cs="Arial"/>
          <w:sz w:val="20"/>
          <w:szCs w:val="20"/>
          <w:lang w:val="en-US"/>
        </w:rPr>
        <w:t>The Australian Trucking Association is the peak body representing trucking operators. The ATA’s direct members include state and sector trucking associations, some of Australia’s major logistics companies and businesses with leading expertise in truck technology.</w:t>
      </w:r>
    </w:p>
    <w:p w:rsidR="006E0763" w:rsidRDefault="006E0763" w:rsidP="006E0763">
      <w:pPr>
        <w:rPr>
          <w:rFonts w:ascii="Arial" w:hAnsi="Arial" w:cs="Arial"/>
          <w:sz w:val="20"/>
          <w:szCs w:val="20"/>
        </w:rPr>
      </w:pPr>
    </w:p>
    <w:p w:rsidR="006E0763" w:rsidRPr="00740005" w:rsidRDefault="006E0763" w:rsidP="006E0763">
      <w:pPr>
        <w:rPr>
          <w:rFonts w:ascii="Arial" w:hAnsi="Arial" w:cs="Arial"/>
          <w:sz w:val="20"/>
          <w:szCs w:val="20"/>
        </w:rPr>
      </w:pPr>
      <w:r>
        <w:rPr>
          <w:rFonts w:ascii="Arial" w:hAnsi="Arial" w:cs="Arial"/>
          <w:sz w:val="20"/>
          <w:szCs w:val="20"/>
        </w:rPr>
        <w:t>In total, the ATA represents many thousands of trucking businesses, both large and small.</w:t>
      </w:r>
    </w:p>
    <w:p w:rsidR="006E0763" w:rsidRDefault="006E0763">
      <w:pPr>
        <w:rPr>
          <w:rFonts w:ascii="Arial" w:hAnsi="Arial" w:cs="Arial"/>
          <w:b/>
          <w:color w:val="000064"/>
        </w:rPr>
      </w:pPr>
      <w:r>
        <w:br w:type="page"/>
      </w:r>
    </w:p>
    <w:p w:rsidR="00742A10" w:rsidRPr="00742A10" w:rsidRDefault="006E0763" w:rsidP="006E0763">
      <w:pPr>
        <w:pStyle w:val="Heading1"/>
        <w:numPr>
          <w:ilvl w:val="0"/>
          <w:numId w:val="0"/>
        </w:numPr>
        <w:ind w:left="360" w:hanging="360"/>
        <w:rPr>
          <w:sz w:val="22"/>
          <w:szCs w:val="22"/>
        </w:rPr>
      </w:pPr>
      <w:bookmarkStart w:id="1" w:name="_Toc336331458"/>
      <w:r>
        <w:rPr>
          <w:sz w:val="22"/>
          <w:szCs w:val="22"/>
        </w:rPr>
        <w:lastRenderedPageBreak/>
        <w:t>S</w:t>
      </w:r>
      <w:r w:rsidR="00742A10" w:rsidRPr="00742A10">
        <w:rPr>
          <w:sz w:val="22"/>
          <w:szCs w:val="22"/>
        </w:rPr>
        <w:t>ummary</w:t>
      </w:r>
      <w:bookmarkEnd w:id="1"/>
    </w:p>
    <w:p w:rsidR="0035493A" w:rsidRDefault="0035493A">
      <w:pPr>
        <w:rPr>
          <w:rFonts w:ascii="Arial" w:hAnsi="Arial" w:cs="Arial"/>
          <w:sz w:val="20"/>
          <w:szCs w:val="20"/>
        </w:rPr>
      </w:pPr>
    </w:p>
    <w:p w:rsidR="00DE56C8" w:rsidRDefault="00DE56C8" w:rsidP="00DE56C8">
      <w:pPr>
        <w:rPr>
          <w:rFonts w:ascii="Arial" w:hAnsi="Arial" w:cs="Arial"/>
          <w:sz w:val="20"/>
          <w:szCs w:val="20"/>
        </w:rPr>
      </w:pPr>
      <w:r>
        <w:rPr>
          <w:rFonts w:ascii="Arial" w:hAnsi="Arial" w:cs="Arial"/>
          <w:sz w:val="20"/>
          <w:szCs w:val="20"/>
        </w:rPr>
        <w:t>On 13 August 2012, the Business Tax Working Group (BTWG) released a discussion paper proposing that the company tax rate should be reduced from 30 to 25 per cent in the short to medium term. Its terms of reference required it to put forward savings to fully offset the cost of the rate cut,</w:t>
      </w:r>
      <w:r w:rsidR="0083157E">
        <w:rPr>
          <w:rFonts w:ascii="Arial" w:hAnsi="Arial" w:cs="Arial"/>
          <w:sz w:val="20"/>
          <w:szCs w:val="20"/>
        </w:rPr>
        <w:t xml:space="preserve"> estimated at $26 billion over the forward estimates</w:t>
      </w:r>
      <w:r>
        <w:rPr>
          <w:rFonts w:ascii="Arial" w:hAnsi="Arial" w:cs="Arial"/>
          <w:sz w:val="20"/>
          <w:szCs w:val="20"/>
        </w:rPr>
        <w:t>.</w:t>
      </w:r>
    </w:p>
    <w:p w:rsidR="00DE56C8" w:rsidRDefault="00DE56C8" w:rsidP="00DE56C8">
      <w:pPr>
        <w:rPr>
          <w:rFonts w:ascii="Arial" w:hAnsi="Arial" w:cs="Arial"/>
          <w:sz w:val="20"/>
          <w:szCs w:val="20"/>
        </w:rPr>
      </w:pPr>
    </w:p>
    <w:p w:rsidR="00DE56C8" w:rsidRDefault="00DE56C8" w:rsidP="00DE56C8">
      <w:pPr>
        <w:rPr>
          <w:rFonts w:ascii="Arial" w:hAnsi="Arial" w:cs="Arial"/>
          <w:sz w:val="20"/>
          <w:szCs w:val="20"/>
        </w:rPr>
      </w:pPr>
      <w:r>
        <w:rPr>
          <w:rFonts w:ascii="Arial" w:hAnsi="Arial" w:cs="Arial"/>
          <w:sz w:val="20"/>
          <w:szCs w:val="20"/>
        </w:rPr>
        <w:t xml:space="preserve">One of </w:t>
      </w:r>
      <w:r w:rsidR="005E45E3">
        <w:rPr>
          <w:rFonts w:ascii="Arial" w:hAnsi="Arial" w:cs="Arial"/>
          <w:sz w:val="20"/>
          <w:szCs w:val="20"/>
        </w:rPr>
        <w:t xml:space="preserve">the </w:t>
      </w:r>
      <w:r>
        <w:rPr>
          <w:rFonts w:ascii="Arial" w:hAnsi="Arial" w:cs="Arial"/>
          <w:sz w:val="20"/>
          <w:szCs w:val="20"/>
        </w:rPr>
        <w:t>options</w:t>
      </w:r>
      <w:r w:rsidR="005E45E3">
        <w:rPr>
          <w:rFonts w:ascii="Arial" w:hAnsi="Arial" w:cs="Arial"/>
          <w:sz w:val="20"/>
          <w:szCs w:val="20"/>
        </w:rPr>
        <w:t xml:space="preserve"> in the paper</w:t>
      </w:r>
      <w:r>
        <w:rPr>
          <w:rFonts w:ascii="Arial" w:hAnsi="Arial" w:cs="Arial"/>
          <w:sz w:val="20"/>
          <w:szCs w:val="20"/>
        </w:rPr>
        <w:t xml:space="preserve">, option B.6, would be to remove the statutory effective life caps for </w:t>
      </w:r>
      <w:r w:rsidR="0083157E">
        <w:rPr>
          <w:rFonts w:ascii="Arial" w:hAnsi="Arial" w:cs="Arial"/>
          <w:sz w:val="20"/>
          <w:szCs w:val="20"/>
        </w:rPr>
        <w:t xml:space="preserve">depreciating </w:t>
      </w:r>
      <w:r>
        <w:rPr>
          <w:rFonts w:ascii="Arial" w:hAnsi="Arial" w:cs="Arial"/>
          <w:sz w:val="20"/>
          <w:szCs w:val="20"/>
        </w:rPr>
        <w:t xml:space="preserve">a range of transport assets, including aircraft, buses, ships, and trucks and trailers. </w:t>
      </w:r>
      <w:r w:rsidR="005E45E3">
        <w:rPr>
          <w:rFonts w:ascii="Arial" w:hAnsi="Arial" w:cs="Arial"/>
          <w:sz w:val="20"/>
          <w:szCs w:val="20"/>
        </w:rPr>
        <w:t>Removing the caps on trucks and trailers would sa</w:t>
      </w:r>
      <w:r w:rsidR="0083157E">
        <w:rPr>
          <w:rFonts w:ascii="Arial" w:hAnsi="Arial" w:cs="Arial"/>
          <w:sz w:val="20"/>
          <w:szCs w:val="20"/>
        </w:rPr>
        <w:t xml:space="preserve">ve $205 million over four years – </w:t>
      </w:r>
      <w:r w:rsidR="005E45E3">
        <w:rPr>
          <w:rFonts w:ascii="Arial" w:hAnsi="Arial" w:cs="Arial"/>
          <w:sz w:val="20"/>
          <w:szCs w:val="20"/>
        </w:rPr>
        <w:t xml:space="preserve">0.8 per cent of the savings </w:t>
      </w:r>
      <w:r w:rsidR="0083157E">
        <w:rPr>
          <w:rFonts w:ascii="Arial" w:hAnsi="Arial" w:cs="Arial"/>
          <w:sz w:val="20"/>
          <w:szCs w:val="20"/>
        </w:rPr>
        <w:t>required</w:t>
      </w:r>
      <w:r w:rsidR="005E45E3">
        <w:rPr>
          <w:rFonts w:ascii="Arial" w:hAnsi="Arial" w:cs="Arial"/>
          <w:sz w:val="20"/>
          <w:szCs w:val="20"/>
        </w:rPr>
        <w:t>.</w:t>
      </w:r>
    </w:p>
    <w:p w:rsidR="00DE56C8" w:rsidRDefault="00DE56C8" w:rsidP="00DE56C8">
      <w:pPr>
        <w:rPr>
          <w:rFonts w:ascii="Arial" w:hAnsi="Arial" w:cs="Arial"/>
          <w:sz w:val="20"/>
          <w:szCs w:val="20"/>
        </w:rPr>
      </w:pPr>
    </w:p>
    <w:p w:rsidR="00DE56C8" w:rsidRDefault="00DE56C8" w:rsidP="00DE56C8">
      <w:pPr>
        <w:rPr>
          <w:rFonts w:ascii="Arial" w:hAnsi="Arial" w:cs="Arial"/>
          <w:sz w:val="20"/>
          <w:szCs w:val="20"/>
        </w:rPr>
      </w:pPr>
      <w:r>
        <w:rPr>
          <w:rFonts w:ascii="Arial" w:hAnsi="Arial" w:cs="Arial"/>
          <w:sz w:val="20"/>
          <w:szCs w:val="20"/>
        </w:rPr>
        <w:t xml:space="preserve">This submission </w:t>
      </w:r>
      <w:r w:rsidR="002961C4">
        <w:rPr>
          <w:rFonts w:ascii="Arial" w:hAnsi="Arial" w:cs="Arial"/>
          <w:sz w:val="20"/>
          <w:szCs w:val="20"/>
        </w:rPr>
        <w:t>uses industry evidence and financial modelling to show</w:t>
      </w:r>
      <w:r>
        <w:rPr>
          <w:rFonts w:ascii="Arial" w:hAnsi="Arial" w:cs="Arial"/>
          <w:sz w:val="20"/>
          <w:szCs w:val="20"/>
        </w:rPr>
        <w:t xml:space="preserve"> that removing the statutory effective life caps on trucks and trailers</w:t>
      </w:r>
      <w:r w:rsidR="002961C4">
        <w:rPr>
          <w:rFonts w:ascii="Arial" w:hAnsi="Arial" w:cs="Arial"/>
          <w:sz w:val="20"/>
          <w:szCs w:val="20"/>
        </w:rPr>
        <w:t xml:space="preserve"> </w:t>
      </w:r>
      <w:r>
        <w:rPr>
          <w:rFonts w:ascii="Arial" w:hAnsi="Arial" w:cs="Arial"/>
          <w:sz w:val="20"/>
          <w:szCs w:val="20"/>
        </w:rPr>
        <w:t xml:space="preserve">would impose a </w:t>
      </w:r>
      <w:r w:rsidR="00315B33">
        <w:rPr>
          <w:rFonts w:ascii="Arial" w:hAnsi="Arial" w:cs="Arial"/>
          <w:sz w:val="20"/>
          <w:szCs w:val="20"/>
        </w:rPr>
        <w:t xml:space="preserve">significant </w:t>
      </w:r>
      <w:r>
        <w:rPr>
          <w:rFonts w:ascii="Arial" w:hAnsi="Arial" w:cs="Arial"/>
          <w:sz w:val="20"/>
          <w:szCs w:val="20"/>
        </w:rPr>
        <w:t xml:space="preserve">cash flow burden on </w:t>
      </w:r>
      <w:r w:rsidR="002961C4">
        <w:rPr>
          <w:rFonts w:ascii="Arial" w:hAnsi="Arial" w:cs="Arial"/>
          <w:sz w:val="20"/>
          <w:szCs w:val="20"/>
        </w:rPr>
        <w:t xml:space="preserve">trucking businesses, </w:t>
      </w:r>
      <w:r>
        <w:rPr>
          <w:rFonts w:ascii="Arial" w:hAnsi="Arial" w:cs="Arial"/>
          <w:sz w:val="20"/>
          <w:szCs w:val="20"/>
        </w:rPr>
        <w:t>despite the proposed cut in the company tax rate.</w:t>
      </w:r>
    </w:p>
    <w:p w:rsidR="00DE56C8" w:rsidRDefault="00DE56C8" w:rsidP="00DE56C8">
      <w:pPr>
        <w:rPr>
          <w:rFonts w:ascii="Arial" w:hAnsi="Arial" w:cs="Arial"/>
          <w:sz w:val="20"/>
          <w:szCs w:val="20"/>
        </w:rPr>
      </w:pPr>
    </w:p>
    <w:p w:rsidR="00DE56C8" w:rsidRDefault="00A71544" w:rsidP="00DE56C8">
      <w:pPr>
        <w:rPr>
          <w:rFonts w:ascii="Arial" w:hAnsi="Arial" w:cs="Arial"/>
          <w:sz w:val="20"/>
          <w:szCs w:val="20"/>
        </w:rPr>
      </w:pPr>
      <w:r>
        <w:rPr>
          <w:rFonts w:ascii="Arial" w:hAnsi="Arial" w:cs="Arial"/>
          <w:sz w:val="20"/>
          <w:szCs w:val="20"/>
        </w:rPr>
        <w:t>T</w:t>
      </w:r>
      <w:r w:rsidR="00DE56C8">
        <w:rPr>
          <w:rFonts w:ascii="Arial" w:hAnsi="Arial" w:cs="Arial"/>
          <w:sz w:val="20"/>
          <w:szCs w:val="20"/>
        </w:rPr>
        <w:t xml:space="preserve">he cash flow </w:t>
      </w:r>
      <w:r w:rsidR="002961C4">
        <w:rPr>
          <w:rFonts w:ascii="Arial" w:hAnsi="Arial" w:cs="Arial"/>
          <w:sz w:val="20"/>
          <w:szCs w:val="20"/>
        </w:rPr>
        <w:t xml:space="preserve">gap </w:t>
      </w:r>
      <w:r w:rsidR="00DE56C8">
        <w:rPr>
          <w:rFonts w:ascii="Arial" w:hAnsi="Arial" w:cs="Arial"/>
          <w:sz w:val="20"/>
          <w:szCs w:val="20"/>
        </w:rPr>
        <w:t xml:space="preserve">would </w:t>
      </w:r>
      <w:r w:rsidR="00315B33">
        <w:rPr>
          <w:rFonts w:ascii="Arial" w:hAnsi="Arial" w:cs="Arial"/>
          <w:sz w:val="20"/>
          <w:szCs w:val="20"/>
        </w:rPr>
        <w:t>be $4,</w:t>
      </w:r>
      <w:r w:rsidR="00DE56C8">
        <w:rPr>
          <w:rFonts w:ascii="Arial" w:hAnsi="Arial" w:cs="Arial"/>
          <w:sz w:val="20"/>
          <w:szCs w:val="20"/>
        </w:rPr>
        <w:t xml:space="preserve">163 per year for each </w:t>
      </w:r>
      <w:r w:rsidR="00315B33">
        <w:rPr>
          <w:rFonts w:ascii="Arial" w:hAnsi="Arial" w:cs="Arial"/>
          <w:sz w:val="20"/>
          <w:szCs w:val="20"/>
        </w:rPr>
        <w:t xml:space="preserve">typical </w:t>
      </w:r>
      <w:r w:rsidR="00DE56C8">
        <w:rPr>
          <w:rFonts w:ascii="Arial" w:hAnsi="Arial" w:cs="Arial"/>
          <w:sz w:val="20"/>
          <w:szCs w:val="20"/>
        </w:rPr>
        <w:t>prime mover.</w:t>
      </w:r>
    </w:p>
    <w:p w:rsidR="00DE56C8" w:rsidRDefault="00DE56C8" w:rsidP="00DE56C8">
      <w:pPr>
        <w:rPr>
          <w:rFonts w:ascii="Arial" w:hAnsi="Arial" w:cs="Arial"/>
          <w:sz w:val="20"/>
          <w:szCs w:val="20"/>
        </w:rPr>
      </w:pPr>
    </w:p>
    <w:p w:rsidR="00DE56C8" w:rsidRDefault="00315B33" w:rsidP="00DE56C8">
      <w:pPr>
        <w:rPr>
          <w:rFonts w:ascii="Arial" w:hAnsi="Arial" w:cs="Arial"/>
          <w:sz w:val="20"/>
          <w:szCs w:val="20"/>
        </w:rPr>
      </w:pPr>
      <w:r>
        <w:rPr>
          <w:rFonts w:ascii="Arial" w:hAnsi="Arial" w:cs="Arial"/>
          <w:sz w:val="20"/>
          <w:szCs w:val="20"/>
        </w:rPr>
        <w:t>T</w:t>
      </w:r>
      <w:r w:rsidR="00A71544">
        <w:rPr>
          <w:rFonts w:ascii="Arial" w:hAnsi="Arial" w:cs="Arial"/>
          <w:sz w:val="20"/>
          <w:szCs w:val="20"/>
        </w:rPr>
        <w:t>his</w:t>
      </w:r>
      <w:r w:rsidR="00DE56C8">
        <w:rPr>
          <w:rFonts w:ascii="Arial" w:hAnsi="Arial" w:cs="Arial"/>
          <w:sz w:val="20"/>
          <w:szCs w:val="20"/>
        </w:rPr>
        <w:t xml:space="preserve"> cash flow gap would reduce operators’ ability to purchase new trucks and renew their fleets with the latest equipment.</w:t>
      </w:r>
    </w:p>
    <w:p w:rsidR="00DE56C8" w:rsidRDefault="00DE56C8" w:rsidP="00DE56C8">
      <w:pPr>
        <w:pStyle w:val="Standard"/>
        <w:rPr>
          <w:rFonts w:ascii="Arial" w:hAnsi="Arial" w:cs="Arial"/>
          <w:b/>
          <w:sz w:val="20"/>
          <w:szCs w:val="20"/>
          <w:lang w:val="en-US"/>
        </w:rPr>
      </w:pPr>
    </w:p>
    <w:p w:rsidR="00DE56C8" w:rsidRDefault="00DE56C8" w:rsidP="00DE56C8">
      <w:pPr>
        <w:pStyle w:val="Standard"/>
        <w:rPr>
          <w:rFonts w:ascii="Arial" w:hAnsi="Arial" w:cs="Arial"/>
          <w:sz w:val="20"/>
          <w:szCs w:val="20"/>
          <w:lang w:val="en-US"/>
        </w:rPr>
      </w:pPr>
      <w:r>
        <w:rPr>
          <w:rFonts w:ascii="Arial" w:hAnsi="Arial" w:cs="Arial"/>
          <w:sz w:val="20"/>
          <w:szCs w:val="20"/>
          <w:lang w:val="en-US"/>
        </w:rPr>
        <w:t xml:space="preserve">Vehicle safety and emission standards are imposed on </w:t>
      </w:r>
      <w:r w:rsidR="002961C4">
        <w:rPr>
          <w:rFonts w:ascii="Arial" w:hAnsi="Arial" w:cs="Arial"/>
          <w:sz w:val="20"/>
          <w:szCs w:val="20"/>
          <w:lang w:val="en-US"/>
        </w:rPr>
        <w:t xml:space="preserve">new </w:t>
      </w:r>
      <w:r>
        <w:rPr>
          <w:rFonts w:ascii="Arial" w:hAnsi="Arial" w:cs="Arial"/>
          <w:sz w:val="20"/>
          <w:szCs w:val="20"/>
          <w:lang w:val="en-US"/>
        </w:rPr>
        <w:t>trucks</w:t>
      </w:r>
      <w:r w:rsidR="002961C4">
        <w:rPr>
          <w:rFonts w:ascii="Arial" w:hAnsi="Arial" w:cs="Arial"/>
          <w:sz w:val="20"/>
          <w:szCs w:val="20"/>
          <w:lang w:val="en-US"/>
        </w:rPr>
        <w:t>,</w:t>
      </w:r>
      <w:r>
        <w:rPr>
          <w:rFonts w:ascii="Arial" w:hAnsi="Arial" w:cs="Arial"/>
          <w:sz w:val="20"/>
          <w:szCs w:val="20"/>
          <w:lang w:val="en-US"/>
        </w:rPr>
        <w:t xml:space="preserve"> not on all trucks in service. As a result, slowing the rate of new truck purchases would slow the rate that safety and environmental standards are rolled out across Australia’s truck fleet.</w:t>
      </w:r>
    </w:p>
    <w:p w:rsidR="00DE56C8" w:rsidRDefault="00DE56C8" w:rsidP="00DE56C8">
      <w:pPr>
        <w:pStyle w:val="Standard"/>
        <w:rPr>
          <w:rFonts w:ascii="Arial" w:hAnsi="Arial" w:cs="Arial"/>
          <w:sz w:val="20"/>
          <w:szCs w:val="20"/>
          <w:lang w:val="en-US"/>
        </w:rPr>
      </w:pPr>
    </w:p>
    <w:p w:rsidR="00D26B30" w:rsidRDefault="00D26B30" w:rsidP="00D26B30">
      <w:pPr>
        <w:pStyle w:val="Standard"/>
        <w:rPr>
          <w:rFonts w:ascii="Arial" w:hAnsi="Arial" w:cs="Arial"/>
          <w:sz w:val="20"/>
          <w:szCs w:val="20"/>
          <w:lang w:val="en-US"/>
        </w:rPr>
      </w:pPr>
      <w:r>
        <w:rPr>
          <w:rFonts w:ascii="Arial" w:hAnsi="Arial" w:cs="Arial"/>
          <w:sz w:val="20"/>
          <w:szCs w:val="20"/>
          <w:lang w:val="en-US"/>
        </w:rPr>
        <w:t>These standards aim to reduce the $17.85 billion yearly cost of road accidents and the $2.7 billion yearly cost of motor vehicle pollution. Slowing the rollout would delay their economic benefits, and would also conflict with existing Government policy.</w:t>
      </w:r>
    </w:p>
    <w:p w:rsidR="00D26B30" w:rsidRDefault="00D26B30" w:rsidP="00D26B30">
      <w:pPr>
        <w:pStyle w:val="Standard"/>
        <w:rPr>
          <w:rFonts w:ascii="Arial" w:hAnsi="Arial" w:cs="Arial"/>
          <w:sz w:val="20"/>
          <w:szCs w:val="20"/>
          <w:lang w:val="en-US"/>
        </w:rPr>
      </w:pPr>
    </w:p>
    <w:p w:rsidR="00D26B30" w:rsidRDefault="00D26B30" w:rsidP="00D26B30">
      <w:pPr>
        <w:pStyle w:val="Standard"/>
        <w:rPr>
          <w:rFonts w:ascii="Arial" w:hAnsi="Arial" w:cs="Arial"/>
          <w:sz w:val="20"/>
          <w:szCs w:val="20"/>
          <w:lang w:val="en-US"/>
        </w:rPr>
      </w:pPr>
      <w:r>
        <w:rPr>
          <w:rFonts w:ascii="Arial" w:hAnsi="Arial" w:cs="Arial"/>
          <w:sz w:val="20"/>
          <w:szCs w:val="20"/>
          <w:lang w:val="en-US"/>
        </w:rPr>
        <w:t xml:space="preserve">There are, in short, </w:t>
      </w:r>
      <w:r w:rsidR="00D8184D">
        <w:rPr>
          <w:rFonts w:ascii="Arial" w:hAnsi="Arial" w:cs="Arial"/>
          <w:sz w:val="20"/>
          <w:szCs w:val="20"/>
          <w:lang w:val="en-US"/>
        </w:rPr>
        <w:t>strong</w:t>
      </w:r>
      <w:r>
        <w:rPr>
          <w:rFonts w:ascii="Arial" w:hAnsi="Arial" w:cs="Arial"/>
          <w:sz w:val="20"/>
          <w:szCs w:val="20"/>
          <w:lang w:val="en-US"/>
        </w:rPr>
        <w:t xml:space="preserve"> reasons to retain the existing statutory caps on the effective lives of trucks and trailers.</w:t>
      </w:r>
    </w:p>
    <w:p w:rsidR="00DE56C8" w:rsidRDefault="00DE56C8" w:rsidP="00DE56C8">
      <w:pPr>
        <w:pStyle w:val="Standard"/>
        <w:rPr>
          <w:rFonts w:ascii="Arial" w:hAnsi="Arial" w:cs="Arial"/>
          <w:sz w:val="20"/>
          <w:szCs w:val="20"/>
          <w:lang w:val="en-US"/>
        </w:rPr>
      </w:pPr>
    </w:p>
    <w:p w:rsidR="00DE56C8" w:rsidRDefault="00DE56C8" w:rsidP="00DE56C8">
      <w:pPr>
        <w:pStyle w:val="Standard"/>
        <w:ind w:right="567"/>
        <w:rPr>
          <w:rFonts w:ascii="Arial" w:hAnsi="Arial" w:cs="Arial"/>
          <w:b/>
          <w:sz w:val="20"/>
          <w:szCs w:val="20"/>
          <w:lang w:val="en-US"/>
        </w:rPr>
      </w:pPr>
      <w:r w:rsidRPr="006C4555">
        <w:rPr>
          <w:rFonts w:ascii="Arial" w:hAnsi="Arial" w:cs="Arial"/>
          <w:b/>
          <w:sz w:val="20"/>
          <w:szCs w:val="20"/>
          <w:lang w:val="en-US"/>
        </w:rPr>
        <w:t xml:space="preserve">The </w:t>
      </w:r>
      <w:r>
        <w:rPr>
          <w:rFonts w:ascii="Arial" w:hAnsi="Arial" w:cs="Arial"/>
          <w:b/>
          <w:sz w:val="20"/>
          <w:szCs w:val="20"/>
          <w:lang w:val="en-US"/>
        </w:rPr>
        <w:t xml:space="preserve">ATA accordingly recommends that: </w:t>
      </w:r>
    </w:p>
    <w:p w:rsidR="00DE56C8" w:rsidRDefault="00DE56C8" w:rsidP="00DE56C8">
      <w:pPr>
        <w:pStyle w:val="Standard"/>
        <w:ind w:left="567" w:right="567"/>
        <w:rPr>
          <w:rFonts w:ascii="Arial" w:hAnsi="Arial" w:cs="Arial"/>
          <w:b/>
          <w:sz w:val="20"/>
          <w:szCs w:val="20"/>
          <w:lang w:val="en-US"/>
        </w:rPr>
      </w:pPr>
    </w:p>
    <w:p w:rsidR="00DE56C8" w:rsidRDefault="00DE56C8" w:rsidP="00DE56C8">
      <w:pPr>
        <w:pStyle w:val="Standard"/>
        <w:numPr>
          <w:ilvl w:val="0"/>
          <w:numId w:val="16"/>
        </w:numPr>
        <w:ind w:right="567"/>
        <w:rPr>
          <w:rFonts w:ascii="Arial" w:hAnsi="Arial" w:cs="Arial"/>
          <w:b/>
          <w:sz w:val="20"/>
          <w:szCs w:val="20"/>
          <w:lang w:val="en-US"/>
        </w:rPr>
      </w:pPr>
      <w:r>
        <w:rPr>
          <w:rFonts w:ascii="Arial" w:hAnsi="Arial" w:cs="Arial"/>
          <w:b/>
          <w:sz w:val="20"/>
          <w:szCs w:val="20"/>
          <w:lang w:val="en-US"/>
        </w:rPr>
        <w:t xml:space="preserve">the </w:t>
      </w:r>
      <w:r w:rsidRPr="006C4555">
        <w:rPr>
          <w:rFonts w:ascii="Arial" w:hAnsi="Arial" w:cs="Arial"/>
          <w:b/>
          <w:sz w:val="20"/>
          <w:szCs w:val="20"/>
          <w:lang w:val="en-US"/>
        </w:rPr>
        <w:t xml:space="preserve">BTWG should </w:t>
      </w:r>
      <w:r>
        <w:rPr>
          <w:rFonts w:ascii="Arial" w:hAnsi="Arial" w:cs="Arial"/>
          <w:b/>
          <w:sz w:val="20"/>
          <w:szCs w:val="20"/>
          <w:lang w:val="en-US"/>
        </w:rPr>
        <w:t>continue looking at options to reduce the company tax rate to 25 per cent but</w:t>
      </w:r>
    </w:p>
    <w:p w:rsidR="002961C4" w:rsidRDefault="002961C4" w:rsidP="002961C4">
      <w:pPr>
        <w:pStyle w:val="Standard"/>
        <w:ind w:left="720" w:right="567"/>
        <w:rPr>
          <w:rFonts w:ascii="Arial" w:hAnsi="Arial" w:cs="Arial"/>
          <w:b/>
          <w:sz w:val="20"/>
          <w:szCs w:val="20"/>
          <w:lang w:val="en-US"/>
        </w:rPr>
      </w:pPr>
    </w:p>
    <w:p w:rsidR="00DE56C8" w:rsidRDefault="00DE56C8" w:rsidP="00DE56C8">
      <w:pPr>
        <w:pStyle w:val="Standard"/>
        <w:numPr>
          <w:ilvl w:val="0"/>
          <w:numId w:val="16"/>
        </w:numPr>
        <w:ind w:right="567"/>
        <w:rPr>
          <w:rFonts w:ascii="Arial" w:hAnsi="Arial" w:cs="Arial"/>
          <w:b/>
          <w:sz w:val="20"/>
          <w:szCs w:val="20"/>
          <w:lang w:val="en-US"/>
        </w:rPr>
      </w:pPr>
      <w:r>
        <w:rPr>
          <w:rFonts w:ascii="Arial" w:hAnsi="Arial" w:cs="Arial"/>
          <w:b/>
          <w:sz w:val="20"/>
          <w:szCs w:val="20"/>
          <w:lang w:val="en-US"/>
        </w:rPr>
        <w:t xml:space="preserve">it should </w:t>
      </w:r>
      <w:r w:rsidRPr="006C4555">
        <w:rPr>
          <w:rFonts w:ascii="Arial" w:hAnsi="Arial" w:cs="Arial"/>
          <w:b/>
          <w:sz w:val="20"/>
          <w:szCs w:val="20"/>
          <w:lang w:val="en-US"/>
        </w:rPr>
        <w:t xml:space="preserve">not </w:t>
      </w:r>
      <w:r>
        <w:rPr>
          <w:rFonts w:ascii="Arial" w:hAnsi="Arial" w:cs="Arial"/>
          <w:b/>
          <w:sz w:val="20"/>
          <w:szCs w:val="20"/>
          <w:lang w:val="en-US"/>
        </w:rPr>
        <w:t>further consider removing the statutory effective life caps on trucks and trailers, because:</w:t>
      </w:r>
    </w:p>
    <w:p w:rsidR="00DE56C8" w:rsidRDefault="00DE56C8" w:rsidP="00DE56C8">
      <w:pPr>
        <w:pStyle w:val="Standard"/>
        <w:ind w:right="567"/>
        <w:rPr>
          <w:rFonts w:ascii="Arial" w:hAnsi="Arial" w:cs="Arial"/>
          <w:b/>
          <w:sz w:val="20"/>
          <w:szCs w:val="20"/>
          <w:lang w:val="en-US"/>
        </w:rPr>
      </w:pPr>
    </w:p>
    <w:p w:rsidR="00DE56C8" w:rsidRDefault="00DE56C8" w:rsidP="00DE56C8">
      <w:pPr>
        <w:pStyle w:val="Standard"/>
        <w:numPr>
          <w:ilvl w:val="0"/>
          <w:numId w:val="21"/>
        </w:numPr>
        <w:ind w:left="1440" w:right="567"/>
        <w:rPr>
          <w:rFonts w:ascii="Arial" w:hAnsi="Arial" w:cs="Arial"/>
          <w:b/>
          <w:sz w:val="20"/>
          <w:szCs w:val="20"/>
          <w:lang w:val="en-US"/>
        </w:rPr>
      </w:pPr>
      <w:r>
        <w:rPr>
          <w:rFonts w:ascii="Arial" w:hAnsi="Arial" w:cs="Arial"/>
          <w:b/>
          <w:sz w:val="20"/>
          <w:szCs w:val="20"/>
          <w:lang w:val="en-US"/>
        </w:rPr>
        <w:t xml:space="preserve">the option would impose an additional cash flow burden on trucking businesses, which would </w:t>
      </w:r>
      <w:r w:rsidR="002961C4">
        <w:rPr>
          <w:rFonts w:ascii="Arial" w:hAnsi="Arial" w:cs="Arial"/>
          <w:b/>
          <w:sz w:val="20"/>
          <w:szCs w:val="20"/>
          <w:lang w:val="en-US"/>
        </w:rPr>
        <w:t>reduce their ability to renew their fleets</w:t>
      </w:r>
    </w:p>
    <w:p w:rsidR="00DE56C8" w:rsidRDefault="00DE56C8" w:rsidP="00DE56C8">
      <w:pPr>
        <w:pStyle w:val="Standard"/>
        <w:ind w:left="1440" w:right="567"/>
        <w:rPr>
          <w:rFonts w:ascii="Arial" w:hAnsi="Arial" w:cs="Arial"/>
          <w:b/>
          <w:sz w:val="20"/>
          <w:szCs w:val="20"/>
          <w:lang w:val="en-US"/>
        </w:rPr>
      </w:pPr>
    </w:p>
    <w:p w:rsidR="00DE56C8" w:rsidRDefault="00DE56C8" w:rsidP="00DE56C8">
      <w:pPr>
        <w:pStyle w:val="Standard"/>
        <w:numPr>
          <w:ilvl w:val="0"/>
          <w:numId w:val="17"/>
        </w:numPr>
        <w:ind w:left="1440" w:right="567"/>
        <w:rPr>
          <w:rFonts w:ascii="Arial" w:hAnsi="Arial" w:cs="Arial"/>
          <w:b/>
          <w:sz w:val="20"/>
          <w:szCs w:val="20"/>
          <w:lang w:val="en-US"/>
        </w:rPr>
      </w:pPr>
      <w:r w:rsidRPr="00AE232A">
        <w:rPr>
          <w:rFonts w:ascii="Arial" w:hAnsi="Arial" w:cs="Arial"/>
          <w:b/>
          <w:sz w:val="20"/>
          <w:szCs w:val="20"/>
          <w:lang w:val="en-US"/>
        </w:rPr>
        <w:t xml:space="preserve">it would slow the rollout of safety and environmental standards that aim to mitigate </w:t>
      </w:r>
      <w:r>
        <w:rPr>
          <w:rFonts w:ascii="Arial" w:hAnsi="Arial" w:cs="Arial"/>
          <w:b/>
          <w:sz w:val="20"/>
          <w:szCs w:val="20"/>
          <w:lang w:val="en-US"/>
        </w:rPr>
        <w:t>the $17.85</w:t>
      </w:r>
      <w:r w:rsidRPr="00AE232A">
        <w:rPr>
          <w:rFonts w:ascii="Arial" w:hAnsi="Arial" w:cs="Arial"/>
          <w:b/>
          <w:sz w:val="20"/>
          <w:szCs w:val="20"/>
          <w:lang w:val="en-US"/>
        </w:rPr>
        <w:t xml:space="preserve"> billion </w:t>
      </w:r>
      <w:r>
        <w:rPr>
          <w:rFonts w:ascii="Arial" w:hAnsi="Arial" w:cs="Arial"/>
          <w:b/>
          <w:sz w:val="20"/>
          <w:szCs w:val="20"/>
          <w:lang w:val="en-US"/>
        </w:rPr>
        <w:t xml:space="preserve">yearly </w:t>
      </w:r>
      <w:r w:rsidRPr="00AE232A">
        <w:rPr>
          <w:rFonts w:ascii="Arial" w:hAnsi="Arial" w:cs="Arial"/>
          <w:b/>
          <w:sz w:val="20"/>
          <w:szCs w:val="20"/>
          <w:lang w:val="en-US"/>
        </w:rPr>
        <w:t xml:space="preserve">cost of road accidents and the $2.7 billion </w:t>
      </w:r>
      <w:r>
        <w:rPr>
          <w:rFonts w:ascii="Arial" w:hAnsi="Arial" w:cs="Arial"/>
          <w:b/>
          <w:sz w:val="20"/>
          <w:szCs w:val="20"/>
          <w:lang w:val="en-US"/>
        </w:rPr>
        <w:t xml:space="preserve">yearly </w:t>
      </w:r>
      <w:r w:rsidRPr="00AE232A">
        <w:rPr>
          <w:rFonts w:ascii="Arial" w:hAnsi="Arial" w:cs="Arial"/>
          <w:b/>
          <w:sz w:val="20"/>
          <w:szCs w:val="20"/>
          <w:lang w:val="en-US"/>
        </w:rPr>
        <w:t>cost of motor vehicle pollution</w:t>
      </w:r>
    </w:p>
    <w:p w:rsidR="00DE56C8" w:rsidRDefault="00DE56C8" w:rsidP="00DE56C8">
      <w:pPr>
        <w:pStyle w:val="Standard"/>
        <w:ind w:left="1440" w:right="567"/>
        <w:rPr>
          <w:rFonts w:ascii="Arial" w:hAnsi="Arial" w:cs="Arial"/>
          <w:b/>
          <w:sz w:val="20"/>
          <w:szCs w:val="20"/>
          <w:lang w:val="en-US"/>
        </w:rPr>
      </w:pPr>
    </w:p>
    <w:p w:rsidR="00DE56C8" w:rsidRDefault="00DE56C8" w:rsidP="00DE56C8">
      <w:pPr>
        <w:pStyle w:val="Standard"/>
        <w:numPr>
          <w:ilvl w:val="0"/>
          <w:numId w:val="17"/>
        </w:numPr>
        <w:ind w:left="1440" w:right="567"/>
        <w:rPr>
          <w:rFonts w:ascii="Arial" w:hAnsi="Arial" w:cs="Arial"/>
          <w:b/>
          <w:sz w:val="20"/>
          <w:szCs w:val="20"/>
          <w:lang w:val="en-US"/>
        </w:rPr>
      </w:pPr>
      <w:r>
        <w:rPr>
          <w:rFonts w:ascii="Arial" w:hAnsi="Arial" w:cs="Arial"/>
          <w:b/>
          <w:sz w:val="20"/>
          <w:szCs w:val="20"/>
          <w:lang w:val="en-US"/>
        </w:rPr>
        <w:t>it would conflict with the Government’s existing road safety and air pollution policies and</w:t>
      </w:r>
    </w:p>
    <w:p w:rsidR="00DE56C8" w:rsidRDefault="00DE56C8" w:rsidP="00DE56C8">
      <w:pPr>
        <w:pStyle w:val="Standard"/>
        <w:ind w:left="1440" w:right="567"/>
        <w:rPr>
          <w:rFonts w:ascii="Arial" w:hAnsi="Arial" w:cs="Arial"/>
          <w:b/>
          <w:sz w:val="20"/>
          <w:szCs w:val="20"/>
          <w:lang w:val="en-US"/>
        </w:rPr>
      </w:pPr>
    </w:p>
    <w:p w:rsidR="00DE56C8" w:rsidRPr="00EF5282" w:rsidRDefault="00DE56C8" w:rsidP="00DE56C8">
      <w:pPr>
        <w:pStyle w:val="Standard"/>
        <w:numPr>
          <w:ilvl w:val="0"/>
          <w:numId w:val="17"/>
        </w:numPr>
        <w:ind w:left="1440" w:right="567"/>
        <w:rPr>
          <w:rFonts w:ascii="Arial" w:hAnsi="Arial" w:cs="Arial"/>
          <w:b/>
          <w:sz w:val="20"/>
          <w:szCs w:val="20"/>
          <w:lang w:val="en-US"/>
        </w:rPr>
        <w:sectPr w:rsidR="00DE56C8" w:rsidRPr="00EF5282" w:rsidSect="008133E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3" w:footer="408" w:gutter="0"/>
          <w:cols w:space="708"/>
          <w:docGrid w:linePitch="360"/>
        </w:sectPr>
      </w:pPr>
      <w:r>
        <w:rPr>
          <w:rFonts w:ascii="Arial" w:hAnsi="Arial" w:cs="Arial"/>
          <w:b/>
          <w:sz w:val="20"/>
          <w:szCs w:val="20"/>
          <w:lang w:val="en-US"/>
        </w:rPr>
        <w:t xml:space="preserve">despite </w:t>
      </w:r>
      <w:r w:rsidR="00D26B30">
        <w:rPr>
          <w:rFonts w:ascii="Arial" w:hAnsi="Arial" w:cs="Arial"/>
          <w:b/>
          <w:sz w:val="20"/>
          <w:szCs w:val="20"/>
          <w:lang w:val="en-US"/>
        </w:rPr>
        <w:t xml:space="preserve">all </w:t>
      </w:r>
      <w:r>
        <w:rPr>
          <w:rFonts w:ascii="Arial" w:hAnsi="Arial" w:cs="Arial"/>
          <w:b/>
          <w:sz w:val="20"/>
          <w:szCs w:val="20"/>
          <w:lang w:val="en-US"/>
        </w:rPr>
        <w:t xml:space="preserve">these problems, </w:t>
      </w:r>
      <w:r w:rsidR="002961C4">
        <w:rPr>
          <w:rFonts w:ascii="Arial" w:hAnsi="Arial" w:cs="Arial"/>
          <w:b/>
          <w:sz w:val="20"/>
          <w:szCs w:val="20"/>
          <w:lang w:val="en-US"/>
        </w:rPr>
        <w:t xml:space="preserve">it </w:t>
      </w:r>
      <w:r>
        <w:rPr>
          <w:rFonts w:ascii="Arial" w:hAnsi="Arial" w:cs="Arial"/>
          <w:b/>
          <w:sz w:val="20"/>
          <w:szCs w:val="20"/>
          <w:lang w:val="en-US"/>
        </w:rPr>
        <w:t xml:space="preserve">would </w:t>
      </w:r>
      <w:r w:rsidR="002961C4">
        <w:rPr>
          <w:rFonts w:ascii="Arial" w:hAnsi="Arial" w:cs="Arial"/>
          <w:b/>
          <w:sz w:val="20"/>
          <w:szCs w:val="20"/>
          <w:lang w:val="en-US"/>
        </w:rPr>
        <w:t xml:space="preserve">only </w:t>
      </w:r>
      <w:r>
        <w:rPr>
          <w:rFonts w:ascii="Arial" w:hAnsi="Arial" w:cs="Arial"/>
          <w:b/>
          <w:sz w:val="20"/>
          <w:szCs w:val="20"/>
          <w:lang w:val="en-US"/>
        </w:rPr>
        <w:t xml:space="preserve">generate 0.8 per cent of the savings </w:t>
      </w:r>
      <w:r w:rsidR="00F76A0D">
        <w:rPr>
          <w:rFonts w:ascii="Arial" w:hAnsi="Arial" w:cs="Arial"/>
          <w:b/>
          <w:sz w:val="20"/>
          <w:szCs w:val="20"/>
          <w:lang w:val="en-US"/>
        </w:rPr>
        <w:t>needed</w:t>
      </w:r>
      <w:r>
        <w:rPr>
          <w:rFonts w:ascii="Arial" w:hAnsi="Arial" w:cs="Arial"/>
          <w:b/>
          <w:sz w:val="20"/>
          <w:szCs w:val="20"/>
          <w:lang w:val="en-US"/>
        </w:rPr>
        <w:t xml:space="preserve"> to </w:t>
      </w:r>
      <w:r w:rsidR="002961C4">
        <w:rPr>
          <w:rFonts w:ascii="Arial" w:hAnsi="Arial" w:cs="Arial"/>
          <w:b/>
          <w:sz w:val="20"/>
          <w:szCs w:val="20"/>
          <w:lang w:val="en-US"/>
        </w:rPr>
        <w:t xml:space="preserve">offset </w:t>
      </w:r>
      <w:r>
        <w:rPr>
          <w:rFonts w:ascii="Arial" w:hAnsi="Arial" w:cs="Arial"/>
          <w:b/>
          <w:sz w:val="20"/>
          <w:szCs w:val="20"/>
          <w:lang w:val="en-US"/>
        </w:rPr>
        <w:t>the proposed company tax cut.</w:t>
      </w:r>
      <w:r w:rsidRPr="00EF5282">
        <w:rPr>
          <w:rFonts w:ascii="Arial" w:hAnsi="Arial" w:cs="Arial"/>
          <w:b/>
          <w:sz w:val="20"/>
          <w:szCs w:val="20"/>
          <w:lang w:val="en-US"/>
        </w:rPr>
        <w:t xml:space="preserve"> </w:t>
      </w:r>
    </w:p>
    <w:p w:rsidR="00576ED0" w:rsidRDefault="00576ED0" w:rsidP="005024DA">
      <w:pPr>
        <w:rPr>
          <w:rFonts w:ascii="Arial" w:hAnsi="Arial" w:cs="Arial"/>
          <w:sz w:val="20"/>
          <w:szCs w:val="20"/>
        </w:rPr>
      </w:pPr>
    </w:p>
    <w:p w:rsidR="00D709FD" w:rsidRDefault="00D709FD" w:rsidP="005024DA">
      <w:pPr>
        <w:rPr>
          <w:rFonts w:ascii="Arial" w:hAnsi="Arial" w:cs="Arial"/>
          <w:sz w:val="20"/>
          <w:szCs w:val="20"/>
        </w:rPr>
      </w:pPr>
    </w:p>
    <w:p w:rsidR="00683332" w:rsidRDefault="00D40494" w:rsidP="005024DA">
      <w:pPr>
        <w:pStyle w:val="Heading1"/>
        <w:rPr>
          <w:sz w:val="22"/>
          <w:szCs w:val="22"/>
        </w:rPr>
      </w:pPr>
      <w:bookmarkStart w:id="2" w:name="_Toc336331459"/>
      <w:r>
        <w:rPr>
          <w:sz w:val="22"/>
          <w:szCs w:val="22"/>
        </w:rPr>
        <w:t>Introduction</w:t>
      </w:r>
      <w:bookmarkEnd w:id="2"/>
    </w:p>
    <w:p w:rsidR="00683332" w:rsidRDefault="00683332" w:rsidP="005024DA">
      <w:pPr>
        <w:rPr>
          <w:rFonts w:ascii="Arial" w:hAnsi="Arial" w:cs="Arial"/>
          <w:sz w:val="20"/>
          <w:szCs w:val="20"/>
        </w:rPr>
      </w:pPr>
    </w:p>
    <w:p w:rsidR="005F0D30" w:rsidRDefault="005F0D30" w:rsidP="005024DA">
      <w:pPr>
        <w:rPr>
          <w:rFonts w:ascii="Arial" w:hAnsi="Arial" w:cs="Arial"/>
          <w:sz w:val="20"/>
          <w:szCs w:val="20"/>
        </w:rPr>
      </w:pPr>
      <w:r>
        <w:rPr>
          <w:rFonts w:ascii="Arial" w:hAnsi="Arial" w:cs="Arial"/>
          <w:sz w:val="20"/>
          <w:szCs w:val="20"/>
        </w:rPr>
        <w:t xml:space="preserve">On 13 August 2012, the Business Tax Working Group (BTWG) released a discussion paper proposing that the company tax rate should be reduced from 30 to 25 per cent in the short to medium term. Its terms of reference required it to put forward savings from within the business tax system to fully offset the </w:t>
      </w:r>
      <w:r w:rsidR="004763B3">
        <w:rPr>
          <w:rFonts w:ascii="Arial" w:hAnsi="Arial" w:cs="Arial"/>
          <w:sz w:val="20"/>
          <w:szCs w:val="20"/>
        </w:rPr>
        <w:t>cost of the rate cut, estimated at $26 billion over the years from 2012-13 to 2015-16.</w:t>
      </w:r>
      <w:r w:rsidR="00834990">
        <w:rPr>
          <w:rStyle w:val="FootnoteReference"/>
          <w:szCs w:val="20"/>
        </w:rPr>
        <w:footnoteReference w:id="1"/>
      </w:r>
    </w:p>
    <w:p w:rsidR="005F0D30" w:rsidRDefault="005F0D30" w:rsidP="005024DA">
      <w:pPr>
        <w:rPr>
          <w:rFonts w:ascii="Arial" w:hAnsi="Arial" w:cs="Arial"/>
          <w:sz w:val="20"/>
          <w:szCs w:val="20"/>
        </w:rPr>
      </w:pPr>
    </w:p>
    <w:p w:rsidR="00834990" w:rsidRDefault="005F0D30" w:rsidP="005024DA">
      <w:pPr>
        <w:rPr>
          <w:rFonts w:ascii="Arial" w:hAnsi="Arial" w:cs="Arial"/>
          <w:sz w:val="20"/>
          <w:szCs w:val="20"/>
        </w:rPr>
      </w:pPr>
      <w:r>
        <w:rPr>
          <w:rFonts w:ascii="Arial" w:hAnsi="Arial" w:cs="Arial"/>
          <w:sz w:val="20"/>
          <w:szCs w:val="20"/>
        </w:rPr>
        <w:t xml:space="preserve">One of those options, option B.6, would be to remove the statutory effective life caps for a range of transport assets, including </w:t>
      </w:r>
      <w:r w:rsidR="004763B3">
        <w:rPr>
          <w:rFonts w:ascii="Arial" w:hAnsi="Arial" w:cs="Arial"/>
          <w:sz w:val="20"/>
          <w:szCs w:val="20"/>
        </w:rPr>
        <w:t xml:space="preserve">aircraft, buses, ships, and trucks and trailers. </w:t>
      </w:r>
      <w:r w:rsidR="00834990">
        <w:rPr>
          <w:rFonts w:ascii="Arial" w:hAnsi="Arial" w:cs="Arial"/>
          <w:sz w:val="20"/>
          <w:szCs w:val="20"/>
        </w:rPr>
        <w:t xml:space="preserve">Option B.2 </w:t>
      </w:r>
      <w:r w:rsidR="00A71178">
        <w:rPr>
          <w:rFonts w:ascii="Arial" w:hAnsi="Arial" w:cs="Arial"/>
          <w:sz w:val="20"/>
          <w:szCs w:val="20"/>
        </w:rPr>
        <w:t>would also include</w:t>
      </w:r>
      <w:r w:rsidR="00834990">
        <w:rPr>
          <w:rFonts w:ascii="Arial" w:hAnsi="Arial" w:cs="Arial"/>
          <w:sz w:val="20"/>
          <w:szCs w:val="20"/>
        </w:rPr>
        <w:t xml:space="preserve"> the removal of these statutory caps.</w:t>
      </w:r>
    </w:p>
    <w:p w:rsidR="00834990" w:rsidRDefault="00834990" w:rsidP="005024DA">
      <w:pPr>
        <w:rPr>
          <w:rFonts w:ascii="Arial" w:hAnsi="Arial" w:cs="Arial"/>
          <w:sz w:val="20"/>
          <w:szCs w:val="20"/>
        </w:rPr>
      </w:pPr>
    </w:p>
    <w:p w:rsidR="004763B3" w:rsidRDefault="004763B3" w:rsidP="005024DA">
      <w:pPr>
        <w:rPr>
          <w:rFonts w:ascii="Arial" w:hAnsi="Arial" w:cs="Arial"/>
          <w:sz w:val="20"/>
          <w:szCs w:val="20"/>
        </w:rPr>
      </w:pPr>
      <w:r>
        <w:rPr>
          <w:rFonts w:ascii="Arial" w:hAnsi="Arial" w:cs="Arial"/>
          <w:sz w:val="20"/>
          <w:szCs w:val="20"/>
        </w:rPr>
        <w:t xml:space="preserve">Table 1 shows the </w:t>
      </w:r>
      <w:r w:rsidR="009F2E86">
        <w:rPr>
          <w:rFonts w:ascii="Arial" w:hAnsi="Arial" w:cs="Arial"/>
          <w:sz w:val="20"/>
          <w:szCs w:val="20"/>
        </w:rPr>
        <w:t xml:space="preserve">potential </w:t>
      </w:r>
      <w:r>
        <w:rPr>
          <w:rFonts w:ascii="Arial" w:hAnsi="Arial" w:cs="Arial"/>
          <w:sz w:val="20"/>
          <w:szCs w:val="20"/>
        </w:rPr>
        <w:t xml:space="preserve">savings </w:t>
      </w:r>
      <w:r w:rsidR="009F2E86">
        <w:rPr>
          <w:rFonts w:ascii="Arial" w:hAnsi="Arial" w:cs="Arial"/>
          <w:sz w:val="20"/>
          <w:szCs w:val="20"/>
        </w:rPr>
        <w:t xml:space="preserve">from </w:t>
      </w:r>
      <w:r>
        <w:rPr>
          <w:rFonts w:ascii="Arial" w:hAnsi="Arial" w:cs="Arial"/>
          <w:sz w:val="20"/>
          <w:szCs w:val="20"/>
        </w:rPr>
        <w:t xml:space="preserve">option </w:t>
      </w:r>
      <w:r w:rsidR="00834990">
        <w:rPr>
          <w:rFonts w:ascii="Arial" w:hAnsi="Arial" w:cs="Arial"/>
          <w:sz w:val="20"/>
          <w:szCs w:val="20"/>
        </w:rPr>
        <w:t xml:space="preserve">B.6 </w:t>
      </w:r>
      <w:r>
        <w:rPr>
          <w:rFonts w:ascii="Arial" w:hAnsi="Arial" w:cs="Arial"/>
          <w:sz w:val="20"/>
          <w:szCs w:val="20"/>
        </w:rPr>
        <w:t>and the contribution from trucks and trailers.</w:t>
      </w:r>
    </w:p>
    <w:p w:rsidR="004763B3" w:rsidRDefault="004763B3" w:rsidP="005024DA">
      <w:pPr>
        <w:rPr>
          <w:rFonts w:ascii="Arial" w:hAnsi="Arial" w:cs="Arial"/>
          <w:sz w:val="20"/>
          <w:szCs w:val="20"/>
        </w:rPr>
      </w:pPr>
    </w:p>
    <w:p w:rsidR="00B67773" w:rsidRDefault="00B67773" w:rsidP="00AC7702">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B67773" w:rsidRPr="00CF758C" w:rsidTr="00AC7702">
        <w:tc>
          <w:tcPr>
            <w:tcW w:w="9854" w:type="dxa"/>
            <w:gridSpan w:val="3"/>
            <w:tcBorders>
              <w:bottom w:val="single" w:sz="4" w:space="0" w:color="auto"/>
            </w:tcBorders>
          </w:tcPr>
          <w:p w:rsidR="00B67773" w:rsidRPr="00CF758C" w:rsidRDefault="00B67773" w:rsidP="00AC7702">
            <w:pPr>
              <w:rPr>
                <w:rFonts w:ascii="Arial" w:hAnsi="Arial" w:cs="Arial"/>
                <w:b/>
                <w:sz w:val="18"/>
                <w:szCs w:val="18"/>
              </w:rPr>
            </w:pPr>
            <w:r w:rsidRPr="00CF758C">
              <w:rPr>
                <w:rFonts w:ascii="Arial" w:hAnsi="Arial" w:cs="Arial"/>
                <w:b/>
                <w:sz w:val="18"/>
                <w:szCs w:val="18"/>
              </w:rPr>
              <w:t>Table 1: cost savings from option B.6</w:t>
            </w:r>
          </w:p>
        </w:tc>
      </w:tr>
      <w:tr w:rsidR="004763B3" w:rsidRPr="00CF758C" w:rsidTr="00AC7702">
        <w:tc>
          <w:tcPr>
            <w:tcW w:w="3284" w:type="dxa"/>
            <w:tcBorders>
              <w:top w:val="single" w:sz="4" w:space="0" w:color="auto"/>
            </w:tcBorders>
          </w:tcPr>
          <w:p w:rsidR="004763B3" w:rsidRPr="00CF758C" w:rsidRDefault="004763B3" w:rsidP="005024DA">
            <w:pPr>
              <w:rPr>
                <w:rFonts w:ascii="Arial" w:hAnsi="Arial" w:cs="Arial"/>
                <w:sz w:val="18"/>
                <w:szCs w:val="18"/>
              </w:rPr>
            </w:pPr>
          </w:p>
        </w:tc>
        <w:tc>
          <w:tcPr>
            <w:tcW w:w="3285" w:type="dxa"/>
            <w:tcBorders>
              <w:top w:val="single" w:sz="4" w:space="0" w:color="auto"/>
            </w:tcBorders>
          </w:tcPr>
          <w:p w:rsidR="004763B3" w:rsidRPr="00CF758C" w:rsidRDefault="004763B3" w:rsidP="004763B3">
            <w:pPr>
              <w:jc w:val="right"/>
              <w:rPr>
                <w:rFonts w:ascii="Arial" w:hAnsi="Arial" w:cs="Arial"/>
                <w:b/>
                <w:sz w:val="18"/>
                <w:szCs w:val="18"/>
              </w:rPr>
            </w:pPr>
            <w:r w:rsidRPr="00CF758C">
              <w:rPr>
                <w:rFonts w:ascii="Arial" w:hAnsi="Arial" w:cs="Arial"/>
                <w:b/>
                <w:sz w:val="18"/>
                <w:szCs w:val="18"/>
              </w:rPr>
              <w:t xml:space="preserve">2012-13 </w:t>
            </w:r>
          </w:p>
          <w:p w:rsidR="004763B3" w:rsidRPr="00CF758C" w:rsidRDefault="004763B3" w:rsidP="004763B3">
            <w:pPr>
              <w:jc w:val="right"/>
              <w:rPr>
                <w:rFonts w:ascii="Arial" w:hAnsi="Arial" w:cs="Arial"/>
                <w:b/>
                <w:sz w:val="18"/>
                <w:szCs w:val="18"/>
              </w:rPr>
            </w:pPr>
            <w:r w:rsidRPr="00CF758C">
              <w:rPr>
                <w:rFonts w:ascii="Arial" w:hAnsi="Arial" w:cs="Arial"/>
                <w:b/>
                <w:sz w:val="18"/>
                <w:szCs w:val="18"/>
              </w:rPr>
              <w:t>to 2015-16</w:t>
            </w:r>
          </w:p>
          <w:p w:rsidR="004763B3" w:rsidRPr="00CF758C" w:rsidRDefault="004763B3" w:rsidP="004763B3">
            <w:pPr>
              <w:jc w:val="right"/>
              <w:rPr>
                <w:rFonts w:ascii="Arial" w:hAnsi="Arial" w:cs="Arial"/>
                <w:sz w:val="18"/>
                <w:szCs w:val="18"/>
              </w:rPr>
            </w:pPr>
            <w:r w:rsidRPr="00CF758C">
              <w:rPr>
                <w:rFonts w:ascii="Arial" w:hAnsi="Arial" w:cs="Arial"/>
                <w:b/>
                <w:sz w:val="18"/>
                <w:szCs w:val="18"/>
              </w:rPr>
              <w:t>($m)</w:t>
            </w:r>
          </w:p>
        </w:tc>
        <w:tc>
          <w:tcPr>
            <w:tcW w:w="3285" w:type="dxa"/>
            <w:tcBorders>
              <w:top w:val="single" w:sz="4" w:space="0" w:color="auto"/>
            </w:tcBorders>
          </w:tcPr>
          <w:p w:rsidR="004763B3" w:rsidRPr="00CF758C" w:rsidRDefault="004763B3" w:rsidP="004763B3">
            <w:pPr>
              <w:jc w:val="right"/>
              <w:rPr>
                <w:rFonts w:ascii="Arial" w:hAnsi="Arial" w:cs="Arial"/>
                <w:b/>
                <w:sz w:val="18"/>
                <w:szCs w:val="18"/>
              </w:rPr>
            </w:pPr>
            <w:r w:rsidRPr="00CF758C">
              <w:rPr>
                <w:rFonts w:ascii="Arial" w:hAnsi="Arial" w:cs="Arial"/>
                <w:b/>
                <w:sz w:val="18"/>
                <w:szCs w:val="18"/>
              </w:rPr>
              <w:t xml:space="preserve">Share of total </w:t>
            </w:r>
          </w:p>
          <w:p w:rsidR="004763B3" w:rsidRPr="00CF758C" w:rsidRDefault="004763B3" w:rsidP="004763B3">
            <w:pPr>
              <w:jc w:val="right"/>
              <w:rPr>
                <w:rFonts w:ascii="Arial" w:hAnsi="Arial" w:cs="Arial"/>
                <w:b/>
                <w:sz w:val="18"/>
                <w:szCs w:val="18"/>
              </w:rPr>
            </w:pPr>
            <w:r w:rsidRPr="00CF758C">
              <w:rPr>
                <w:rFonts w:ascii="Arial" w:hAnsi="Arial" w:cs="Arial"/>
                <w:b/>
                <w:sz w:val="18"/>
                <w:szCs w:val="18"/>
              </w:rPr>
              <w:t>savings required</w:t>
            </w:r>
          </w:p>
          <w:p w:rsidR="004763B3" w:rsidRPr="00CF758C" w:rsidRDefault="004763B3" w:rsidP="004763B3">
            <w:pPr>
              <w:jc w:val="right"/>
              <w:rPr>
                <w:rFonts w:ascii="Arial" w:hAnsi="Arial" w:cs="Arial"/>
                <w:sz w:val="18"/>
                <w:szCs w:val="18"/>
              </w:rPr>
            </w:pPr>
            <w:r w:rsidRPr="00CF758C">
              <w:rPr>
                <w:rFonts w:ascii="Arial" w:hAnsi="Arial" w:cs="Arial"/>
                <w:b/>
                <w:sz w:val="18"/>
                <w:szCs w:val="18"/>
              </w:rPr>
              <w:t>(Per cent)</w:t>
            </w:r>
          </w:p>
        </w:tc>
      </w:tr>
      <w:tr w:rsidR="004763B3" w:rsidRPr="00CF758C" w:rsidTr="00AC7702">
        <w:tc>
          <w:tcPr>
            <w:tcW w:w="3284" w:type="dxa"/>
          </w:tcPr>
          <w:p w:rsidR="004763B3" w:rsidRPr="00CF758C" w:rsidRDefault="00B67773" w:rsidP="005024DA">
            <w:pPr>
              <w:rPr>
                <w:rFonts w:ascii="Arial" w:hAnsi="Arial" w:cs="Arial"/>
                <w:sz w:val="18"/>
                <w:szCs w:val="18"/>
              </w:rPr>
            </w:pPr>
            <w:r w:rsidRPr="00CF758C">
              <w:rPr>
                <w:rFonts w:ascii="Arial" w:hAnsi="Arial" w:cs="Arial"/>
                <w:sz w:val="18"/>
                <w:szCs w:val="18"/>
              </w:rPr>
              <w:t>All affected assets</w:t>
            </w:r>
          </w:p>
        </w:tc>
        <w:tc>
          <w:tcPr>
            <w:tcW w:w="3285" w:type="dxa"/>
          </w:tcPr>
          <w:p w:rsidR="004763B3" w:rsidRPr="00CF758C" w:rsidRDefault="00B67773" w:rsidP="004763B3">
            <w:pPr>
              <w:jc w:val="right"/>
              <w:rPr>
                <w:rFonts w:ascii="Arial" w:hAnsi="Arial" w:cs="Arial"/>
                <w:sz w:val="18"/>
                <w:szCs w:val="18"/>
              </w:rPr>
            </w:pPr>
            <w:r w:rsidRPr="00CF758C">
              <w:rPr>
                <w:rFonts w:ascii="Arial" w:hAnsi="Arial" w:cs="Arial"/>
                <w:sz w:val="18"/>
                <w:szCs w:val="18"/>
              </w:rPr>
              <w:t>455</w:t>
            </w:r>
          </w:p>
        </w:tc>
        <w:tc>
          <w:tcPr>
            <w:tcW w:w="3285" w:type="dxa"/>
          </w:tcPr>
          <w:p w:rsidR="004763B3" w:rsidRPr="00CF758C" w:rsidRDefault="00B67773" w:rsidP="004763B3">
            <w:pPr>
              <w:jc w:val="right"/>
              <w:rPr>
                <w:rFonts w:ascii="Arial" w:hAnsi="Arial" w:cs="Arial"/>
                <w:sz w:val="18"/>
                <w:szCs w:val="18"/>
              </w:rPr>
            </w:pPr>
            <w:r w:rsidRPr="00CF758C">
              <w:rPr>
                <w:rFonts w:ascii="Arial" w:hAnsi="Arial" w:cs="Arial"/>
                <w:sz w:val="18"/>
                <w:szCs w:val="18"/>
              </w:rPr>
              <w:t>1.8</w:t>
            </w:r>
          </w:p>
        </w:tc>
      </w:tr>
      <w:tr w:rsidR="004763B3" w:rsidRPr="00CF758C" w:rsidTr="00AC7702">
        <w:tc>
          <w:tcPr>
            <w:tcW w:w="3284" w:type="dxa"/>
            <w:tcBorders>
              <w:bottom w:val="single" w:sz="4" w:space="0" w:color="auto"/>
            </w:tcBorders>
          </w:tcPr>
          <w:p w:rsidR="004763B3" w:rsidRPr="00CF758C" w:rsidRDefault="00B67773" w:rsidP="005024DA">
            <w:pPr>
              <w:rPr>
                <w:rFonts w:ascii="Arial" w:hAnsi="Arial" w:cs="Arial"/>
                <w:sz w:val="18"/>
                <w:szCs w:val="18"/>
              </w:rPr>
            </w:pPr>
            <w:r w:rsidRPr="00CF758C">
              <w:rPr>
                <w:rFonts w:ascii="Arial" w:hAnsi="Arial" w:cs="Arial"/>
                <w:sz w:val="18"/>
                <w:szCs w:val="18"/>
              </w:rPr>
              <w:t>Trucks and trailers</w:t>
            </w:r>
          </w:p>
        </w:tc>
        <w:tc>
          <w:tcPr>
            <w:tcW w:w="3285" w:type="dxa"/>
            <w:tcBorders>
              <w:bottom w:val="single" w:sz="4" w:space="0" w:color="auto"/>
            </w:tcBorders>
          </w:tcPr>
          <w:p w:rsidR="004763B3" w:rsidRPr="00CF758C" w:rsidRDefault="00B67773" w:rsidP="004763B3">
            <w:pPr>
              <w:jc w:val="right"/>
              <w:rPr>
                <w:rFonts w:ascii="Arial" w:hAnsi="Arial" w:cs="Arial"/>
                <w:sz w:val="18"/>
                <w:szCs w:val="18"/>
              </w:rPr>
            </w:pPr>
            <w:r w:rsidRPr="00CF758C">
              <w:rPr>
                <w:rFonts w:ascii="Arial" w:hAnsi="Arial" w:cs="Arial"/>
                <w:sz w:val="18"/>
                <w:szCs w:val="18"/>
              </w:rPr>
              <w:t>205</w:t>
            </w:r>
          </w:p>
        </w:tc>
        <w:tc>
          <w:tcPr>
            <w:tcW w:w="3285" w:type="dxa"/>
            <w:tcBorders>
              <w:bottom w:val="single" w:sz="4" w:space="0" w:color="auto"/>
            </w:tcBorders>
          </w:tcPr>
          <w:p w:rsidR="004763B3" w:rsidRPr="00CF758C" w:rsidRDefault="00B67773" w:rsidP="004763B3">
            <w:pPr>
              <w:jc w:val="right"/>
              <w:rPr>
                <w:rFonts w:ascii="Arial" w:hAnsi="Arial" w:cs="Arial"/>
                <w:sz w:val="18"/>
                <w:szCs w:val="18"/>
              </w:rPr>
            </w:pPr>
            <w:r w:rsidRPr="00CF758C">
              <w:rPr>
                <w:rFonts w:ascii="Arial" w:hAnsi="Arial" w:cs="Arial"/>
                <w:sz w:val="18"/>
                <w:szCs w:val="18"/>
              </w:rPr>
              <w:t>0.8</w:t>
            </w:r>
          </w:p>
        </w:tc>
      </w:tr>
      <w:tr w:rsidR="00B67773" w:rsidRPr="00CF758C" w:rsidTr="00AC7702">
        <w:tc>
          <w:tcPr>
            <w:tcW w:w="9854" w:type="dxa"/>
            <w:gridSpan w:val="3"/>
            <w:tcBorders>
              <w:top w:val="single" w:sz="4" w:space="0" w:color="auto"/>
            </w:tcBorders>
          </w:tcPr>
          <w:p w:rsidR="00B67773" w:rsidRPr="00CF758C" w:rsidRDefault="00B67773" w:rsidP="00AC7702">
            <w:pPr>
              <w:spacing w:before="100"/>
              <w:rPr>
                <w:rFonts w:ascii="Arial" w:hAnsi="Arial" w:cs="Arial"/>
                <w:sz w:val="18"/>
                <w:szCs w:val="18"/>
              </w:rPr>
            </w:pPr>
            <w:r w:rsidRPr="00CF758C">
              <w:rPr>
                <w:rFonts w:ascii="Arial" w:hAnsi="Arial" w:cs="Arial"/>
                <w:sz w:val="18"/>
                <w:szCs w:val="18"/>
              </w:rPr>
              <w:t>Sources: BTWG discussion paper (p31), Commonwealth Treasury.</w:t>
            </w:r>
          </w:p>
        </w:tc>
      </w:tr>
    </w:tbl>
    <w:p w:rsidR="004763B3" w:rsidRDefault="004763B3" w:rsidP="005024DA">
      <w:pPr>
        <w:rPr>
          <w:rFonts w:ascii="Arial" w:hAnsi="Arial" w:cs="Arial"/>
          <w:sz w:val="20"/>
          <w:szCs w:val="20"/>
        </w:rPr>
      </w:pPr>
    </w:p>
    <w:p w:rsidR="000E0427" w:rsidRDefault="004763B3" w:rsidP="005024DA">
      <w:pPr>
        <w:rPr>
          <w:rFonts w:ascii="Arial" w:hAnsi="Arial" w:cs="Arial"/>
          <w:sz w:val="20"/>
          <w:szCs w:val="20"/>
        </w:rPr>
      </w:pPr>
      <w:r w:rsidRPr="008133EB">
        <w:rPr>
          <w:rFonts w:ascii="Arial" w:hAnsi="Arial" w:cs="Arial"/>
          <w:sz w:val="20"/>
          <w:szCs w:val="20"/>
        </w:rPr>
        <w:t xml:space="preserve"> </w:t>
      </w:r>
    </w:p>
    <w:p w:rsidR="00B67773" w:rsidRDefault="00B67773" w:rsidP="005024DA">
      <w:pPr>
        <w:rPr>
          <w:rFonts w:ascii="Arial" w:hAnsi="Arial" w:cs="Arial"/>
          <w:sz w:val="20"/>
          <w:szCs w:val="20"/>
        </w:rPr>
      </w:pPr>
      <w:r>
        <w:rPr>
          <w:rFonts w:ascii="Arial" w:hAnsi="Arial" w:cs="Arial"/>
          <w:sz w:val="20"/>
          <w:szCs w:val="20"/>
        </w:rPr>
        <w:t xml:space="preserve">Table 2 </w:t>
      </w:r>
      <w:r w:rsidR="009F2E86">
        <w:rPr>
          <w:rFonts w:ascii="Arial" w:hAnsi="Arial" w:cs="Arial"/>
          <w:sz w:val="20"/>
          <w:szCs w:val="20"/>
        </w:rPr>
        <w:t>sets out the impact of the option on the effective lives</w:t>
      </w:r>
      <w:r w:rsidR="001F7258">
        <w:rPr>
          <w:rFonts w:ascii="Arial" w:hAnsi="Arial" w:cs="Arial"/>
          <w:sz w:val="20"/>
          <w:szCs w:val="20"/>
        </w:rPr>
        <w:t xml:space="preserve"> used to depreciate</w:t>
      </w:r>
      <w:r w:rsidR="009F2E86">
        <w:rPr>
          <w:rFonts w:ascii="Arial" w:hAnsi="Arial" w:cs="Arial"/>
          <w:sz w:val="20"/>
          <w:szCs w:val="20"/>
        </w:rPr>
        <w:t xml:space="preserve"> trucks and trailers.</w:t>
      </w:r>
    </w:p>
    <w:p w:rsidR="009F2E86" w:rsidRDefault="009F2E86" w:rsidP="005024DA">
      <w:pPr>
        <w:rPr>
          <w:rFonts w:ascii="Arial" w:hAnsi="Arial" w:cs="Arial"/>
          <w:sz w:val="20"/>
          <w:szCs w:val="20"/>
        </w:rPr>
      </w:pPr>
    </w:p>
    <w:p w:rsidR="009F2E86" w:rsidRDefault="009F2E86" w:rsidP="005024D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9F2E86" w:rsidRPr="004763B3" w:rsidTr="00AC7702">
        <w:tc>
          <w:tcPr>
            <w:tcW w:w="9854" w:type="dxa"/>
            <w:gridSpan w:val="3"/>
            <w:tcBorders>
              <w:bottom w:val="single" w:sz="4" w:space="0" w:color="auto"/>
            </w:tcBorders>
          </w:tcPr>
          <w:p w:rsidR="009F2E86" w:rsidRPr="00CF758C" w:rsidRDefault="009F2E86" w:rsidP="009F2E86">
            <w:pPr>
              <w:rPr>
                <w:rFonts w:ascii="Arial" w:hAnsi="Arial" w:cs="Arial"/>
                <w:b/>
                <w:sz w:val="18"/>
                <w:szCs w:val="18"/>
              </w:rPr>
            </w:pPr>
            <w:r w:rsidRPr="00CF758C">
              <w:rPr>
                <w:rFonts w:ascii="Arial" w:hAnsi="Arial" w:cs="Arial"/>
                <w:b/>
                <w:sz w:val="18"/>
                <w:szCs w:val="18"/>
              </w:rPr>
              <w:t>Table 2: impact of option B.6 on effective lives</w:t>
            </w:r>
          </w:p>
        </w:tc>
      </w:tr>
      <w:tr w:rsidR="009F2E86" w:rsidTr="00AC7702">
        <w:tc>
          <w:tcPr>
            <w:tcW w:w="3284" w:type="dxa"/>
            <w:tcBorders>
              <w:top w:val="single" w:sz="4" w:space="0" w:color="auto"/>
            </w:tcBorders>
          </w:tcPr>
          <w:p w:rsidR="009F2E86" w:rsidRPr="00CF758C" w:rsidRDefault="009F2E86" w:rsidP="009F2E86">
            <w:pPr>
              <w:rPr>
                <w:rFonts w:ascii="Arial" w:hAnsi="Arial" w:cs="Arial"/>
                <w:sz w:val="18"/>
                <w:szCs w:val="18"/>
              </w:rPr>
            </w:pPr>
          </w:p>
        </w:tc>
        <w:tc>
          <w:tcPr>
            <w:tcW w:w="3285" w:type="dxa"/>
            <w:tcBorders>
              <w:top w:val="single" w:sz="4" w:space="0" w:color="auto"/>
            </w:tcBorders>
          </w:tcPr>
          <w:p w:rsidR="009F2E86" w:rsidRPr="00CF758C" w:rsidRDefault="009F2E86" w:rsidP="009F2E86">
            <w:pPr>
              <w:jc w:val="right"/>
              <w:rPr>
                <w:rFonts w:ascii="Arial" w:hAnsi="Arial" w:cs="Arial"/>
                <w:b/>
                <w:sz w:val="18"/>
                <w:szCs w:val="18"/>
              </w:rPr>
            </w:pPr>
            <w:r w:rsidRPr="00CF758C">
              <w:rPr>
                <w:rFonts w:ascii="Arial" w:hAnsi="Arial" w:cs="Arial"/>
                <w:b/>
                <w:sz w:val="18"/>
                <w:szCs w:val="18"/>
              </w:rPr>
              <w:t>Current effective life</w:t>
            </w:r>
          </w:p>
          <w:p w:rsidR="009F2E86" w:rsidRPr="00CF758C" w:rsidRDefault="009F2E86" w:rsidP="009F2E86">
            <w:pPr>
              <w:jc w:val="right"/>
              <w:rPr>
                <w:rFonts w:ascii="Arial" w:hAnsi="Arial" w:cs="Arial"/>
                <w:b/>
                <w:sz w:val="18"/>
                <w:szCs w:val="18"/>
              </w:rPr>
            </w:pPr>
            <w:r w:rsidRPr="00CF758C">
              <w:rPr>
                <w:rFonts w:ascii="Arial" w:hAnsi="Arial" w:cs="Arial"/>
                <w:b/>
                <w:sz w:val="18"/>
                <w:szCs w:val="18"/>
              </w:rPr>
              <w:t>(statutory cap)</w:t>
            </w:r>
          </w:p>
        </w:tc>
        <w:tc>
          <w:tcPr>
            <w:tcW w:w="3285" w:type="dxa"/>
            <w:tcBorders>
              <w:top w:val="single" w:sz="4" w:space="0" w:color="auto"/>
            </w:tcBorders>
          </w:tcPr>
          <w:p w:rsidR="009F2E86" w:rsidRPr="00CF758C" w:rsidRDefault="009F2E86" w:rsidP="009F2E86">
            <w:pPr>
              <w:jc w:val="right"/>
              <w:rPr>
                <w:rFonts w:ascii="Arial" w:hAnsi="Arial" w:cs="Arial"/>
                <w:b/>
                <w:sz w:val="18"/>
                <w:szCs w:val="18"/>
              </w:rPr>
            </w:pPr>
            <w:r w:rsidRPr="00CF758C">
              <w:rPr>
                <w:rFonts w:ascii="Arial" w:hAnsi="Arial" w:cs="Arial"/>
                <w:b/>
                <w:sz w:val="18"/>
                <w:szCs w:val="18"/>
              </w:rPr>
              <w:t>Effective life under option B.6</w:t>
            </w:r>
          </w:p>
          <w:p w:rsidR="009F2E86" w:rsidRPr="00CF758C" w:rsidRDefault="009F2E86" w:rsidP="009F2E86">
            <w:pPr>
              <w:jc w:val="right"/>
              <w:rPr>
                <w:rFonts w:ascii="Arial" w:hAnsi="Arial" w:cs="Arial"/>
                <w:b/>
                <w:sz w:val="18"/>
                <w:szCs w:val="18"/>
              </w:rPr>
            </w:pPr>
            <w:r w:rsidRPr="00CF758C">
              <w:rPr>
                <w:rFonts w:ascii="Arial" w:hAnsi="Arial" w:cs="Arial"/>
                <w:b/>
                <w:sz w:val="18"/>
                <w:szCs w:val="18"/>
              </w:rPr>
              <w:t>(ATO determination)</w:t>
            </w:r>
          </w:p>
        </w:tc>
      </w:tr>
      <w:tr w:rsidR="009F2E86" w:rsidTr="00AC7702">
        <w:tc>
          <w:tcPr>
            <w:tcW w:w="3284" w:type="dxa"/>
          </w:tcPr>
          <w:p w:rsidR="009F2E86" w:rsidRPr="00CF758C" w:rsidRDefault="009F2E86" w:rsidP="009F2E86">
            <w:pPr>
              <w:rPr>
                <w:rFonts w:ascii="Arial" w:hAnsi="Arial" w:cs="Arial"/>
                <w:sz w:val="18"/>
                <w:szCs w:val="18"/>
              </w:rPr>
            </w:pPr>
            <w:r w:rsidRPr="00CF758C">
              <w:rPr>
                <w:rFonts w:ascii="Arial" w:hAnsi="Arial" w:cs="Arial"/>
                <w:sz w:val="18"/>
                <w:szCs w:val="18"/>
              </w:rPr>
              <w:t>Trucks having a gross vehicle mass greater than 3.5 tonnes (other than a truck that is used in mining operations and that is not of a kind that can be registered to be driven on a public road in the place in which the truck is operated)</w:t>
            </w:r>
          </w:p>
        </w:tc>
        <w:tc>
          <w:tcPr>
            <w:tcW w:w="3285" w:type="dxa"/>
          </w:tcPr>
          <w:p w:rsidR="009F2E86" w:rsidRPr="00CF758C" w:rsidRDefault="00061A86" w:rsidP="009F2E86">
            <w:pPr>
              <w:jc w:val="right"/>
              <w:rPr>
                <w:rFonts w:ascii="Arial" w:hAnsi="Arial" w:cs="Arial"/>
                <w:sz w:val="18"/>
                <w:szCs w:val="18"/>
              </w:rPr>
            </w:pPr>
            <w:r w:rsidRPr="00CF758C">
              <w:rPr>
                <w:rFonts w:ascii="Arial" w:hAnsi="Arial" w:cs="Arial"/>
                <w:sz w:val="18"/>
                <w:szCs w:val="18"/>
              </w:rPr>
              <w:t>7.5 years</w:t>
            </w:r>
          </w:p>
        </w:tc>
        <w:tc>
          <w:tcPr>
            <w:tcW w:w="3285" w:type="dxa"/>
          </w:tcPr>
          <w:p w:rsidR="009F2E86" w:rsidRPr="00CF758C" w:rsidRDefault="00061A86" w:rsidP="009F2E86">
            <w:pPr>
              <w:jc w:val="right"/>
              <w:rPr>
                <w:rFonts w:ascii="Arial" w:hAnsi="Arial" w:cs="Arial"/>
                <w:sz w:val="18"/>
                <w:szCs w:val="18"/>
              </w:rPr>
            </w:pPr>
            <w:r w:rsidRPr="00CF758C">
              <w:rPr>
                <w:rFonts w:ascii="Arial" w:hAnsi="Arial" w:cs="Arial"/>
                <w:sz w:val="18"/>
                <w:szCs w:val="18"/>
              </w:rPr>
              <w:t>15 years</w:t>
            </w:r>
          </w:p>
        </w:tc>
      </w:tr>
      <w:tr w:rsidR="009F2E86" w:rsidTr="00AC7702">
        <w:tc>
          <w:tcPr>
            <w:tcW w:w="3284" w:type="dxa"/>
            <w:tcBorders>
              <w:bottom w:val="single" w:sz="4" w:space="0" w:color="auto"/>
            </w:tcBorders>
          </w:tcPr>
          <w:p w:rsidR="009F2E86" w:rsidRPr="00CF758C" w:rsidRDefault="00061A86" w:rsidP="009F2E86">
            <w:pPr>
              <w:rPr>
                <w:rFonts w:ascii="Arial" w:hAnsi="Arial" w:cs="Arial"/>
                <w:sz w:val="18"/>
                <w:szCs w:val="18"/>
              </w:rPr>
            </w:pPr>
            <w:r w:rsidRPr="00CF758C">
              <w:rPr>
                <w:rFonts w:ascii="Arial" w:hAnsi="Arial" w:cs="Arial"/>
                <w:sz w:val="18"/>
                <w:szCs w:val="18"/>
              </w:rPr>
              <w:t>Trailers with a gross vehicle mass greater than 4.5 tonnes</w:t>
            </w:r>
          </w:p>
        </w:tc>
        <w:tc>
          <w:tcPr>
            <w:tcW w:w="3285" w:type="dxa"/>
            <w:tcBorders>
              <w:bottom w:val="single" w:sz="4" w:space="0" w:color="auto"/>
            </w:tcBorders>
          </w:tcPr>
          <w:p w:rsidR="009F2E86" w:rsidRPr="00CF758C" w:rsidRDefault="00061A86" w:rsidP="009F2E86">
            <w:pPr>
              <w:jc w:val="right"/>
              <w:rPr>
                <w:rFonts w:ascii="Arial" w:hAnsi="Arial" w:cs="Arial"/>
                <w:sz w:val="18"/>
                <w:szCs w:val="18"/>
              </w:rPr>
            </w:pPr>
            <w:r w:rsidRPr="00CF758C">
              <w:rPr>
                <w:rFonts w:ascii="Arial" w:hAnsi="Arial" w:cs="Arial"/>
                <w:sz w:val="18"/>
                <w:szCs w:val="18"/>
              </w:rPr>
              <w:t>10 years</w:t>
            </w:r>
          </w:p>
        </w:tc>
        <w:tc>
          <w:tcPr>
            <w:tcW w:w="3285" w:type="dxa"/>
            <w:tcBorders>
              <w:bottom w:val="single" w:sz="4" w:space="0" w:color="auto"/>
            </w:tcBorders>
          </w:tcPr>
          <w:p w:rsidR="009F2E86" w:rsidRPr="00CF758C" w:rsidRDefault="00061A86" w:rsidP="009F2E86">
            <w:pPr>
              <w:jc w:val="right"/>
              <w:rPr>
                <w:rFonts w:ascii="Arial" w:hAnsi="Arial" w:cs="Arial"/>
                <w:sz w:val="18"/>
                <w:szCs w:val="18"/>
              </w:rPr>
            </w:pPr>
            <w:r w:rsidRPr="00CF758C">
              <w:rPr>
                <w:rFonts w:ascii="Arial" w:hAnsi="Arial" w:cs="Arial"/>
                <w:sz w:val="18"/>
                <w:szCs w:val="18"/>
              </w:rPr>
              <w:t>15 years</w:t>
            </w:r>
          </w:p>
        </w:tc>
      </w:tr>
      <w:tr w:rsidR="009F2E86" w:rsidRPr="00B67773" w:rsidTr="00AC7702">
        <w:tc>
          <w:tcPr>
            <w:tcW w:w="9854" w:type="dxa"/>
            <w:gridSpan w:val="3"/>
            <w:tcBorders>
              <w:top w:val="single" w:sz="4" w:space="0" w:color="auto"/>
            </w:tcBorders>
          </w:tcPr>
          <w:p w:rsidR="009F2E86" w:rsidRPr="00CF758C" w:rsidRDefault="00061A86" w:rsidP="00AC7702">
            <w:pPr>
              <w:spacing w:before="100"/>
              <w:rPr>
                <w:rFonts w:ascii="Arial" w:hAnsi="Arial" w:cs="Arial"/>
                <w:sz w:val="18"/>
                <w:szCs w:val="18"/>
              </w:rPr>
            </w:pPr>
            <w:r w:rsidRPr="00CF758C">
              <w:rPr>
                <w:rFonts w:ascii="Arial" w:hAnsi="Arial" w:cs="Arial"/>
                <w:sz w:val="18"/>
                <w:szCs w:val="18"/>
              </w:rPr>
              <w:t>Source</w:t>
            </w:r>
            <w:r w:rsidR="009F2E86" w:rsidRPr="00CF758C">
              <w:rPr>
                <w:rFonts w:ascii="Arial" w:hAnsi="Arial" w:cs="Arial"/>
                <w:sz w:val="18"/>
                <w:szCs w:val="18"/>
              </w:rPr>
              <w:t xml:space="preserve">: </w:t>
            </w:r>
            <w:r w:rsidRPr="00CF758C">
              <w:rPr>
                <w:rFonts w:ascii="Arial" w:hAnsi="Arial" w:cs="Arial"/>
                <w:sz w:val="18"/>
                <w:szCs w:val="18"/>
              </w:rPr>
              <w:t>Australian Taxation Office</w:t>
            </w:r>
          </w:p>
        </w:tc>
      </w:tr>
    </w:tbl>
    <w:p w:rsidR="009F2E86" w:rsidRDefault="009F2E86" w:rsidP="005024DA">
      <w:pPr>
        <w:rPr>
          <w:rFonts w:ascii="Arial" w:hAnsi="Arial" w:cs="Arial"/>
          <w:sz w:val="20"/>
          <w:szCs w:val="20"/>
        </w:rPr>
      </w:pPr>
    </w:p>
    <w:p w:rsidR="00B67773" w:rsidRDefault="00B67773" w:rsidP="005024DA">
      <w:pPr>
        <w:rPr>
          <w:rFonts w:ascii="Arial" w:hAnsi="Arial" w:cs="Arial"/>
          <w:sz w:val="20"/>
          <w:szCs w:val="20"/>
        </w:rPr>
      </w:pPr>
    </w:p>
    <w:p w:rsidR="00B67773" w:rsidRDefault="00061A86" w:rsidP="005024DA">
      <w:pPr>
        <w:rPr>
          <w:rFonts w:ascii="Arial" w:hAnsi="Arial" w:cs="Arial"/>
          <w:sz w:val="20"/>
          <w:szCs w:val="20"/>
        </w:rPr>
      </w:pPr>
      <w:r>
        <w:rPr>
          <w:rFonts w:ascii="Arial" w:hAnsi="Arial" w:cs="Arial"/>
          <w:sz w:val="20"/>
          <w:szCs w:val="20"/>
        </w:rPr>
        <w:t>Option B.6 re-litigates a tax policy debate that occurred between 2003 and 2005, after the ATO reviewed Taxation Ruling TR2000/18, which set the effective life of trucks at five years.</w:t>
      </w:r>
    </w:p>
    <w:p w:rsidR="00061A86" w:rsidRDefault="00061A86" w:rsidP="005024DA">
      <w:pPr>
        <w:rPr>
          <w:rFonts w:ascii="Arial" w:hAnsi="Arial" w:cs="Arial"/>
          <w:sz w:val="20"/>
          <w:szCs w:val="20"/>
        </w:rPr>
      </w:pPr>
    </w:p>
    <w:p w:rsidR="00B37327" w:rsidRDefault="00B37327" w:rsidP="003F0A3A">
      <w:pPr>
        <w:rPr>
          <w:rFonts w:ascii="Arial" w:hAnsi="Arial" w:cs="Arial"/>
          <w:sz w:val="20"/>
          <w:szCs w:val="20"/>
        </w:rPr>
      </w:pPr>
      <w:r>
        <w:rPr>
          <w:rFonts w:ascii="Arial" w:hAnsi="Arial" w:cs="Arial"/>
          <w:sz w:val="20"/>
          <w:szCs w:val="20"/>
        </w:rPr>
        <w:t>As a result of the revie</w:t>
      </w:r>
      <w:r w:rsidR="00834990">
        <w:rPr>
          <w:rFonts w:ascii="Arial" w:hAnsi="Arial" w:cs="Arial"/>
          <w:sz w:val="20"/>
          <w:szCs w:val="20"/>
        </w:rPr>
        <w:t>w, the ATO set the effective liv</w:t>
      </w:r>
      <w:r>
        <w:rPr>
          <w:rFonts w:ascii="Arial" w:hAnsi="Arial" w:cs="Arial"/>
          <w:sz w:val="20"/>
          <w:szCs w:val="20"/>
        </w:rPr>
        <w:t>e</w:t>
      </w:r>
      <w:r w:rsidR="00834990">
        <w:rPr>
          <w:rFonts w:ascii="Arial" w:hAnsi="Arial" w:cs="Arial"/>
          <w:sz w:val="20"/>
          <w:szCs w:val="20"/>
        </w:rPr>
        <w:t>s</w:t>
      </w:r>
      <w:r>
        <w:rPr>
          <w:rFonts w:ascii="Arial" w:hAnsi="Arial" w:cs="Arial"/>
          <w:sz w:val="20"/>
          <w:szCs w:val="20"/>
        </w:rPr>
        <w:t xml:space="preserve"> of both trucks and trailers at 15 years, despite </w:t>
      </w:r>
      <w:r w:rsidR="003F0A3A">
        <w:rPr>
          <w:rFonts w:ascii="Arial" w:hAnsi="Arial" w:cs="Arial"/>
          <w:sz w:val="20"/>
          <w:szCs w:val="20"/>
        </w:rPr>
        <w:t>a</w:t>
      </w:r>
      <w:r>
        <w:rPr>
          <w:rFonts w:ascii="Arial" w:hAnsi="Arial" w:cs="Arial"/>
          <w:sz w:val="20"/>
          <w:szCs w:val="20"/>
        </w:rPr>
        <w:t xml:space="preserve"> KPMG </w:t>
      </w:r>
      <w:r w:rsidR="006E0D90">
        <w:rPr>
          <w:rFonts w:ascii="Arial" w:hAnsi="Arial" w:cs="Arial"/>
          <w:sz w:val="20"/>
          <w:szCs w:val="20"/>
        </w:rPr>
        <w:t xml:space="preserve">report </w:t>
      </w:r>
      <w:r w:rsidR="003F0A3A">
        <w:rPr>
          <w:rFonts w:ascii="Arial" w:hAnsi="Arial" w:cs="Arial"/>
          <w:sz w:val="20"/>
          <w:szCs w:val="20"/>
        </w:rPr>
        <w:t>concluding</w:t>
      </w:r>
      <w:r w:rsidR="006E0D90">
        <w:rPr>
          <w:rFonts w:ascii="Arial" w:hAnsi="Arial" w:cs="Arial"/>
          <w:sz w:val="20"/>
          <w:szCs w:val="20"/>
        </w:rPr>
        <w:t xml:space="preserve"> that:</w:t>
      </w:r>
    </w:p>
    <w:p w:rsidR="006E0D90" w:rsidRDefault="006E0D90" w:rsidP="005024DA">
      <w:pPr>
        <w:rPr>
          <w:rFonts w:ascii="Arial" w:hAnsi="Arial" w:cs="Arial"/>
          <w:sz w:val="20"/>
          <w:szCs w:val="20"/>
        </w:rPr>
      </w:pPr>
    </w:p>
    <w:p w:rsidR="006E0D90" w:rsidRPr="006E0D90" w:rsidRDefault="00834990" w:rsidP="00AE232A">
      <w:pPr>
        <w:pStyle w:val="ListParagraph"/>
        <w:numPr>
          <w:ilvl w:val="0"/>
          <w:numId w:val="13"/>
        </w:numPr>
        <w:spacing w:after="0" w:line="240" w:lineRule="auto"/>
        <w:rPr>
          <w:rFonts w:ascii="Arial" w:hAnsi="Arial" w:cs="Arial"/>
          <w:sz w:val="20"/>
          <w:szCs w:val="20"/>
        </w:rPr>
      </w:pPr>
      <w:r>
        <w:rPr>
          <w:rFonts w:ascii="Arial" w:hAnsi="Arial" w:cs="Arial"/>
          <w:sz w:val="20"/>
          <w:szCs w:val="20"/>
        </w:rPr>
        <w:t>A</w:t>
      </w:r>
      <w:r w:rsidR="006E0D90" w:rsidRPr="006E0D90">
        <w:rPr>
          <w:rFonts w:ascii="Arial" w:hAnsi="Arial" w:cs="Arial"/>
          <w:sz w:val="20"/>
          <w:szCs w:val="20"/>
        </w:rPr>
        <w:t xml:space="preserve"> road transport operator acquiring prime movers after the implementation of a fifteen year effective life regime would need to fund an after tax cash flow gap of around $8,800 per year for each truck</w:t>
      </w:r>
      <w:r w:rsidR="006E0D90">
        <w:rPr>
          <w:rFonts w:ascii="Arial" w:hAnsi="Arial" w:cs="Arial"/>
          <w:sz w:val="20"/>
          <w:szCs w:val="20"/>
        </w:rPr>
        <w:t>.</w:t>
      </w:r>
    </w:p>
    <w:p w:rsidR="006E0D90" w:rsidRDefault="006E0D90" w:rsidP="006E0D90">
      <w:pPr>
        <w:rPr>
          <w:rFonts w:ascii="Arial" w:hAnsi="Arial" w:cs="Arial"/>
          <w:sz w:val="20"/>
          <w:szCs w:val="20"/>
        </w:rPr>
      </w:pPr>
    </w:p>
    <w:p w:rsidR="006E0D90" w:rsidRPr="006E0D90" w:rsidRDefault="00834990" w:rsidP="00AE232A">
      <w:pPr>
        <w:pStyle w:val="ListParagraph"/>
        <w:numPr>
          <w:ilvl w:val="0"/>
          <w:numId w:val="13"/>
        </w:numPr>
        <w:spacing w:after="0" w:line="240" w:lineRule="auto"/>
        <w:rPr>
          <w:rFonts w:ascii="Arial" w:hAnsi="Arial" w:cs="Arial"/>
          <w:sz w:val="20"/>
          <w:szCs w:val="20"/>
        </w:rPr>
      </w:pPr>
      <w:r>
        <w:rPr>
          <w:rFonts w:ascii="Arial" w:hAnsi="Arial" w:cs="Arial"/>
          <w:sz w:val="20"/>
          <w:szCs w:val="20"/>
        </w:rPr>
        <w:t>T</w:t>
      </w:r>
      <w:r w:rsidR="006E0D90" w:rsidRPr="006E0D90">
        <w:rPr>
          <w:rFonts w:ascii="Arial" w:hAnsi="Arial" w:cs="Arial"/>
          <w:sz w:val="20"/>
          <w:szCs w:val="20"/>
        </w:rPr>
        <w:t xml:space="preserve">he proposed effective life of fifteen years </w:t>
      </w:r>
      <w:r w:rsidR="003F0A3A">
        <w:rPr>
          <w:rFonts w:ascii="Arial" w:hAnsi="Arial" w:cs="Arial"/>
          <w:sz w:val="20"/>
          <w:szCs w:val="20"/>
        </w:rPr>
        <w:t xml:space="preserve">was </w:t>
      </w:r>
      <w:r w:rsidR="006E0D90" w:rsidRPr="006E0D90">
        <w:rPr>
          <w:rFonts w:ascii="Arial" w:hAnsi="Arial" w:cs="Arial"/>
          <w:sz w:val="20"/>
          <w:szCs w:val="20"/>
        </w:rPr>
        <w:t>not consistent with the expected actual usage and value diminution of trucks</w:t>
      </w:r>
      <w:r w:rsidR="006E0D90">
        <w:rPr>
          <w:rFonts w:ascii="Arial" w:hAnsi="Arial" w:cs="Arial"/>
          <w:sz w:val="20"/>
          <w:szCs w:val="20"/>
        </w:rPr>
        <w:t>.</w:t>
      </w:r>
    </w:p>
    <w:p w:rsidR="006E0D90" w:rsidRDefault="006E0D90" w:rsidP="006E0D90">
      <w:pPr>
        <w:rPr>
          <w:rFonts w:ascii="Arial" w:hAnsi="Arial" w:cs="Arial"/>
          <w:sz w:val="20"/>
          <w:szCs w:val="20"/>
        </w:rPr>
      </w:pPr>
    </w:p>
    <w:p w:rsidR="006E0D90" w:rsidRPr="006E0D90" w:rsidRDefault="00834990" w:rsidP="00AE232A">
      <w:pPr>
        <w:pStyle w:val="ListParagraph"/>
        <w:numPr>
          <w:ilvl w:val="0"/>
          <w:numId w:val="13"/>
        </w:numPr>
        <w:spacing w:after="0" w:line="240" w:lineRule="auto"/>
        <w:rPr>
          <w:rFonts w:ascii="Arial" w:hAnsi="Arial" w:cs="Arial"/>
          <w:sz w:val="20"/>
          <w:szCs w:val="20"/>
        </w:rPr>
      </w:pPr>
      <w:r>
        <w:rPr>
          <w:rFonts w:ascii="Arial" w:hAnsi="Arial" w:cs="Arial"/>
          <w:sz w:val="20"/>
          <w:szCs w:val="20"/>
        </w:rPr>
        <w:t>A</w:t>
      </w:r>
      <w:r w:rsidR="006E0D90" w:rsidRPr="006E0D90">
        <w:rPr>
          <w:rFonts w:ascii="Arial" w:hAnsi="Arial" w:cs="Arial"/>
          <w:sz w:val="20"/>
          <w:szCs w:val="20"/>
        </w:rPr>
        <w:t>n increase in effective life would lead to road transport businesses deferring the acquisition of new trucks, delaying the introduction of safer and more environmentally friendly vehicles.</w:t>
      </w:r>
      <w:r w:rsidR="003F0A3A">
        <w:rPr>
          <w:rStyle w:val="FootnoteReference"/>
          <w:szCs w:val="20"/>
        </w:rPr>
        <w:footnoteReference w:id="2"/>
      </w:r>
    </w:p>
    <w:p w:rsidR="00061A86" w:rsidRDefault="00061A86" w:rsidP="005024DA">
      <w:pPr>
        <w:rPr>
          <w:rFonts w:ascii="Arial" w:hAnsi="Arial" w:cs="Arial"/>
          <w:sz w:val="20"/>
          <w:szCs w:val="20"/>
        </w:rPr>
      </w:pPr>
    </w:p>
    <w:p w:rsidR="003F0A3A" w:rsidRDefault="003F0A3A" w:rsidP="005024DA">
      <w:pPr>
        <w:rPr>
          <w:rFonts w:ascii="Arial" w:hAnsi="Arial" w:cs="Arial"/>
          <w:sz w:val="20"/>
          <w:szCs w:val="20"/>
        </w:rPr>
      </w:pPr>
      <w:r>
        <w:rPr>
          <w:rFonts w:ascii="Arial" w:hAnsi="Arial" w:cs="Arial"/>
          <w:sz w:val="20"/>
          <w:szCs w:val="20"/>
        </w:rPr>
        <w:t xml:space="preserve">Parliament subsequently imposed </w:t>
      </w:r>
      <w:r w:rsidR="00A75D04">
        <w:rPr>
          <w:rFonts w:ascii="Arial" w:hAnsi="Arial" w:cs="Arial"/>
          <w:sz w:val="20"/>
          <w:szCs w:val="20"/>
        </w:rPr>
        <w:t>the current statutory caps on the effective</w:t>
      </w:r>
      <w:r>
        <w:rPr>
          <w:rFonts w:ascii="Arial" w:hAnsi="Arial" w:cs="Arial"/>
          <w:sz w:val="20"/>
          <w:szCs w:val="20"/>
        </w:rPr>
        <w:t xml:space="preserve"> lives of trucks and trailers</w:t>
      </w:r>
      <w:r w:rsidR="00A75D04">
        <w:rPr>
          <w:rFonts w:ascii="Arial" w:hAnsi="Arial" w:cs="Arial"/>
          <w:sz w:val="20"/>
          <w:szCs w:val="20"/>
        </w:rPr>
        <w:t>, which took effect on 1 January 2005.</w:t>
      </w:r>
    </w:p>
    <w:p w:rsidR="00A75D04" w:rsidRDefault="00A75D04" w:rsidP="005024DA">
      <w:pPr>
        <w:rPr>
          <w:rFonts w:ascii="Arial" w:hAnsi="Arial" w:cs="Arial"/>
          <w:sz w:val="20"/>
          <w:szCs w:val="20"/>
        </w:rPr>
      </w:pPr>
    </w:p>
    <w:p w:rsidR="00A75D04" w:rsidRDefault="00A75D04" w:rsidP="005024DA">
      <w:pPr>
        <w:rPr>
          <w:rFonts w:ascii="Arial" w:hAnsi="Arial" w:cs="Arial"/>
          <w:sz w:val="20"/>
          <w:szCs w:val="20"/>
        </w:rPr>
      </w:pPr>
      <w:r>
        <w:rPr>
          <w:rFonts w:ascii="Arial" w:hAnsi="Arial" w:cs="Arial"/>
          <w:sz w:val="20"/>
          <w:szCs w:val="20"/>
        </w:rPr>
        <w:t>In its discussion paper, the BTWG conceded that some of the options it is considering would involve reversing measures that have only recently been enacted.</w:t>
      </w:r>
      <w:r>
        <w:rPr>
          <w:rStyle w:val="FootnoteReference"/>
          <w:szCs w:val="20"/>
        </w:rPr>
        <w:footnoteReference w:id="3"/>
      </w:r>
      <w:r>
        <w:rPr>
          <w:rFonts w:ascii="Arial" w:hAnsi="Arial" w:cs="Arial"/>
          <w:sz w:val="20"/>
          <w:szCs w:val="20"/>
        </w:rPr>
        <w:t xml:space="preserve"> The inclusion of trucks and trailers in option B.6 is an example</w:t>
      </w:r>
      <w:r w:rsidR="00834990">
        <w:rPr>
          <w:rFonts w:ascii="Arial" w:hAnsi="Arial" w:cs="Arial"/>
          <w:sz w:val="20"/>
          <w:szCs w:val="20"/>
        </w:rPr>
        <w:t>.</w:t>
      </w:r>
    </w:p>
    <w:p w:rsidR="00A75D04" w:rsidRDefault="00A75D04" w:rsidP="005024DA">
      <w:pPr>
        <w:rPr>
          <w:rFonts w:ascii="Arial" w:hAnsi="Arial" w:cs="Arial"/>
          <w:sz w:val="20"/>
          <w:szCs w:val="20"/>
        </w:rPr>
      </w:pPr>
    </w:p>
    <w:p w:rsidR="00A75D04" w:rsidRDefault="00A75D04" w:rsidP="005024DA">
      <w:pPr>
        <w:rPr>
          <w:rFonts w:ascii="Arial" w:hAnsi="Arial" w:cs="Arial"/>
          <w:sz w:val="20"/>
          <w:szCs w:val="20"/>
        </w:rPr>
      </w:pPr>
      <w:r>
        <w:rPr>
          <w:rFonts w:ascii="Arial" w:hAnsi="Arial" w:cs="Arial"/>
          <w:sz w:val="20"/>
          <w:szCs w:val="20"/>
        </w:rPr>
        <w:t>The discussion paper also noted there may well be circumstances where a departure from a un</w:t>
      </w:r>
      <w:r w:rsidR="00834990">
        <w:rPr>
          <w:rFonts w:ascii="Arial" w:hAnsi="Arial" w:cs="Arial"/>
          <w:sz w:val="20"/>
          <w:szCs w:val="20"/>
        </w:rPr>
        <w:t>iform tax base could</w:t>
      </w:r>
      <w:r>
        <w:rPr>
          <w:rFonts w:ascii="Arial" w:hAnsi="Arial" w:cs="Arial"/>
          <w:sz w:val="20"/>
          <w:szCs w:val="20"/>
        </w:rPr>
        <w:t xml:space="preserve"> be justified on economic grounds (such as encouraging activities that give rise to positive social benefits).</w:t>
      </w:r>
      <w:r>
        <w:rPr>
          <w:rStyle w:val="FootnoteReference"/>
          <w:szCs w:val="20"/>
        </w:rPr>
        <w:footnoteReference w:id="4"/>
      </w:r>
    </w:p>
    <w:p w:rsidR="00A75D04" w:rsidRDefault="00A75D04" w:rsidP="005024DA">
      <w:pPr>
        <w:rPr>
          <w:rFonts w:ascii="Arial" w:hAnsi="Arial" w:cs="Arial"/>
          <w:sz w:val="20"/>
          <w:szCs w:val="20"/>
        </w:rPr>
      </w:pPr>
    </w:p>
    <w:p w:rsidR="00A75D04" w:rsidRDefault="00A75D04" w:rsidP="005024DA">
      <w:pPr>
        <w:rPr>
          <w:rFonts w:ascii="Arial" w:hAnsi="Arial" w:cs="Arial"/>
          <w:sz w:val="20"/>
          <w:szCs w:val="20"/>
        </w:rPr>
      </w:pPr>
      <w:r>
        <w:rPr>
          <w:rFonts w:ascii="Arial" w:hAnsi="Arial" w:cs="Arial"/>
          <w:sz w:val="20"/>
          <w:szCs w:val="20"/>
        </w:rPr>
        <w:t xml:space="preserve">This submission reports on the </w:t>
      </w:r>
      <w:r w:rsidR="00F349F5">
        <w:rPr>
          <w:rFonts w:ascii="Arial" w:hAnsi="Arial" w:cs="Arial"/>
          <w:sz w:val="20"/>
          <w:szCs w:val="20"/>
        </w:rPr>
        <w:t xml:space="preserve">views of trucking operators about a cut to the company tax rate and option B.6 (section 2). It uses evidence provided by those operators to model the </w:t>
      </w:r>
      <w:r>
        <w:rPr>
          <w:rFonts w:ascii="Arial" w:hAnsi="Arial" w:cs="Arial"/>
          <w:sz w:val="20"/>
          <w:szCs w:val="20"/>
        </w:rPr>
        <w:t>cash flow impact</w:t>
      </w:r>
      <w:r w:rsidR="00F349F5">
        <w:rPr>
          <w:rFonts w:ascii="Arial" w:hAnsi="Arial" w:cs="Arial"/>
          <w:sz w:val="20"/>
          <w:szCs w:val="20"/>
        </w:rPr>
        <w:t xml:space="preserve">s of option B.6 (section 3), before examining the broader safety and environmental </w:t>
      </w:r>
      <w:r w:rsidR="006935D8">
        <w:rPr>
          <w:rFonts w:ascii="Arial" w:hAnsi="Arial" w:cs="Arial"/>
          <w:sz w:val="20"/>
          <w:szCs w:val="20"/>
        </w:rPr>
        <w:t>problems</w:t>
      </w:r>
      <w:r w:rsidR="00F349F5">
        <w:rPr>
          <w:rFonts w:ascii="Arial" w:hAnsi="Arial" w:cs="Arial"/>
          <w:sz w:val="20"/>
          <w:szCs w:val="20"/>
        </w:rPr>
        <w:t xml:space="preserve"> associated with the option (section 4).</w:t>
      </w:r>
    </w:p>
    <w:p w:rsidR="00A75D04" w:rsidRDefault="00A75D04" w:rsidP="005024DA">
      <w:pPr>
        <w:rPr>
          <w:rFonts w:ascii="Arial" w:hAnsi="Arial" w:cs="Arial"/>
          <w:sz w:val="20"/>
          <w:szCs w:val="20"/>
        </w:rPr>
      </w:pPr>
    </w:p>
    <w:p w:rsidR="00A75D04" w:rsidRDefault="00A75D04" w:rsidP="005024DA">
      <w:pPr>
        <w:rPr>
          <w:rFonts w:ascii="Arial" w:hAnsi="Arial" w:cs="Arial"/>
          <w:sz w:val="20"/>
          <w:szCs w:val="20"/>
        </w:rPr>
      </w:pPr>
      <w:r>
        <w:rPr>
          <w:rFonts w:ascii="Arial" w:hAnsi="Arial" w:cs="Arial"/>
          <w:sz w:val="20"/>
          <w:szCs w:val="20"/>
        </w:rPr>
        <w:t xml:space="preserve">The submission </w:t>
      </w:r>
      <w:r w:rsidR="00F349F5">
        <w:rPr>
          <w:rFonts w:ascii="Arial" w:hAnsi="Arial" w:cs="Arial"/>
          <w:sz w:val="20"/>
          <w:szCs w:val="20"/>
        </w:rPr>
        <w:t xml:space="preserve">concludes (in section 5) that there are </w:t>
      </w:r>
      <w:r w:rsidR="00D8184D">
        <w:rPr>
          <w:rFonts w:ascii="Arial" w:hAnsi="Arial" w:cs="Arial"/>
          <w:sz w:val="20"/>
          <w:szCs w:val="20"/>
        </w:rPr>
        <w:t>strong</w:t>
      </w:r>
      <w:r w:rsidR="00F349F5">
        <w:rPr>
          <w:rFonts w:ascii="Arial" w:hAnsi="Arial" w:cs="Arial"/>
          <w:sz w:val="20"/>
          <w:szCs w:val="20"/>
        </w:rPr>
        <w:t xml:space="preserve"> </w:t>
      </w:r>
      <w:r w:rsidR="00D8184D">
        <w:rPr>
          <w:rFonts w:ascii="Arial" w:hAnsi="Arial" w:cs="Arial"/>
          <w:sz w:val="20"/>
          <w:szCs w:val="20"/>
        </w:rPr>
        <w:t>reasons</w:t>
      </w:r>
      <w:r w:rsidR="00F349F5">
        <w:rPr>
          <w:rFonts w:ascii="Arial" w:hAnsi="Arial" w:cs="Arial"/>
          <w:sz w:val="20"/>
          <w:szCs w:val="20"/>
        </w:rPr>
        <w:t xml:space="preserve"> to depart from the proposed uniform tax rate by retaining the statutory caps on the effective lives of trucks and trailers.</w:t>
      </w:r>
    </w:p>
    <w:p w:rsidR="00A913AF" w:rsidRDefault="00A913AF" w:rsidP="005024DA">
      <w:pPr>
        <w:rPr>
          <w:rFonts w:ascii="Arial" w:hAnsi="Arial" w:cs="Arial"/>
          <w:sz w:val="20"/>
          <w:szCs w:val="20"/>
        </w:rPr>
      </w:pPr>
    </w:p>
    <w:p w:rsidR="000E0427" w:rsidRDefault="000E0427" w:rsidP="005024DA">
      <w:pPr>
        <w:rPr>
          <w:rFonts w:ascii="Arial" w:hAnsi="Arial" w:cs="Arial"/>
          <w:sz w:val="20"/>
          <w:szCs w:val="20"/>
        </w:rPr>
      </w:pPr>
    </w:p>
    <w:p w:rsidR="00383D38" w:rsidRPr="005708AF" w:rsidRDefault="00383D38" w:rsidP="005708AF">
      <w:pPr>
        <w:pStyle w:val="Heading1"/>
        <w:rPr>
          <w:sz w:val="22"/>
          <w:szCs w:val="22"/>
        </w:rPr>
      </w:pPr>
      <w:bookmarkStart w:id="3" w:name="_Toc336331460"/>
      <w:r w:rsidRPr="005708AF">
        <w:rPr>
          <w:sz w:val="22"/>
          <w:szCs w:val="22"/>
        </w:rPr>
        <w:t>Evidence from trucking businesses</w:t>
      </w:r>
      <w:bookmarkEnd w:id="3"/>
    </w:p>
    <w:p w:rsidR="00383D38" w:rsidRDefault="00383D38" w:rsidP="005024DA">
      <w:pPr>
        <w:rPr>
          <w:rFonts w:ascii="Arial" w:hAnsi="Arial" w:cs="Arial"/>
          <w:sz w:val="20"/>
          <w:szCs w:val="20"/>
        </w:rPr>
      </w:pPr>
    </w:p>
    <w:p w:rsidR="00AB4ECD" w:rsidRDefault="00816FE6" w:rsidP="005024DA">
      <w:pPr>
        <w:rPr>
          <w:rFonts w:ascii="Arial" w:hAnsi="Arial" w:cs="Arial"/>
          <w:sz w:val="20"/>
          <w:szCs w:val="20"/>
        </w:rPr>
      </w:pPr>
      <w:r>
        <w:rPr>
          <w:rFonts w:ascii="Arial" w:hAnsi="Arial" w:cs="Arial"/>
          <w:sz w:val="20"/>
          <w:szCs w:val="20"/>
        </w:rPr>
        <w:t>T</w:t>
      </w:r>
      <w:r w:rsidR="00AB4ECD">
        <w:rPr>
          <w:rFonts w:ascii="Arial" w:hAnsi="Arial" w:cs="Arial"/>
          <w:sz w:val="20"/>
          <w:szCs w:val="20"/>
        </w:rPr>
        <w:t>o support the development of this submission, the ATA circulated a questionnaire to trucking businesses through its member associations. The questionnaire (attachment A) asked the businesses to provide detailed responses to 20 tax and financial questions. Because of the sensitivity of the questions, the ATA assured businesses their responses would be treated in confidence and would be rounded and de-identified before use.</w:t>
      </w:r>
    </w:p>
    <w:p w:rsidR="00AB4ECD" w:rsidRDefault="00AB4ECD" w:rsidP="005024DA">
      <w:pPr>
        <w:rPr>
          <w:rFonts w:ascii="Arial" w:hAnsi="Arial" w:cs="Arial"/>
          <w:sz w:val="20"/>
          <w:szCs w:val="20"/>
        </w:rPr>
      </w:pPr>
    </w:p>
    <w:p w:rsidR="00AB4ECD" w:rsidRDefault="00AB4ECD" w:rsidP="005024DA">
      <w:pPr>
        <w:rPr>
          <w:rFonts w:ascii="Arial" w:hAnsi="Arial" w:cs="Arial"/>
          <w:sz w:val="20"/>
          <w:szCs w:val="20"/>
        </w:rPr>
      </w:pPr>
      <w:r>
        <w:rPr>
          <w:rFonts w:ascii="Arial" w:hAnsi="Arial" w:cs="Arial"/>
          <w:sz w:val="20"/>
          <w:szCs w:val="20"/>
        </w:rPr>
        <w:t xml:space="preserve">The ATA received completed questionnaires from </w:t>
      </w:r>
      <w:r w:rsidR="000925AB">
        <w:rPr>
          <w:rFonts w:ascii="Arial" w:hAnsi="Arial" w:cs="Arial"/>
          <w:sz w:val="20"/>
          <w:szCs w:val="20"/>
        </w:rPr>
        <w:t>eleven</w:t>
      </w:r>
      <w:r>
        <w:rPr>
          <w:rFonts w:ascii="Arial" w:hAnsi="Arial" w:cs="Arial"/>
          <w:sz w:val="20"/>
          <w:szCs w:val="20"/>
        </w:rPr>
        <w:t xml:space="preserve"> businesses, ranging from </w:t>
      </w:r>
      <w:r w:rsidR="000925AB">
        <w:rPr>
          <w:rFonts w:ascii="Arial" w:hAnsi="Arial" w:cs="Arial"/>
          <w:sz w:val="20"/>
          <w:szCs w:val="20"/>
        </w:rPr>
        <w:t>national logistics groups</w:t>
      </w:r>
      <w:r>
        <w:rPr>
          <w:rFonts w:ascii="Arial" w:hAnsi="Arial" w:cs="Arial"/>
          <w:sz w:val="20"/>
          <w:szCs w:val="20"/>
        </w:rPr>
        <w:t xml:space="preserve"> through to </w:t>
      </w:r>
      <w:r w:rsidR="00D2240F">
        <w:rPr>
          <w:rFonts w:ascii="Arial" w:hAnsi="Arial" w:cs="Arial"/>
          <w:sz w:val="20"/>
          <w:szCs w:val="20"/>
        </w:rPr>
        <w:t xml:space="preserve">firms </w:t>
      </w:r>
      <w:r w:rsidR="00821A35">
        <w:rPr>
          <w:rFonts w:ascii="Arial" w:hAnsi="Arial" w:cs="Arial"/>
          <w:sz w:val="20"/>
          <w:szCs w:val="20"/>
        </w:rPr>
        <w:t xml:space="preserve">with </w:t>
      </w:r>
      <w:r w:rsidR="000925AB">
        <w:rPr>
          <w:rFonts w:ascii="Arial" w:hAnsi="Arial" w:cs="Arial"/>
          <w:sz w:val="20"/>
          <w:szCs w:val="20"/>
        </w:rPr>
        <w:t xml:space="preserve">fewer </w:t>
      </w:r>
      <w:r w:rsidR="00A913AF" w:rsidRPr="00A913AF">
        <w:rPr>
          <w:rFonts w:ascii="Arial" w:hAnsi="Arial" w:cs="Arial"/>
          <w:sz w:val="20"/>
          <w:szCs w:val="20"/>
        </w:rPr>
        <w:t>than twenty trucks.</w:t>
      </w:r>
    </w:p>
    <w:p w:rsidR="00816FE6" w:rsidRDefault="00816FE6" w:rsidP="005024DA">
      <w:pPr>
        <w:rPr>
          <w:rFonts w:ascii="Arial" w:hAnsi="Arial" w:cs="Arial"/>
          <w:sz w:val="20"/>
          <w:szCs w:val="20"/>
        </w:rPr>
      </w:pPr>
    </w:p>
    <w:p w:rsidR="00695316" w:rsidRDefault="00695316" w:rsidP="005024DA">
      <w:pPr>
        <w:rPr>
          <w:rFonts w:ascii="Arial" w:hAnsi="Arial" w:cs="Arial"/>
          <w:sz w:val="20"/>
          <w:szCs w:val="20"/>
        </w:rPr>
      </w:pPr>
    </w:p>
    <w:p w:rsidR="00695316" w:rsidRPr="006E0763" w:rsidRDefault="005708AF" w:rsidP="006E0763">
      <w:pPr>
        <w:pStyle w:val="Heading2"/>
      </w:pPr>
      <w:bookmarkStart w:id="4" w:name="_Toc336331461"/>
      <w:r w:rsidRPr="006E0763">
        <w:t>Views about a cut to the company tax rate</w:t>
      </w:r>
      <w:bookmarkEnd w:id="4"/>
    </w:p>
    <w:p w:rsidR="00816FE6" w:rsidRDefault="00816FE6" w:rsidP="005024DA">
      <w:pPr>
        <w:rPr>
          <w:rFonts w:ascii="Arial" w:hAnsi="Arial" w:cs="Arial"/>
          <w:sz w:val="20"/>
          <w:szCs w:val="20"/>
        </w:rPr>
      </w:pPr>
    </w:p>
    <w:p w:rsidR="005708AF" w:rsidRDefault="005708AF" w:rsidP="005024DA">
      <w:pPr>
        <w:rPr>
          <w:rFonts w:ascii="Arial" w:hAnsi="Arial" w:cs="Arial"/>
          <w:sz w:val="20"/>
          <w:szCs w:val="20"/>
        </w:rPr>
      </w:pPr>
      <w:r>
        <w:rPr>
          <w:rFonts w:ascii="Arial" w:hAnsi="Arial" w:cs="Arial"/>
          <w:sz w:val="20"/>
          <w:szCs w:val="20"/>
        </w:rPr>
        <w:t xml:space="preserve">The businesses who responded to the questionnaire were near unanimous in their support for the option of cutting the company tax rate to 25 per cent. </w:t>
      </w:r>
    </w:p>
    <w:p w:rsidR="005708AF" w:rsidRDefault="005708AF" w:rsidP="005024DA">
      <w:pPr>
        <w:rPr>
          <w:rFonts w:ascii="Arial" w:hAnsi="Arial" w:cs="Arial"/>
          <w:sz w:val="20"/>
          <w:szCs w:val="20"/>
        </w:rPr>
      </w:pPr>
    </w:p>
    <w:p w:rsidR="005708AF" w:rsidRDefault="005708AF" w:rsidP="005024DA">
      <w:pPr>
        <w:rPr>
          <w:rFonts w:ascii="Arial" w:hAnsi="Arial" w:cs="Arial"/>
          <w:sz w:val="20"/>
          <w:szCs w:val="20"/>
        </w:rPr>
      </w:pPr>
      <w:r>
        <w:rPr>
          <w:rFonts w:ascii="Arial" w:hAnsi="Arial" w:cs="Arial"/>
          <w:sz w:val="20"/>
          <w:szCs w:val="20"/>
        </w:rPr>
        <w:t>Many of these businesses, though, were very concerned about the possibility of losing the statutory effective life cap</w:t>
      </w:r>
      <w:r w:rsidR="000925AB">
        <w:rPr>
          <w:rFonts w:ascii="Arial" w:hAnsi="Arial" w:cs="Arial"/>
          <w:sz w:val="20"/>
          <w:szCs w:val="20"/>
        </w:rPr>
        <w:t>s</w:t>
      </w:r>
      <w:r>
        <w:rPr>
          <w:rFonts w:ascii="Arial" w:hAnsi="Arial" w:cs="Arial"/>
          <w:sz w:val="20"/>
          <w:szCs w:val="20"/>
        </w:rPr>
        <w:t xml:space="preserve"> as a result of option B.6:</w:t>
      </w:r>
    </w:p>
    <w:p w:rsidR="005708AF" w:rsidRDefault="005708AF" w:rsidP="005024DA">
      <w:pPr>
        <w:rPr>
          <w:rFonts w:ascii="Arial" w:hAnsi="Arial" w:cs="Arial"/>
          <w:sz w:val="20"/>
          <w:szCs w:val="20"/>
        </w:rPr>
      </w:pPr>
    </w:p>
    <w:p w:rsidR="005708AF" w:rsidRPr="005708AF" w:rsidRDefault="005708AF" w:rsidP="005F0D30">
      <w:pPr>
        <w:ind w:left="1134" w:right="1134"/>
        <w:rPr>
          <w:rFonts w:ascii="Arial" w:hAnsi="Arial" w:cs="Arial"/>
          <w:i/>
          <w:sz w:val="20"/>
          <w:szCs w:val="20"/>
        </w:rPr>
      </w:pPr>
      <w:r w:rsidRPr="005708AF">
        <w:rPr>
          <w:rFonts w:ascii="Arial" w:hAnsi="Arial" w:cs="Arial"/>
          <w:i/>
          <w:sz w:val="20"/>
          <w:szCs w:val="20"/>
        </w:rPr>
        <w:t xml:space="preserve">We have undertaken a relatively high level modelling analysis and advise that only if there is at least a 2% reduction in the corporate tax rate would </w:t>
      </w:r>
      <w:r w:rsidRPr="009F2E86">
        <w:rPr>
          <w:rFonts w:ascii="Arial" w:hAnsi="Arial" w:cs="Arial"/>
          <w:sz w:val="20"/>
          <w:szCs w:val="20"/>
        </w:rPr>
        <w:t>[redacted]</w:t>
      </w:r>
      <w:r w:rsidRPr="005708AF">
        <w:rPr>
          <w:rFonts w:ascii="Arial" w:hAnsi="Arial" w:cs="Arial"/>
          <w:i/>
          <w:sz w:val="20"/>
          <w:szCs w:val="20"/>
        </w:rPr>
        <w:t xml:space="preserve"> generate a better after tax position for the group, if the rate reduction was funded by the removal of statutory caps and/or the move from a 200% DV rate approach to a 150% DV rate.</w:t>
      </w:r>
    </w:p>
    <w:p w:rsidR="005708AF" w:rsidRDefault="005708AF" w:rsidP="005024DA">
      <w:pPr>
        <w:rPr>
          <w:rFonts w:ascii="Arial" w:hAnsi="Arial" w:cs="Arial"/>
          <w:sz w:val="20"/>
          <w:szCs w:val="20"/>
        </w:rPr>
      </w:pPr>
    </w:p>
    <w:p w:rsidR="005708AF" w:rsidRDefault="005F0D30" w:rsidP="005F0D30">
      <w:pPr>
        <w:ind w:left="981" w:firstLine="153"/>
        <w:rPr>
          <w:rFonts w:ascii="Arial" w:hAnsi="Arial" w:cs="Arial"/>
          <w:sz w:val="20"/>
          <w:szCs w:val="20"/>
        </w:rPr>
      </w:pPr>
      <w:r>
        <w:rPr>
          <w:rFonts w:ascii="Arial" w:hAnsi="Arial" w:cs="Arial"/>
          <w:sz w:val="20"/>
          <w:szCs w:val="20"/>
        </w:rPr>
        <w:t>[National logistics group]</w:t>
      </w:r>
    </w:p>
    <w:p w:rsidR="005708AF" w:rsidRDefault="005708AF" w:rsidP="005708AF">
      <w:pPr>
        <w:ind w:left="567"/>
        <w:rPr>
          <w:rFonts w:ascii="Arial" w:hAnsi="Arial" w:cs="Arial"/>
          <w:sz w:val="20"/>
          <w:szCs w:val="20"/>
        </w:rPr>
      </w:pPr>
    </w:p>
    <w:p w:rsidR="005708AF" w:rsidRDefault="005708AF" w:rsidP="005708AF">
      <w:pPr>
        <w:ind w:left="567"/>
        <w:rPr>
          <w:rFonts w:ascii="Arial" w:hAnsi="Arial" w:cs="Arial"/>
          <w:sz w:val="20"/>
          <w:szCs w:val="20"/>
        </w:rPr>
      </w:pPr>
    </w:p>
    <w:p w:rsidR="005708AF" w:rsidRPr="004D118B" w:rsidRDefault="005708AF" w:rsidP="00457D98">
      <w:pPr>
        <w:keepNext/>
        <w:ind w:left="1134" w:right="1134"/>
        <w:rPr>
          <w:rFonts w:ascii="Arial" w:hAnsi="Arial" w:cs="Arial"/>
          <w:i/>
          <w:sz w:val="20"/>
          <w:szCs w:val="20"/>
        </w:rPr>
      </w:pPr>
      <w:r w:rsidRPr="004D118B">
        <w:rPr>
          <w:rFonts w:ascii="Arial" w:hAnsi="Arial" w:cs="Arial"/>
          <w:i/>
          <w:sz w:val="20"/>
          <w:szCs w:val="20"/>
        </w:rPr>
        <w:t xml:space="preserve">For a growing younger business, this </w:t>
      </w:r>
      <w:r w:rsidRPr="009F2E86">
        <w:rPr>
          <w:rFonts w:ascii="Arial" w:hAnsi="Arial" w:cs="Arial"/>
          <w:sz w:val="20"/>
          <w:szCs w:val="20"/>
        </w:rPr>
        <w:t>[ie: option B.6]</w:t>
      </w:r>
      <w:r w:rsidRPr="004D118B">
        <w:rPr>
          <w:rFonts w:ascii="Arial" w:hAnsi="Arial" w:cs="Arial"/>
          <w:i/>
          <w:sz w:val="20"/>
          <w:szCs w:val="20"/>
        </w:rPr>
        <w:t xml:space="preserve"> would cripple them. Established companies can absorb tax when they own equipment. This method goes against small to medium business.</w:t>
      </w:r>
    </w:p>
    <w:p w:rsidR="005708AF" w:rsidRDefault="005708AF" w:rsidP="00457D98">
      <w:pPr>
        <w:keepNext/>
        <w:ind w:left="1134" w:right="1134"/>
        <w:rPr>
          <w:rFonts w:ascii="Arial" w:hAnsi="Arial" w:cs="Arial"/>
          <w:sz w:val="20"/>
          <w:szCs w:val="20"/>
        </w:rPr>
      </w:pPr>
    </w:p>
    <w:p w:rsidR="005708AF" w:rsidRDefault="005F0D30" w:rsidP="00457D98">
      <w:pPr>
        <w:keepNext/>
        <w:ind w:left="1134" w:right="1134"/>
        <w:rPr>
          <w:rFonts w:ascii="Arial" w:hAnsi="Arial" w:cs="Arial"/>
          <w:sz w:val="20"/>
          <w:szCs w:val="20"/>
        </w:rPr>
      </w:pPr>
      <w:r>
        <w:rPr>
          <w:rFonts w:ascii="Arial" w:hAnsi="Arial" w:cs="Arial"/>
          <w:sz w:val="20"/>
          <w:szCs w:val="20"/>
        </w:rPr>
        <w:t>[Livestock transport business, NSW]</w:t>
      </w:r>
    </w:p>
    <w:p w:rsidR="005708AF" w:rsidRDefault="005708AF" w:rsidP="005F0D30">
      <w:pPr>
        <w:ind w:left="1134" w:right="1134"/>
        <w:rPr>
          <w:rFonts w:ascii="Arial" w:hAnsi="Arial" w:cs="Arial"/>
          <w:sz w:val="20"/>
          <w:szCs w:val="20"/>
        </w:rPr>
      </w:pPr>
    </w:p>
    <w:p w:rsidR="004D118B" w:rsidRDefault="004D118B" w:rsidP="005F0D30">
      <w:pPr>
        <w:ind w:left="1134" w:right="1134"/>
        <w:rPr>
          <w:rFonts w:ascii="Arial" w:hAnsi="Arial" w:cs="Arial"/>
          <w:sz w:val="20"/>
          <w:szCs w:val="20"/>
        </w:rPr>
      </w:pPr>
    </w:p>
    <w:p w:rsidR="004D118B" w:rsidRDefault="004D118B" w:rsidP="00E15707">
      <w:pPr>
        <w:keepNext/>
        <w:ind w:left="1134" w:right="1134"/>
        <w:rPr>
          <w:rFonts w:ascii="Arial" w:hAnsi="Arial" w:cs="Arial"/>
          <w:sz w:val="20"/>
          <w:szCs w:val="20"/>
        </w:rPr>
      </w:pPr>
      <w:r w:rsidRPr="004D118B">
        <w:rPr>
          <w:rFonts w:ascii="Arial" w:hAnsi="Arial" w:cs="Arial"/>
          <w:i/>
          <w:sz w:val="20"/>
          <w:szCs w:val="20"/>
        </w:rPr>
        <w:t>We would prefer to retain the effective life caps rather than see a lowering of the company tax rate.</w:t>
      </w:r>
    </w:p>
    <w:p w:rsidR="004D118B" w:rsidRDefault="004D118B" w:rsidP="00E15707">
      <w:pPr>
        <w:keepNext/>
        <w:ind w:left="1134" w:right="1134"/>
        <w:rPr>
          <w:rFonts w:ascii="Arial" w:hAnsi="Arial" w:cs="Arial"/>
          <w:sz w:val="20"/>
          <w:szCs w:val="20"/>
        </w:rPr>
      </w:pPr>
    </w:p>
    <w:p w:rsidR="004D118B" w:rsidRPr="004D118B" w:rsidRDefault="005F0D30" w:rsidP="00E15707">
      <w:pPr>
        <w:keepNext/>
        <w:ind w:left="1134" w:right="1134"/>
        <w:rPr>
          <w:rFonts w:ascii="Arial" w:hAnsi="Arial" w:cs="Arial"/>
          <w:sz w:val="20"/>
          <w:szCs w:val="20"/>
        </w:rPr>
      </w:pPr>
      <w:r>
        <w:rPr>
          <w:rFonts w:ascii="Arial" w:hAnsi="Arial" w:cs="Arial"/>
          <w:sz w:val="20"/>
          <w:szCs w:val="20"/>
        </w:rPr>
        <w:t>[</w:t>
      </w:r>
      <w:r w:rsidR="0026391D">
        <w:rPr>
          <w:rFonts w:ascii="Arial" w:hAnsi="Arial" w:cs="Arial"/>
          <w:sz w:val="20"/>
          <w:szCs w:val="20"/>
        </w:rPr>
        <w:t>Qld/NSW</w:t>
      </w:r>
      <w:r>
        <w:rPr>
          <w:rFonts w:ascii="Arial" w:hAnsi="Arial" w:cs="Arial"/>
          <w:sz w:val="20"/>
          <w:szCs w:val="20"/>
        </w:rPr>
        <w:t xml:space="preserve"> line</w:t>
      </w:r>
      <w:r w:rsidR="005500D9">
        <w:rPr>
          <w:rFonts w:ascii="Arial" w:hAnsi="Arial" w:cs="Arial"/>
          <w:sz w:val="20"/>
          <w:szCs w:val="20"/>
        </w:rPr>
        <w:t>haul freight operator</w:t>
      </w:r>
      <w:r>
        <w:rPr>
          <w:rFonts w:ascii="Arial" w:hAnsi="Arial" w:cs="Arial"/>
          <w:sz w:val="20"/>
          <w:szCs w:val="20"/>
        </w:rPr>
        <w:t>]</w:t>
      </w:r>
    </w:p>
    <w:p w:rsidR="005708AF" w:rsidRDefault="005708AF" w:rsidP="005024DA">
      <w:pPr>
        <w:rPr>
          <w:rFonts w:ascii="Arial" w:hAnsi="Arial" w:cs="Arial"/>
          <w:sz w:val="20"/>
          <w:szCs w:val="20"/>
        </w:rPr>
      </w:pPr>
    </w:p>
    <w:p w:rsidR="004D118B" w:rsidRDefault="004D118B" w:rsidP="006E0763">
      <w:pPr>
        <w:pStyle w:val="Heading2"/>
      </w:pPr>
    </w:p>
    <w:p w:rsidR="005708AF" w:rsidRPr="004D118B" w:rsidRDefault="004D118B" w:rsidP="006E0763">
      <w:pPr>
        <w:pStyle w:val="Heading2"/>
      </w:pPr>
      <w:bookmarkStart w:id="5" w:name="_Toc336331462"/>
      <w:r w:rsidRPr="004D118B">
        <w:t>Views about the impact of option B.6</w:t>
      </w:r>
      <w:bookmarkEnd w:id="5"/>
    </w:p>
    <w:p w:rsidR="004D118B" w:rsidRDefault="004D118B" w:rsidP="005024DA">
      <w:pPr>
        <w:rPr>
          <w:rFonts w:ascii="Arial" w:hAnsi="Arial" w:cs="Arial"/>
          <w:sz w:val="20"/>
          <w:szCs w:val="20"/>
        </w:rPr>
      </w:pPr>
    </w:p>
    <w:p w:rsidR="004D118B" w:rsidRDefault="00986C6A" w:rsidP="005024DA">
      <w:pPr>
        <w:rPr>
          <w:rFonts w:ascii="Arial" w:hAnsi="Arial" w:cs="Arial"/>
          <w:sz w:val="20"/>
          <w:szCs w:val="20"/>
        </w:rPr>
      </w:pPr>
      <w:r>
        <w:rPr>
          <w:rFonts w:ascii="Arial" w:hAnsi="Arial" w:cs="Arial"/>
          <w:sz w:val="20"/>
          <w:szCs w:val="20"/>
        </w:rPr>
        <w:t>A number of the operators put the view that they would need to reduce their capital expenditure to manage the cash flow impact of option B.6</w:t>
      </w:r>
    </w:p>
    <w:p w:rsidR="00986C6A" w:rsidRDefault="00986C6A" w:rsidP="005024DA">
      <w:pPr>
        <w:rPr>
          <w:rFonts w:ascii="Arial" w:hAnsi="Arial" w:cs="Arial"/>
          <w:sz w:val="20"/>
          <w:szCs w:val="20"/>
        </w:rPr>
      </w:pPr>
    </w:p>
    <w:p w:rsidR="00986C6A" w:rsidRPr="00986C6A" w:rsidRDefault="00986C6A" w:rsidP="005F0D30">
      <w:pPr>
        <w:keepNext/>
        <w:ind w:left="1134" w:right="1134"/>
        <w:rPr>
          <w:rFonts w:ascii="Arial" w:hAnsi="Arial" w:cs="Arial"/>
          <w:i/>
          <w:sz w:val="20"/>
          <w:szCs w:val="20"/>
        </w:rPr>
      </w:pPr>
      <w:r w:rsidRPr="00986C6A">
        <w:rPr>
          <w:rFonts w:ascii="Arial" w:hAnsi="Arial" w:cs="Arial"/>
          <w:i/>
          <w:sz w:val="20"/>
          <w:szCs w:val="20"/>
        </w:rPr>
        <w:t>We will be forced to reduce our capital expenditure.</w:t>
      </w:r>
    </w:p>
    <w:p w:rsidR="00986C6A" w:rsidRDefault="00986C6A" w:rsidP="005F0D30">
      <w:pPr>
        <w:keepNext/>
        <w:ind w:left="1134" w:right="1134"/>
        <w:rPr>
          <w:rFonts w:ascii="Arial" w:hAnsi="Arial" w:cs="Arial"/>
          <w:sz w:val="20"/>
          <w:szCs w:val="20"/>
        </w:rPr>
      </w:pPr>
    </w:p>
    <w:p w:rsidR="00986C6A" w:rsidRPr="004D118B" w:rsidRDefault="005F0D30" w:rsidP="005F0D30">
      <w:pPr>
        <w:keepNext/>
        <w:ind w:left="1134" w:right="1134"/>
        <w:rPr>
          <w:rFonts w:ascii="Arial" w:hAnsi="Arial" w:cs="Arial"/>
          <w:sz w:val="20"/>
          <w:szCs w:val="20"/>
        </w:rPr>
      </w:pPr>
      <w:r>
        <w:rPr>
          <w:rFonts w:ascii="Arial" w:hAnsi="Arial" w:cs="Arial"/>
          <w:sz w:val="20"/>
          <w:szCs w:val="20"/>
        </w:rPr>
        <w:t>[</w:t>
      </w:r>
      <w:r w:rsidR="0026391D">
        <w:rPr>
          <w:rFonts w:ascii="Arial" w:hAnsi="Arial" w:cs="Arial"/>
          <w:sz w:val="20"/>
          <w:szCs w:val="20"/>
        </w:rPr>
        <w:t>Qld/NSW l</w:t>
      </w:r>
      <w:r>
        <w:rPr>
          <w:rFonts w:ascii="Arial" w:hAnsi="Arial" w:cs="Arial"/>
          <w:sz w:val="20"/>
          <w:szCs w:val="20"/>
        </w:rPr>
        <w:t>ine</w:t>
      </w:r>
      <w:r w:rsidR="00986C6A">
        <w:rPr>
          <w:rFonts w:ascii="Arial" w:hAnsi="Arial" w:cs="Arial"/>
          <w:sz w:val="20"/>
          <w:szCs w:val="20"/>
        </w:rPr>
        <w:t>haul freight operator</w:t>
      </w:r>
      <w:r>
        <w:rPr>
          <w:rFonts w:ascii="Arial" w:hAnsi="Arial" w:cs="Arial"/>
          <w:sz w:val="20"/>
          <w:szCs w:val="20"/>
        </w:rPr>
        <w:t>]</w:t>
      </w:r>
    </w:p>
    <w:p w:rsidR="005F0D30" w:rsidRDefault="005F0D30" w:rsidP="005F0D30">
      <w:pPr>
        <w:pStyle w:val="ListParagraph"/>
        <w:spacing w:after="0" w:line="240" w:lineRule="auto"/>
        <w:ind w:left="1134" w:right="1134"/>
        <w:rPr>
          <w:rFonts w:ascii="Arial" w:hAnsi="Arial" w:cs="Arial"/>
          <w:i/>
          <w:sz w:val="20"/>
          <w:szCs w:val="20"/>
        </w:rPr>
      </w:pPr>
    </w:p>
    <w:p w:rsidR="005F0D30" w:rsidRDefault="005F0D30" w:rsidP="005F0D30">
      <w:pPr>
        <w:pStyle w:val="ListParagraph"/>
        <w:spacing w:after="0" w:line="240" w:lineRule="auto"/>
        <w:ind w:left="1134" w:right="1134"/>
        <w:rPr>
          <w:rFonts w:ascii="Arial" w:hAnsi="Arial" w:cs="Arial"/>
          <w:i/>
          <w:sz w:val="20"/>
          <w:szCs w:val="20"/>
        </w:rPr>
      </w:pPr>
    </w:p>
    <w:p w:rsidR="00986C6A" w:rsidRPr="00986C6A" w:rsidRDefault="00986C6A" w:rsidP="005F0D30">
      <w:pPr>
        <w:pStyle w:val="ListParagraph"/>
        <w:spacing w:after="0" w:line="240" w:lineRule="auto"/>
        <w:ind w:left="1134" w:right="1134"/>
        <w:rPr>
          <w:rFonts w:ascii="Arial" w:hAnsi="Arial" w:cs="Arial"/>
          <w:i/>
          <w:sz w:val="20"/>
          <w:szCs w:val="20"/>
        </w:rPr>
      </w:pPr>
      <w:r w:rsidRPr="00986C6A">
        <w:rPr>
          <w:rFonts w:ascii="Arial" w:hAnsi="Arial" w:cs="Arial"/>
          <w:i/>
          <w:sz w:val="20"/>
          <w:szCs w:val="20"/>
        </w:rPr>
        <w:t>Over time it would greatly impact our cash flow as less is received for depreciation.</w:t>
      </w:r>
    </w:p>
    <w:p w:rsidR="00986C6A" w:rsidRPr="00986C6A" w:rsidRDefault="00986C6A" w:rsidP="005F0D30">
      <w:pPr>
        <w:pStyle w:val="ListParagraph"/>
        <w:spacing w:after="0" w:line="240" w:lineRule="auto"/>
        <w:ind w:left="1134" w:right="1134"/>
        <w:rPr>
          <w:rFonts w:ascii="Arial" w:hAnsi="Arial" w:cs="Arial"/>
          <w:i/>
          <w:sz w:val="20"/>
          <w:szCs w:val="20"/>
        </w:rPr>
      </w:pPr>
    </w:p>
    <w:p w:rsidR="00986C6A" w:rsidRPr="00986C6A" w:rsidRDefault="00986C6A" w:rsidP="005F0D30">
      <w:pPr>
        <w:pStyle w:val="ListParagraph"/>
        <w:spacing w:after="0" w:line="240" w:lineRule="auto"/>
        <w:ind w:left="1134" w:right="1134"/>
        <w:rPr>
          <w:rFonts w:ascii="Arial" w:hAnsi="Arial" w:cs="Arial"/>
          <w:i/>
          <w:sz w:val="20"/>
          <w:szCs w:val="20"/>
        </w:rPr>
      </w:pPr>
      <w:r w:rsidRPr="00986C6A">
        <w:rPr>
          <w:rFonts w:ascii="Arial" w:hAnsi="Arial" w:cs="Arial"/>
          <w:i/>
          <w:sz w:val="20"/>
          <w:szCs w:val="20"/>
        </w:rPr>
        <w:t>We endeavour to match the finance term with the effective life so the P&amp;L expense roughly matches the cash outflow of the repayments. Stretching the effective life means we will be paying out more than is being expensed which is a trap for businesses running the risk of thinking they are doing ok from a profit perspective however cash will be drained at a greater rate than the profit is generated.</w:t>
      </w:r>
    </w:p>
    <w:p w:rsidR="00986C6A" w:rsidRPr="00986C6A" w:rsidRDefault="00986C6A" w:rsidP="005F0D30">
      <w:pPr>
        <w:pStyle w:val="ListParagraph"/>
        <w:spacing w:after="0" w:line="240" w:lineRule="auto"/>
        <w:ind w:left="1134" w:right="1134"/>
        <w:rPr>
          <w:rFonts w:ascii="Arial" w:hAnsi="Arial" w:cs="Arial"/>
          <w:i/>
          <w:sz w:val="20"/>
          <w:szCs w:val="20"/>
        </w:rPr>
      </w:pPr>
    </w:p>
    <w:p w:rsidR="00986C6A" w:rsidRDefault="00986C6A" w:rsidP="005F0D30">
      <w:pPr>
        <w:pStyle w:val="ListParagraph"/>
        <w:spacing w:after="0" w:line="240" w:lineRule="auto"/>
        <w:ind w:left="1134" w:right="1134"/>
        <w:rPr>
          <w:rFonts w:ascii="Arial" w:hAnsi="Arial" w:cs="Arial"/>
          <w:i/>
          <w:sz w:val="20"/>
          <w:szCs w:val="20"/>
        </w:rPr>
      </w:pPr>
      <w:r w:rsidRPr="00986C6A">
        <w:rPr>
          <w:rFonts w:ascii="Arial" w:hAnsi="Arial" w:cs="Arial"/>
          <w:i/>
          <w:sz w:val="20"/>
          <w:szCs w:val="20"/>
        </w:rPr>
        <w:t>It is likely that we would buy less equipment and try to stretch the life of the equipment we have further. This will impact manufacturers and mean more carbon efficient vehicles are not being purchased.</w:t>
      </w:r>
    </w:p>
    <w:p w:rsidR="00986C6A" w:rsidRDefault="00986C6A" w:rsidP="005F0D30">
      <w:pPr>
        <w:pStyle w:val="ListParagraph"/>
        <w:spacing w:after="0" w:line="240" w:lineRule="auto"/>
        <w:ind w:left="1134" w:right="1134"/>
        <w:rPr>
          <w:rFonts w:ascii="Arial" w:hAnsi="Arial" w:cs="Arial"/>
          <w:i/>
          <w:sz w:val="20"/>
          <w:szCs w:val="20"/>
        </w:rPr>
      </w:pPr>
    </w:p>
    <w:p w:rsidR="00986C6A" w:rsidRPr="00986C6A" w:rsidRDefault="005F0D30" w:rsidP="005F0D30">
      <w:pPr>
        <w:pStyle w:val="ListParagraph"/>
        <w:spacing w:after="0" w:line="240" w:lineRule="auto"/>
        <w:ind w:left="1134" w:right="1134"/>
        <w:rPr>
          <w:rFonts w:ascii="Arial" w:hAnsi="Arial" w:cs="Arial"/>
          <w:sz w:val="20"/>
          <w:szCs w:val="20"/>
        </w:rPr>
      </w:pPr>
      <w:r>
        <w:rPr>
          <w:rFonts w:ascii="Arial" w:hAnsi="Arial" w:cs="Arial"/>
          <w:sz w:val="20"/>
          <w:szCs w:val="20"/>
        </w:rPr>
        <w:t>[</w:t>
      </w:r>
      <w:r w:rsidR="00986C6A">
        <w:rPr>
          <w:rFonts w:ascii="Arial" w:hAnsi="Arial" w:cs="Arial"/>
          <w:sz w:val="20"/>
          <w:szCs w:val="20"/>
        </w:rPr>
        <w:t xml:space="preserve">National </w:t>
      </w:r>
      <w:r>
        <w:rPr>
          <w:rFonts w:ascii="Arial" w:hAnsi="Arial" w:cs="Arial"/>
          <w:sz w:val="20"/>
          <w:szCs w:val="20"/>
        </w:rPr>
        <w:t xml:space="preserve">linehaul freight </w:t>
      </w:r>
      <w:r w:rsidR="00986C6A">
        <w:rPr>
          <w:rFonts w:ascii="Arial" w:hAnsi="Arial" w:cs="Arial"/>
          <w:sz w:val="20"/>
          <w:szCs w:val="20"/>
        </w:rPr>
        <w:t>operator</w:t>
      </w:r>
      <w:r>
        <w:rPr>
          <w:rFonts w:ascii="Arial" w:hAnsi="Arial" w:cs="Arial"/>
          <w:sz w:val="20"/>
          <w:szCs w:val="20"/>
        </w:rPr>
        <w:t>]</w:t>
      </w:r>
    </w:p>
    <w:p w:rsidR="004D118B" w:rsidRDefault="004D118B" w:rsidP="005024DA">
      <w:pPr>
        <w:rPr>
          <w:rFonts w:ascii="Arial" w:hAnsi="Arial" w:cs="Arial"/>
          <w:sz w:val="20"/>
          <w:szCs w:val="20"/>
        </w:rPr>
      </w:pPr>
    </w:p>
    <w:p w:rsidR="00D40494" w:rsidRDefault="00D40494" w:rsidP="005024DA">
      <w:pPr>
        <w:rPr>
          <w:rFonts w:ascii="Arial" w:hAnsi="Arial" w:cs="Arial"/>
          <w:sz w:val="20"/>
          <w:szCs w:val="20"/>
        </w:rPr>
      </w:pPr>
    </w:p>
    <w:p w:rsidR="005A3B1E" w:rsidRDefault="005F0D30" w:rsidP="005024DA">
      <w:pPr>
        <w:rPr>
          <w:rFonts w:ascii="Arial" w:hAnsi="Arial" w:cs="Arial"/>
          <w:sz w:val="20"/>
          <w:szCs w:val="20"/>
        </w:rPr>
      </w:pPr>
      <w:r>
        <w:rPr>
          <w:rFonts w:ascii="Arial" w:hAnsi="Arial" w:cs="Arial"/>
          <w:sz w:val="20"/>
          <w:szCs w:val="20"/>
        </w:rPr>
        <w:t>But f</w:t>
      </w:r>
      <w:r w:rsidR="005A3B1E">
        <w:rPr>
          <w:rFonts w:ascii="Arial" w:hAnsi="Arial" w:cs="Arial"/>
          <w:sz w:val="20"/>
          <w:szCs w:val="20"/>
        </w:rPr>
        <w:t xml:space="preserve">or one business servicing the mining industry, option B.6 would make no difference – except in </w:t>
      </w:r>
      <w:r>
        <w:rPr>
          <w:rFonts w:ascii="Arial" w:hAnsi="Arial" w:cs="Arial"/>
          <w:sz w:val="20"/>
          <w:szCs w:val="20"/>
        </w:rPr>
        <w:t xml:space="preserve">its tax </w:t>
      </w:r>
      <w:r w:rsidR="005A3B1E">
        <w:rPr>
          <w:rFonts w:ascii="Arial" w:hAnsi="Arial" w:cs="Arial"/>
          <w:sz w:val="20"/>
          <w:szCs w:val="20"/>
        </w:rPr>
        <w:t>compliance paperwork:</w:t>
      </w:r>
    </w:p>
    <w:p w:rsidR="005A3B1E" w:rsidRDefault="005A3B1E" w:rsidP="005024DA">
      <w:pPr>
        <w:rPr>
          <w:rFonts w:ascii="Arial" w:hAnsi="Arial" w:cs="Arial"/>
          <w:sz w:val="20"/>
          <w:szCs w:val="20"/>
        </w:rPr>
      </w:pPr>
    </w:p>
    <w:p w:rsidR="005A3B1E" w:rsidRDefault="005A3B1E" w:rsidP="005F0D30">
      <w:pPr>
        <w:ind w:left="1134" w:right="1134"/>
        <w:rPr>
          <w:rFonts w:ascii="Arial" w:hAnsi="Arial" w:cs="Arial"/>
          <w:sz w:val="20"/>
          <w:szCs w:val="20"/>
        </w:rPr>
      </w:pPr>
      <w:r w:rsidRPr="005A3B1E">
        <w:rPr>
          <w:rFonts w:ascii="Arial" w:hAnsi="Arial" w:cs="Arial"/>
          <w:i/>
          <w:sz w:val="20"/>
          <w:szCs w:val="20"/>
        </w:rPr>
        <w:t xml:space="preserve">It would have no effect because we would </w:t>
      </w:r>
      <w:r w:rsidR="00A71178">
        <w:rPr>
          <w:rFonts w:ascii="Arial" w:hAnsi="Arial" w:cs="Arial"/>
          <w:i/>
          <w:sz w:val="20"/>
          <w:szCs w:val="20"/>
        </w:rPr>
        <w:t>have</w:t>
      </w:r>
      <w:r w:rsidR="00583B7B">
        <w:rPr>
          <w:rFonts w:ascii="Arial" w:hAnsi="Arial" w:cs="Arial"/>
          <w:i/>
          <w:sz w:val="20"/>
          <w:szCs w:val="20"/>
        </w:rPr>
        <w:t xml:space="preserve"> </w:t>
      </w:r>
      <w:r w:rsidRPr="005A3B1E">
        <w:rPr>
          <w:rFonts w:ascii="Arial" w:hAnsi="Arial" w:cs="Arial"/>
          <w:i/>
          <w:sz w:val="20"/>
          <w:szCs w:val="20"/>
        </w:rPr>
        <w:t>to self-assess the effective life of an asset and as a result we would use the rates of depreciation that we are currently using. Doubling of the effective life of assets as proposed would not reflect an accurate position in our business.</w:t>
      </w:r>
    </w:p>
    <w:p w:rsidR="006F73DD" w:rsidRDefault="006F73DD" w:rsidP="005F0D30">
      <w:pPr>
        <w:ind w:left="1134" w:right="1134"/>
        <w:rPr>
          <w:rFonts w:ascii="Arial" w:hAnsi="Arial" w:cs="Arial"/>
          <w:sz w:val="20"/>
          <w:szCs w:val="20"/>
        </w:rPr>
      </w:pPr>
    </w:p>
    <w:p w:rsidR="006F73DD" w:rsidRPr="006F73DD" w:rsidRDefault="005F0D30" w:rsidP="005F0D30">
      <w:pPr>
        <w:ind w:left="1134" w:right="1134"/>
        <w:rPr>
          <w:rFonts w:ascii="Arial" w:hAnsi="Arial" w:cs="Arial"/>
          <w:sz w:val="20"/>
          <w:szCs w:val="20"/>
        </w:rPr>
      </w:pPr>
      <w:r>
        <w:rPr>
          <w:rFonts w:ascii="Arial" w:hAnsi="Arial" w:cs="Arial"/>
          <w:sz w:val="20"/>
          <w:szCs w:val="20"/>
        </w:rPr>
        <w:t>[</w:t>
      </w:r>
      <w:r w:rsidR="0026391D">
        <w:rPr>
          <w:rFonts w:ascii="Arial" w:hAnsi="Arial" w:cs="Arial"/>
          <w:sz w:val="20"/>
          <w:szCs w:val="20"/>
        </w:rPr>
        <w:t xml:space="preserve">Mining industry and </w:t>
      </w:r>
      <w:r w:rsidR="006F73DD">
        <w:rPr>
          <w:rFonts w:ascii="Arial" w:hAnsi="Arial" w:cs="Arial"/>
          <w:sz w:val="20"/>
          <w:szCs w:val="20"/>
        </w:rPr>
        <w:t>heavy haulage specialist</w:t>
      </w:r>
      <w:r>
        <w:rPr>
          <w:rFonts w:ascii="Arial" w:hAnsi="Arial" w:cs="Arial"/>
          <w:sz w:val="20"/>
          <w:szCs w:val="20"/>
        </w:rPr>
        <w:t>, WA]</w:t>
      </w:r>
    </w:p>
    <w:p w:rsidR="005A3B1E" w:rsidRDefault="005A3B1E" w:rsidP="005024DA">
      <w:pPr>
        <w:rPr>
          <w:rFonts w:ascii="Arial" w:hAnsi="Arial" w:cs="Arial"/>
          <w:sz w:val="20"/>
          <w:szCs w:val="20"/>
        </w:rPr>
      </w:pPr>
    </w:p>
    <w:p w:rsidR="005A3B1E" w:rsidRDefault="005A3B1E" w:rsidP="005024DA">
      <w:pPr>
        <w:rPr>
          <w:rFonts w:ascii="Arial" w:hAnsi="Arial" w:cs="Arial"/>
          <w:sz w:val="20"/>
          <w:szCs w:val="20"/>
        </w:rPr>
      </w:pPr>
    </w:p>
    <w:p w:rsidR="00383D38" w:rsidRPr="00055982" w:rsidRDefault="00383D38" w:rsidP="00055982">
      <w:pPr>
        <w:pStyle w:val="Heading1"/>
        <w:rPr>
          <w:sz w:val="22"/>
          <w:szCs w:val="22"/>
        </w:rPr>
      </w:pPr>
      <w:bookmarkStart w:id="6" w:name="_Toc336331463"/>
      <w:r w:rsidRPr="00055982">
        <w:rPr>
          <w:sz w:val="22"/>
          <w:szCs w:val="22"/>
        </w:rPr>
        <w:t xml:space="preserve">Modelling </w:t>
      </w:r>
      <w:r w:rsidR="00055982" w:rsidRPr="00055982">
        <w:rPr>
          <w:sz w:val="22"/>
          <w:szCs w:val="22"/>
        </w:rPr>
        <w:t>the cash flow impact of option B.6</w:t>
      </w:r>
      <w:bookmarkEnd w:id="6"/>
    </w:p>
    <w:p w:rsidR="00383D38" w:rsidRDefault="00383D38" w:rsidP="005024DA">
      <w:pPr>
        <w:rPr>
          <w:rFonts w:ascii="Arial" w:hAnsi="Arial" w:cs="Arial"/>
          <w:sz w:val="20"/>
          <w:szCs w:val="20"/>
        </w:rPr>
      </w:pPr>
    </w:p>
    <w:p w:rsidR="005708AF" w:rsidRDefault="00E051A8" w:rsidP="005708AF">
      <w:pPr>
        <w:rPr>
          <w:rFonts w:ascii="Arial" w:hAnsi="Arial" w:cs="Arial"/>
          <w:sz w:val="20"/>
          <w:szCs w:val="20"/>
        </w:rPr>
      </w:pPr>
      <w:r>
        <w:rPr>
          <w:rFonts w:ascii="Arial" w:hAnsi="Arial" w:cs="Arial"/>
          <w:sz w:val="20"/>
          <w:szCs w:val="20"/>
        </w:rPr>
        <w:t xml:space="preserve">To </w:t>
      </w:r>
      <w:r w:rsidR="000C58F2">
        <w:rPr>
          <w:rFonts w:ascii="Arial" w:hAnsi="Arial" w:cs="Arial"/>
          <w:sz w:val="20"/>
          <w:szCs w:val="20"/>
        </w:rPr>
        <w:t>quantify</w:t>
      </w:r>
      <w:r w:rsidR="0026391D">
        <w:rPr>
          <w:rFonts w:ascii="Arial" w:hAnsi="Arial" w:cs="Arial"/>
          <w:sz w:val="20"/>
          <w:szCs w:val="20"/>
        </w:rPr>
        <w:t xml:space="preserve"> the views set out in section 2</w:t>
      </w:r>
      <w:r>
        <w:rPr>
          <w:rFonts w:ascii="Arial" w:hAnsi="Arial" w:cs="Arial"/>
          <w:sz w:val="20"/>
          <w:szCs w:val="20"/>
        </w:rPr>
        <w:t>, the ATA modelled the cash flow impact of option B.6 using information provided by the businesses that responded to the questionnaire.</w:t>
      </w:r>
      <w:r w:rsidR="008D68B4">
        <w:rPr>
          <w:rFonts w:ascii="Arial" w:hAnsi="Arial" w:cs="Arial"/>
          <w:sz w:val="20"/>
          <w:szCs w:val="20"/>
        </w:rPr>
        <w:t xml:space="preserve"> </w:t>
      </w:r>
      <w:r w:rsidR="00A913AF">
        <w:rPr>
          <w:rFonts w:ascii="Arial" w:hAnsi="Arial" w:cs="Arial"/>
          <w:sz w:val="20"/>
          <w:szCs w:val="20"/>
        </w:rPr>
        <w:t>Table 3</w:t>
      </w:r>
      <w:r w:rsidR="005708AF">
        <w:rPr>
          <w:rFonts w:ascii="Arial" w:hAnsi="Arial" w:cs="Arial"/>
          <w:sz w:val="20"/>
          <w:szCs w:val="20"/>
        </w:rPr>
        <w:t xml:space="preserve"> summarises the evidence </w:t>
      </w:r>
      <w:r>
        <w:rPr>
          <w:rFonts w:ascii="Arial" w:hAnsi="Arial" w:cs="Arial"/>
          <w:sz w:val="20"/>
          <w:szCs w:val="20"/>
        </w:rPr>
        <w:t>they provided:</w:t>
      </w:r>
    </w:p>
    <w:p w:rsidR="005708AF" w:rsidRDefault="005708AF" w:rsidP="005708AF">
      <w:pPr>
        <w:rPr>
          <w:rFonts w:ascii="Arial" w:hAnsi="Arial" w:cs="Arial"/>
          <w:sz w:val="20"/>
          <w:szCs w:val="20"/>
        </w:rPr>
      </w:pPr>
    </w:p>
    <w:p w:rsidR="005708AF" w:rsidRDefault="005708AF" w:rsidP="005708AF">
      <w:pPr>
        <w:rPr>
          <w:rFonts w:ascii="Arial" w:hAnsi="Arial" w:cs="Arial"/>
          <w:sz w:val="20"/>
          <w:szCs w:val="20"/>
        </w:rPr>
      </w:pPr>
      <w:r>
        <w:rPr>
          <w:rFonts w:ascii="Arial" w:hAnsi="Arial" w:cs="Arial"/>
          <w:sz w:val="20"/>
          <w:szCs w:val="20"/>
        </w:rPr>
        <w:t xml:space="preserve">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2268"/>
        <w:gridCol w:w="2268"/>
      </w:tblGrid>
      <w:tr w:rsidR="00A913AF" w:rsidRPr="00CF758C" w:rsidTr="0026391D">
        <w:tc>
          <w:tcPr>
            <w:tcW w:w="9889" w:type="dxa"/>
            <w:gridSpan w:val="3"/>
            <w:tcBorders>
              <w:bottom w:val="single" w:sz="4" w:space="0" w:color="auto"/>
            </w:tcBorders>
          </w:tcPr>
          <w:p w:rsidR="00A913AF" w:rsidRPr="00CF758C" w:rsidRDefault="00A913AF" w:rsidP="00A913AF">
            <w:pPr>
              <w:keepNext/>
              <w:keepLines/>
              <w:rPr>
                <w:rFonts w:ascii="Arial" w:hAnsi="Arial" w:cs="Arial"/>
                <w:b/>
                <w:sz w:val="18"/>
                <w:szCs w:val="18"/>
              </w:rPr>
            </w:pPr>
            <w:r w:rsidRPr="00CF758C">
              <w:rPr>
                <w:rFonts w:ascii="Arial" w:hAnsi="Arial" w:cs="Arial"/>
                <w:b/>
                <w:sz w:val="18"/>
                <w:szCs w:val="18"/>
              </w:rPr>
              <w:t xml:space="preserve">Table 3: Indicative truck costs, time in use and disposal prices </w:t>
            </w:r>
          </w:p>
        </w:tc>
      </w:tr>
      <w:tr w:rsidR="005708AF" w:rsidRPr="00CF758C" w:rsidTr="0026391D">
        <w:tc>
          <w:tcPr>
            <w:tcW w:w="5353" w:type="dxa"/>
            <w:tcBorders>
              <w:top w:val="single" w:sz="4" w:space="0" w:color="auto"/>
            </w:tcBorders>
          </w:tcPr>
          <w:p w:rsidR="005708AF" w:rsidRPr="00CF758C" w:rsidRDefault="005708AF" w:rsidP="00F31BC8">
            <w:pPr>
              <w:keepNext/>
              <w:keepLines/>
              <w:rPr>
                <w:rFonts w:ascii="Arial" w:hAnsi="Arial" w:cs="Arial"/>
                <w:sz w:val="18"/>
                <w:szCs w:val="18"/>
              </w:rPr>
            </w:pPr>
          </w:p>
        </w:tc>
        <w:tc>
          <w:tcPr>
            <w:tcW w:w="2268" w:type="dxa"/>
            <w:tcBorders>
              <w:top w:val="single" w:sz="4" w:space="0" w:color="auto"/>
            </w:tcBorders>
          </w:tcPr>
          <w:p w:rsidR="005708AF" w:rsidRPr="00CF758C" w:rsidRDefault="005708AF" w:rsidP="00F31BC8">
            <w:pPr>
              <w:keepNext/>
              <w:keepLines/>
              <w:jc w:val="right"/>
              <w:rPr>
                <w:rFonts w:ascii="Arial" w:hAnsi="Arial" w:cs="Arial"/>
                <w:b/>
                <w:sz w:val="18"/>
                <w:szCs w:val="18"/>
              </w:rPr>
            </w:pPr>
            <w:r w:rsidRPr="00CF758C">
              <w:rPr>
                <w:rFonts w:ascii="Arial" w:hAnsi="Arial" w:cs="Arial"/>
                <w:b/>
                <w:sz w:val="18"/>
                <w:szCs w:val="18"/>
              </w:rPr>
              <w:t>Response range</w:t>
            </w:r>
          </w:p>
        </w:tc>
        <w:tc>
          <w:tcPr>
            <w:tcW w:w="2268" w:type="dxa"/>
            <w:tcBorders>
              <w:top w:val="single" w:sz="4" w:space="0" w:color="auto"/>
            </w:tcBorders>
          </w:tcPr>
          <w:p w:rsidR="005708AF" w:rsidRPr="00CF758C" w:rsidRDefault="005708AF" w:rsidP="00F31BC8">
            <w:pPr>
              <w:keepNext/>
              <w:keepLines/>
              <w:jc w:val="right"/>
              <w:rPr>
                <w:rFonts w:ascii="Arial" w:hAnsi="Arial" w:cs="Arial"/>
                <w:b/>
                <w:sz w:val="18"/>
                <w:szCs w:val="18"/>
              </w:rPr>
            </w:pPr>
            <w:r w:rsidRPr="00CF758C">
              <w:rPr>
                <w:rFonts w:ascii="Arial" w:hAnsi="Arial" w:cs="Arial"/>
                <w:b/>
                <w:sz w:val="18"/>
                <w:szCs w:val="18"/>
              </w:rPr>
              <w:t xml:space="preserve">Indicative value </w:t>
            </w:r>
          </w:p>
          <w:p w:rsidR="005708AF" w:rsidRPr="00CF758C" w:rsidRDefault="005708AF" w:rsidP="00F31BC8">
            <w:pPr>
              <w:keepNext/>
              <w:keepLines/>
              <w:jc w:val="right"/>
              <w:rPr>
                <w:rFonts w:ascii="Arial" w:hAnsi="Arial" w:cs="Arial"/>
                <w:b/>
                <w:sz w:val="18"/>
                <w:szCs w:val="18"/>
              </w:rPr>
            </w:pPr>
            <w:r w:rsidRPr="00CF758C">
              <w:rPr>
                <w:rFonts w:ascii="Arial" w:hAnsi="Arial" w:cs="Arial"/>
                <w:b/>
                <w:sz w:val="18"/>
                <w:szCs w:val="18"/>
              </w:rPr>
              <w:t>for modelling</w:t>
            </w:r>
          </w:p>
        </w:tc>
      </w:tr>
      <w:tr w:rsidR="0026391D" w:rsidRPr="00CF758C" w:rsidTr="00CF35C9">
        <w:tc>
          <w:tcPr>
            <w:tcW w:w="5353" w:type="dxa"/>
          </w:tcPr>
          <w:p w:rsidR="0026391D" w:rsidRPr="0026391D" w:rsidRDefault="0026391D" w:rsidP="00F31BC8">
            <w:pPr>
              <w:keepNext/>
              <w:keepLines/>
              <w:rPr>
                <w:rFonts w:ascii="Arial" w:hAnsi="Arial" w:cs="Arial"/>
                <w:b/>
                <w:sz w:val="18"/>
                <w:szCs w:val="18"/>
              </w:rPr>
            </w:pPr>
            <w:r w:rsidRPr="0026391D">
              <w:rPr>
                <w:rFonts w:ascii="Arial" w:hAnsi="Arial" w:cs="Arial"/>
                <w:b/>
                <w:sz w:val="18"/>
                <w:szCs w:val="18"/>
              </w:rPr>
              <w:t>Prime movers</w:t>
            </w:r>
          </w:p>
        </w:tc>
        <w:tc>
          <w:tcPr>
            <w:tcW w:w="2268" w:type="dxa"/>
          </w:tcPr>
          <w:p w:rsidR="0026391D" w:rsidRPr="00CF758C" w:rsidRDefault="0026391D" w:rsidP="00F31BC8">
            <w:pPr>
              <w:keepNext/>
              <w:keepLines/>
              <w:jc w:val="right"/>
              <w:rPr>
                <w:rFonts w:ascii="Arial" w:hAnsi="Arial" w:cs="Arial"/>
                <w:sz w:val="18"/>
                <w:szCs w:val="18"/>
              </w:rPr>
            </w:pPr>
          </w:p>
        </w:tc>
        <w:tc>
          <w:tcPr>
            <w:tcW w:w="2268" w:type="dxa"/>
          </w:tcPr>
          <w:p w:rsidR="0026391D" w:rsidRPr="00CF758C" w:rsidRDefault="0026391D" w:rsidP="00F31BC8">
            <w:pPr>
              <w:keepNext/>
              <w:keepLines/>
              <w:jc w:val="right"/>
              <w:rPr>
                <w:rFonts w:ascii="Arial" w:hAnsi="Arial" w:cs="Arial"/>
                <w:sz w:val="18"/>
                <w:szCs w:val="18"/>
              </w:rPr>
            </w:pPr>
          </w:p>
        </w:tc>
      </w:tr>
      <w:tr w:rsidR="005708AF" w:rsidRPr="00CF758C" w:rsidTr="00CF35C9">
        <w:tc>
          <w:tcPr>
            <w:tcW w:w="5353" w:type="dxa"/>
          </w:tcPr>
          <w:p w:rsidR="005708AF" w:rsidRPr="00CF758C" w:rsidRDefault="005708AF" w:rsidP="00F31BC8">
            <w:pPr>
              <w:keepNext/>
              <w:keepLines/>
              <w:rPr>
                <w:rFonts w:ascii="Arial" w:hAnsi="Arial" w:cs="Arial"/>
                <w:sz w:val="18"/>
                <w:szCs w:val="18"/>
              </w:rPr>
            </w:pPr>
            <w:r w:rsidRPr="00CF758C">
              <w:rPr>
                <w:rFonts w:ascii="Arial" w:hAnsi="Arial" w:cs="Arial"/>
                <w:sz w:val="18"/>
                <w:szCs w:val="18"/>
              </w:rPr>
              <w:t xml:space="preserve">Estimated cost of a new prime mover </w:t>
            </w:r>
            <w:r w:rsidR="00CF35C9" w:rsidRPr="00CF758C">
              <w:rPr>
                <w:rFonts w:ascii="Arial" w:hAnsi="Arial" w:cs="Arial"/>
                <w:sz w:val="18"/>
                <w:szCs w:val="18"/>
              </w:rPr>
              <w:t>(excl GST)</w:t>
            </w:r>
          </w:p>
        </w:tc>
        <w:tc>
          <w:tcPr>
            <w:tcW w:w="2268" w:type="dxa"/>
          </w:tcPr>
          <w:p w:rsidR="005708AF" w:rsidRPr="00F76A0D" w:rsidRDefault="005708AF" w:rsidP="00F31BC8">
            <w:pPr>
              <w:keepNext/>
              <w:keepLines/>
              <w:jc w:val="right"/>
              <w:rPr>
                <w:rFonts w:ascii="Arial" w:hAnsi="Arial" w:cs="Arial"/>
                <w:sz w:val="18"/>
                <w:szCs w:val="18"/>
              </w:rPr>
            </w:pPr>
            <w:r w:rsidRPr="00F76A0D">
              <w:rPr>
                <w:rFonts w:ascii="Arial" w:hAnsi="Arial" w:cs="Arial"/>
                <w:sz w:val="18"/>
                <w:szCs w:val="18"/>
              </w:rPr>
              <w:t>$215,000-$380,000</w:t>
            </w:r>
          </w:p>
        </w:tc>
        <w:tc>
          <w:tcPr>
            <w:tcW w:w="2268" w:type="dxa"/>
          </w:tcPr>
          <w:p w:rsidR="005708AF" w:rsidRPr="00CF758C" w:rsidRDefault="002654D5" w:rsidP="00F31BC8">
            <w:pPr>
              <w:keepNext/>
              <w:keepLines/>
              <w:jc w:val="right"/>
              <w:rPr>
                <w:rFonts w:ascii="Arial" w:hAnsi="Arial" w:cs="Arial"/>
                <w:sz w:val="18"/>
                <w:szCs w:val="18"/>
              </w:rPr>
            </w:pPr>
            <w:r w:rsidRPr="00CF758C">
              <w:rPr>
                <w:rFonts w:ascii="Arial" w:hAnsi="Arial" w:cs="Arial"/>
                <w:sz w:val="18"/>
                <w:szCs w:val="18"/>
              </w:rPr>
              <w:t>$250</w:t>
            </w:r>
            <w:r w:rsidR="005708AF" w:rsidRPr="00CF758C">
              <w:rPr>
                <w:rFonts w:ascii="Arial" w:hAnsi="Arial" w:cs="Arial"/>
                <w:sz w:val="18"/>
                <w:szCs w:val="18"/>
              </w:rPr>
              <w:t>,000</w:t>
            </w:r>
          </w:p>
        </w:tc>
      </w:tr>
      <w:tr w:rsidR="005708AF" w:rsidRPr="00CF758C" w:rsidTr="00CF35C9">
        <w:tc>
          <w:tcPr>
            <w:tcW w:w="5353" w:type="dxa"/>
          </w:tcPr>
          <w:p w:rsidR="005708AF" w:rsidRPr="00CF758C" w:rsidRDefault="005708AF" w:rsidP="00F31BC8">
            <w:pPr>
              <w:keepNext/>
              <w:keepLines/>
              <w:rPr>
                <w:rFonts w:ascii="Arial" w:hAnsi="Arial" w:cs="Arial"/>
                <w:sz w:val="18"/>
                <w:szCs w:val="18"/>
              </w:rPr>
            </w:pPr>
            <w:r w:rsidRPr="00CF758C">
              <w:rPr>
                <w:rFonts w:ascii="Arial" w:hAnsi="Arial" w:cs="Arial"/>
                <w:sz w:val="18"/>
                <w:szCs w:val="18"/>
              </w:rPr>
              <w:t>Company policy on time in use</w:t>
            </w:r>
          </w:p>
        </w:tc>
        <w:tc>
          <w:tcPr>
            <w:tcW w:w="2268" w:type="dxa"/>
          </w:tcPr>
          <w:p w:rsidR="005708AF" w:rsidRPr="00F76A0D" w:rsidRDefault="005708AF" w:rsidP="00F31BC8">
            <w:pPr>
              <w:keepNext/>
              <w:keepLines/>
              <w:jc w:val="right"/>
              <w:rPr>
                <w:rFonts w:ascii="Arial" w:hAnsi="Arial" w:cs="Arial"/>
                <w:sz w:val="18"/>
                <w:szCs w:val="18"/>
              </w:rPr>
            </w:pPr>
            <w:r w:rsidRPr="00F76A0D">
              <w:rPr>
                <w:rFonts w:ascii="Arial" w:hAnsi="Arial" w:cs="Arial"/>
                <w:sz w:val="18"/>
                <w:szCs w:val="18"/>
              </w:rPr>
              <w:t>4-10 years</w:t>
            </w:r>
          </w:p>
        </w:tc>
        <w:tc>
          <w:tcPr>
            <w:tcW w:w="2268" w:type="dxa"/>
          </w:tcPr>
          <w:p w:rsidR="005708AF" w:rsidRPr="00CF758C" w:rsidRDefault="002654D5" w:rsidP="00F31BC8">
            <w:pPr>
              <w:keepNext/>
              <w:keepLines/>
              <w:jc w:val="right"/>
              <w:rPr>
                <w:rFonts w:ascii="Arial" w:hAnsi="Arial" w:cs="Arial"/>
                <w:sz w:val="18"/>
                <w:szCs w:val="18"/>
              </w:rPr>
            </w:pPr>
            <w:r w:rsidRPr="00CF758C">
              <w:rPr>
                <w:rFonts w:ascii="Arial" w:hAnsi="Arial" w:cs="Arial"/>
                <w:sz w:val="18"/>
                <w:szCs w:val="18"/>
              </w:rPr>
              <w:t>5</w:t>
            </w:r>
            <w:r w:rsidR="005708AF" w:rsidRPr="00CF758C">
              <w:rPr>
                <w:rFonts w:ascii="Arial" w:hAnsi="Arial" w:cs="Arial"/>
                <w:sz w:val="18"/>
                <w:szCs w:val="18"/>
              </w:rPr>
              <w:t xml:space="preserve"> years</w:t>
            </w:r>
          </w:p>
        </w:tc>
      </w:tr>
      <w:tr w:rsidR="005708AF" w:rsidRPr="00CF758C" w:rsidTr="00CF35C9">
        <w:tc>
          <w:tcPr>
            <w:tcW w:w="5353" w:type="dxa"/>
          </w:tcPr>
          <w:p w:rsidR="005708AF" w:rsidRPr="00CF758C" w:rsidRDefault="005708AF" w:rsidP="00F31BC8">
            <w:pPr>
              <w:keepNext/>
              <w:keepLines/>
              <w:rPr>
                <w:rFonts w:ascii="Arial" w:hAnsi="Arial" w:cs="Arial"/>
                <w:sz w:val="18"/>
                <w:szCs w:val="18"/>
              </w:rPr>
            </w:pPr>
            <w:r w:rsidRPr="00CF758C">
              <w:rPr>
                <w:rFonts w:ascii="Arial" w:hAnsi="Arial" w:cs="Arial"/>
                <w:sz w:val="18"/>
                <w:szCs w:val="18"/>
              </w:rPr>
              <w:t>Estimated sale value</w:t>
            </w:r>
            <w:r w:rsidR="00CF35C9" w:rsidRPr="00CF758C">
              <w:rPr>
                <w:rFonts w:ascii="Arial" w:hAnsi="Arial" w:cs="Arial"/>
                <w:sz w:val="18"/>
                <w:szCs w:val="18"/>
              </w:rPr>
              <w:t xml:space="preserve"> (excl GST)</w:t>
            </w:r>
          </w:p>
        </w:tc>
        <w:tc>
          <w:tcPr>
            <w:tcW w:w="2268" w:type="dxa"/>
          </w:tcPr>
          <w:p w:rsidR="005708AF" w:rsidRPr="00F76A0D" w:rsidRDefault="00CF35C9" w:rsidP="00F31BC8">
            <w:pPr>
              <w:keepNext/>
              <w:keepLines/>
              <w:jc w:val="right"/>
              <w:rPr>
                <w:rFonts w:ascii="Arial" w:hAnsi="Arial" w:cs="Arial"/>
                <w:sz w:val="18"/>
                <w:szCs w:val="18"/>
              </w:rPr>
            </w:pPr>
            <w:r w:rsidRPr="00F76A0D">
              <w:rPr>
                <w:rFonts w:ascii="Arial" w:hAnsi="Arial" w:cs="Arial"/>
                <w:sz w:val="18"/>
                <w:szCs w:val="18"/>
              </w:rPr>
              <w:t>$25,000-$136</w:t>
            </w:r>
            <w:r w:rsidR="005708AF" w:rsidRPr="00F76A0D">
              <w:rPr>
                <w:rFonts w:ascii="Arial" w:hAnsi="Arial" w:cs="Arial"/>
                <w:sz w:val="18"/>
                <w:szCs w:val="18"/>
              </w:rPr>
              <w:t>,000</w:t>
            </w:r>
          </w:p>
        </w:tc>
        <w:tc>
          <w:tcPr>
            <w:tcW w:w="2268" w:type="dxa"/>
          </w:tcPr>
          <w:p w:rsidR="005708AF" w:rsidRPr="00CF758C" w:rsidRDefault="005708AF" w:rsidP="00F31BC8">
            <w:pPr>
              <w:keepNext/>
              <w:keepLines/>
              <w:jc w:val="right"/>
              <w:rPr>
                <w:rFonts w:ascii="Arial" w:hAnsi="Arial" w:cs="Arial"/>
                <w:sz w:val="18"/>
                <w:szCs w:val="18"/>
              </w:rPr>
            </w:pPr>
            <w:r w:rsidRPr="00CF758C">
              <w:rPr>
                <w:rFonts w:ascii="Arial" w:hAnsi="Arial" w:cs="Arial"/>
                <w:sz w:val="18"/>
                <w:szCs w:val="18"/>
              </w:rPr>
              <w:t>$90,000</w:t>
            </w:r>
          </w:p>
        </w:tc>
      </w:tr>
      <w:tr w:rsidR="005708AF" w:rsidRPr="00CF758C" w:rsidTr="00CF35C9">
        <w:tc>
          <w:tcPr>
            <w:tcW w:w="5353" w:type="dxa"/>
          </w:tcPr>
          <w:p w:rsidR="005708AF" w:rsidRPr="00CF758C" w:rsidRDefault="005708AF" w:rsidP="00F31BC8">
            <w:pPr>
              <w:keepNext/>
              <w:keepLines/>
              <w:rPr>
                <w:rFonts w:ascii="Arial" w:hAnsi="Arial" w:cs="Arial"/>
                <w:sz w:val="18"/>
                <w:szCs w:val="18"/>
              </w:rPr>
            </w:pPr>
          </w:p>
        </w:tc>
        <w:tc>
          <w:tcPr>
            <w:tcW w:w="2268" w:type="dxa"/>
          </w:tcPr>
          <w:p w:rsidR="005708AF" w:rsidRPr="00CF758C" w:rsidRDefault="005708AF" w:rsidP="00F31BC8">
            <w:pPr>
              <w:keepNext/>
              <w:keepLines/>
              <w:jc w:val="right"/>
              <w:rPr>
                <w:rFonts w:ascii="Arial" w:hAnsi="Arial" w:cs="Arial"/>
                <w:sz w:val="18"/>
                <w:szCs w:val="18"/>
              </w:rPr>
            </w:pPr>
          </w:p>
        </w:tc>
        <w:tc>
          <w:tcPr>
            <w:tcW w:w="2268" w:type="dxa"/>
          </w:tcPr>
          <w:p w:rsidR="005708AF" w:rsidRPr="00CF758C" w:rsidRDefault="005708AF" w:rsidP="00F31BC8">
            <w:pPr>
              <w:keepNext/>
              <w:keepLines/>
              <w:jc w:val="right"/>
              <w:rPr>
                <w:rFonts w:ascii="Arial" w:hAnsi="Arial" w:cs="Arial"/>
                <w:sz w:val="18"/>
                <w:szCs w:val="18"/>
              </w:rPr>
            </w:pPr>
          </w:p>
        </w:tc>
      </w:tr>
      <w:tr w:rsidR="0026391D" w:rsidRPr="00CF758C" w:rsidTr="00CF35C9">
        <w:tc>
          <w:tcPr>
            <w:tcW w:w="5353" w:type="dxa"/>
          </w:tcPr>
          <w:p w:rsidR="0026391D" w:rsidRPr="0026391D" w:rsidRDefault="0026391D" w:rsidP="00F31BC8">
            <w:pPr>
              <w:keepNext/>
              <w:keepLines/>
              <w:rPr>
                <w:rFonts w:ascii="Arial" w:hAnsi="Arial" w:cs="Arial"/>
                <w:b/>
                <w:sz w:val="18"/>
                <w:szCs w:val="18"/>
              </w:rPr>
            </w:pPr>
            <w:r w:rsidRPr="0026391D">
              <w:rPr>
                <w:rFonts w:ascii="Arial" w:hAnsi="Arial" w:cs="Arial"/>
                <w:b/>
                <w:sz w:val="18"/>
                <w:szCs w:val="18"/>
              </w:rPr>
              <w:t>Rigid trucks</w:t>
            </w:r>
          </w:p>
        </w:tc>
        <w:tc>
          <w:tcPr>
            <w:tcW w:w="2268" w:type="dxa"/>
          </w:tcPr>
          <w:p w:rsidR="0026391D" w:rsidRPr="00CF758C" w:rsidRDefault="0026391D" w:rsidP="00F31BC8">
            <w:pPr>
              <w:keepNext/>
              <w:keepLines/>
              <w:jc w:val="right"/>
              <w:rPr>
                <w:rFonts w:ascii="Arial" w:hAnsi="Arial" w:cs="Arial"/>
                <w:sz w:val="18"/>
                <w:szCs w:val="18"/>
              </w:rPr>
            </w:pPr>
          </w:p>
        </w:tc>
        <w:tc>
          <w:tcPr>
            <w:tcW w:w="2268" w:type="dxa"/>
          </w:tcPr>
          <w:p w:rsidR="0026391D" w:rsidRPr="00CF758C" w:rsidRDefault="0026391D" w:rsidP="00F31BC8">
            <w:pPr>
              <w:keepNext/>
              <w:keepLines/>
              <w:jc w:val="right"/>
              <w:rPr>
                <w:rFonts w:ascii="Arial" w:hAnsi="Arial" w:cs="Arial"/>
                <w:sz w:val="18"/>
                <w:szCs w:val="18"/>
              </w:rPr>
            </w:pPr>
          </w:p>
        </w:tc>
      </w:tr>
      <w:tr w:rsidR="005708AF" w:rsidRPr="00CF758C" w:rsidTr="00CF35C9">
        <w:tc>
          <w:tcPr>
            <w:tcW w:w="5353" w:type="dxa"/>
          </w:tcPr>
          <w:p w:rsidR="005708AF" w:rsidRPr="00CF758C" w:rsidRDefault="005708AF" w:rsidP="00F31BC8">
            <w:pPr>
              <w:keepNext/>
              <w:keepLines/>
              <w:rPr>
                <w:rFonts w:ascii="Arial" w:hAnsi="Arial" w:cs="Arial"/>
                <w:sz w:val="18"/>
                <w:szCs w:val="18"/>
              </w:rPr>
            </w:pPr>
            <w:r w:rsidRPr="00CF758C">
              <w:rPr>
                <w:rFonts w:ascii="Arial" w:hAnsi="Arial" w:cs="Arial"/>
                <w:sz w:val="18"/>
                <w:szCs w:val="18"/>
              </w:rPr>
              <w:t>Estimated cost of a new rigid truck</w:t>
            </w:r>
            <w:r w:rsidR="00CF35C9" w:rsidRPr="00CF758C">
              <w:rPr>
                <w:rFonts w:ascii="Arial" w:hAnsi="Arial" w:cs="Arial"/>
                <w:sz w:val="18"/>
                <w:szCs w:val="18"/>
              </w:rPr>
              <w:t xml:space="preserve"> (excl GST)</w:t>
            </w:r>
          </w:p>
        </w:tc>
        <w:tc>
          <w:tcPr>
            <w:tcW w:w="2268" w:type="dxa"/>
          </w:tcPr>
          <w:p w:rsidR="005708AF" w:rsidRPr="00CF758C" w:rsidRDefault="005708AF" w:rsidP="00F31BC8">
            <w:pPr>
              <w:keepNext/>
              <w:keepLines/>
              <w:jc w:val="right"/>
              <w:rPr>
                <w:rFonts w:ascii="Arial" w:hAnsi="Arial" w:cs="Arial"/>
                <w:sz w:val="18"/>
                <w:szCs w:val="18"/>
              </w:rPr>
            </w:pPr>
            <w:r w:rsidRPr="00CF758C">
              <w:rPr>
                <w:rFonts w:ascii="Arial" w:hAnsi="Arial" w:cs="Arial"/>
                <w:sz w:val="18"/>
                <w:szCs w:val="18"/>
              </w:rPr>
              <w:t>$</w:t>
            </w:r>
            <w:r w:rsidRPr="006935D8">
              <w:rPr>
                <w:rFonts w:ascii="Arial" w:hAnsi="Arial" w:cs="Arial"/>
                <w:sz w:val="18"/>
                <w:szCs w:val="18"/>
              </w:rPr>
              <w:t>70,000</w:t>
            </w:r>
            <w:r w:rsidRPr="00CF758C">
              <w:rPr>
                <w:rFonts w:ascii="Arial" w:hAnsi="Arial" w:cs="Arial"/>
                <w:sz w:val="18"/>
                <w:szCs w:val="18"/>
              </w:rPr>
              <w:t>-$136,000</w:t>
            </w:r>
          </w:p>
        </w:tc>
        <w:tc>
          <w:tcPr>
            <w:tcW w:w="2268" w:type="dxa"/>
          </w:tcPr>
          <w:p w:rsidR="005708AF" w:rsidRPr="00CF758C" w:rsidRDefault="005708AF" w:rsidP="00F31BC8">
            <w:pPr>
              <w:keepNext/>
              <w:keepLines/>
              <w:jc w:val="right"/>
              <w:rPr>
                <w:rFonts w:ascii="Arial" w:hAnsi="Arial" w:cs="Arial"/>
                <w:sz w:val="18"/>
                <w:szCs w:val="18"/>
              </w:rPr>
            </w:pPr>
            <w:r w:rsidRPr="00CF758C">
              <w:rPr>
                <w:rFonts w:ascii="Arial" w:hAnsi="Arial" w:cs="Arial"/>
                <w:sz w:val="18"/>
                <w:szCs w:val="18"/>
              </w:rPr>
              <w:t>$100,000</w:t>
            </w:r>
          </w:p>
        </w:tc>
      </w:tr>
      <w:tr w:rsidR="005708AF" w:rsidRPr="00CF758C" w:rsidTr="00CF35C9">
        <w:tc>
          <w:tcPr>
            <w:tcW w:w="5353" w:type="dxa"/>
          </w:tcPr>
          <w:p w:rsidR="005708AF" w:rsidRPr="00CF758C" w:rsidRDefault="005708AF" w:rsidP="00F31BC8">
            <w:pPr>
              <w:keepNext/>
              <w:keepLines/>
              <w:rPr>
                <w:rFonts w:ascii="Arial" w:hAnsi="Arial" w:cs="Arial"/>
                <w:sz w:val="18"/>
                <w:szCs w:val="18"/>
              </w:rPr>
            </w:pPr>
            <w:r w:rsidRPr="00CF758C">
              <w:rPr>
                <w:rFonts w:ascii="Arial" w:hAnsi="Arial" w:cs="Arial"/>
                <w:sz w:val="18"/>
                <w:szCs w:val="18"/>
              </w:rPr>
              <w:t>Company policy on time in use</w:t>
            </w:r>
          </w:p>
        </w:tc>
        <w:tc>
          <w:tcPr>
            <w:tcW w:w="2268" w:type="dxa"/>
          </w:tcPr>
          <w:p w:rsidR="005708AF" w:rsidRPr="00CF758C" w:rsidRDefault="005708AF" w:rsidP="00F31BC8">
            <w:pPr>
              <w:keepNext/>
              <w:keepLines/>
              <w:jc w:val="right"/>
              <w:rPr>
                <w:rFonts w:ascii="Arial" w:hAnsi="Arial" w:cs="Arial"/>
                <w:sz w:val="18"/>
                <w:szCs w:val="18"/>
              </w:rPr>
            </w:pPr>
            <w:r w:rsidRPr="00CF758C">
              <w:rPr>
                <w:rFonts w:ascii="Arial" w:hAnsi="Arial" w:cs="Arial"/>
                <w:sz w:val="18"/>
                <w:szCs w:val="18"/>
              </w:rPr>
              <w:t>10 years</w:t>
            </w:r>
          </w:p>
        </w:tc>
        <w:tc>
          <w:tcPr>
            <w:tcW w:w="2268" w:type="dxa"/>
          </w:tcPr>
          <w:p w:rsidR="005708AF" w:rsidRPr="00CF758C" w:rsidRDefault="005708AF" w:rsidP="00F31BC8">
            <w:pPr>
              <w:keepNext/>
              <w:keepLines/>
              <w:jc w:val="right"/>
              <w:rPr>
                <w:rFonts w:ascii="Arial" w:hAnsi="Arial" w:cs="Arial"/>
                <w:sz w:val="18"/>
                <w:szCs w:val="18"/>
              </w:rPr>
            </w:pPr>
            <w:r w:rsidRPr="00CF758C">
              <w:rPr>
                <w:rFonts w:ascii="Arial" w:hAnsi="Arial" w:cs="Arial"/>
                <w:sz w:val="18"/>
                <w:szCs w:val="18"/>
              </w:rPr>
              <w:t>10 years</w:t>
            </w:r>
          </w:p>
        </w:tc>
      </w:tr>
      <w:tr w:rsidR="005708AF" w:rsidRPr="00CF758C" w:rsidTr="00CF35C9">
        <w:tc>
          <w:tcPr>
            <w:tcW w:w="5353" w:type="dxa"/>
          </w:tcPr>
          <w:p w:rsidR="005708AF" w:rsidRPr="00CF758C" w:rsidRDefault="005708AF" w:rsidP="00F31BC8">
            <w:pPr>
              <w:keepNext/>
              <w:keepLines/>
              <w:rPr>
                <w:rFonts w:ascii="Arial" w:hAnsi="Arial" w:cs="Arial"/>
                <w:sz w:val="18"/>
                <w:szCs w:val="18"/>
              </w:rPr>
            </w:pPr>
            <w:r w:rsidRPr="00CF758C">
              <w:rPr>
                <w:rFonts w:ascii="Arial" w:hAnsi="Arial" w:cs="Arial"/>
                <w:sz w:val="18"/>
                <w:szCs w:val="18"/>
              </w:rPr>
              <w:t>Estimated sale value</w:t>
            </w:r>
            <w:r w:rsidR="00CF35C9" w:rsidRPr="00CF758C">
              <w:rPr>
                <w:rFonts w:ascii="Arial" w:hAnsi="Arial" w:cs="Arial"/>
                <w:sz w:val="18"/>
                <w:szCs w:val="18"/>
              </w:rPr>
              <w:t xml:space="preserve"> (excl GST)</w:t>
            </w:r>
          </w:p>
        </w:tc>
        <w:tc>
          <w:tcPr>
            <w:tcW w:w="2268" w:type="dxa"/>
          </w:tcPr>
          <w:p w:rsidR="005708AF" w:rsidRPr="00CF758C" w:rsidRDefault="005708AF" w:rsidP="00F31BC8">
            <w:pPr>
              <w:keepNext/>
              <w:keepLines/>
              <w:jc w:val="right"/>
              <w:rPr>
                <w:rFonts w:ascii="Arial" w:hAnsi="Arial" w:cs="Arial"/>
                <w:sz w:val="18"/>
                <w:szCs w:val="18"/>
              </w:rPr>
            </w:pPr>
            <w:r w:rsidRPr="00CF758C">
              <w:rPr>
                <w:rFonts w:ascii="Arial" w:hAnsi="Arial" w:cs="Arial"/>
                <w:sz w:val="18"/>
                <w:szCs w:val="18"/>
              </w:rPr>
              <w:t>$</w:t>
            </w:r>
            <w:r w:rsidRPr="006935D8">
              <w:rPr>
                <w:rFonts w:ascii="Arial" w:hAnsi="Arial" w:cs="Arial"/>
                <w:sz w:val="18"/>
                <w:szCs w:val="18"/>
              </w:rPr>
              <w:t>23,000</w:t>
            </w:r>
            <w:r w:rsidRPr="00CF758C">
              <w:rPr>
                <w:rFonts w:ascii="Arial" w:hAnsi="Arial" w:cs="Arial"/>
                <w:sz w:val="18"/>
                <w:szCs w:val="18"/>
              </w:rPr>
              <w:t>-$45,000</w:t>
            </w:r>
          </w:p>
        </w:tc>
        <w:tc>
          <w:tcPr>
            <w:tcW w:w="2268" w:type="dxa"/>
          </w:tcPr>
          <w:p w:rsidR="005708AF" w:rsidRPr="00CF758C" w:rsidRDefault="005708AF" w:rsidP="00F31BC8">
            <w:pPr>
              <w:keepNext/>
              <w:keepLines/>
              <w:jc w:val="right"/>
              <w:rPr>
                <w:rFonts w:ascii="Arial" w:hAnsi="Arial" w:cs="Arial"/>
                <w:sz w:val="18"/>
                <w:szCs w:val="18"/>
              </w:rPr>
            </w:pPr>
            <w:r w:rsidRPr="00CF758C">
              <w:rPr>
                <w:rFonts w:ascii="Arial" w:hAnsi="Arial" w:cs="Arial"/>
                <w:sz w:val="18"/>
                <w:szCs w:val="18"/>
              </w:rPr>
              <w:t>$30,000</w:t>
            </w:r>
          </w:p>
        </w:tc>
      </w:tr>
      <w:tr w:rsidR="006F42C5" w:rsidRPr="00CF758C" w:rsidTr="00CF35C9">
        <w:tc>
          <w:tcPr>
            <w:tcW w:w="5353" w:type="dxa"/>
          </w:tcPr>
          <w:p w:rsidR="006F42C5" w:rsidRPr="00CF758C" w:rsidRDefault="006F42C5" w:rsidP="00F31BC8">
            <w:pPr>
              <w:keepNext/>
              <w:keepLines/>
              <w:rPr>
                <w:rFonts w:ascii="Arial" w:hAnsi="Arial" w:cs="Arial"/>
                <w:sz w:val="18"/>
                <w:szCs w:val="18"/>
              </w:rPr>
            </w:pPr>
          </w:p>
        </w:tc>
        <w:tc>
          <w:tcPr>
            <w:tcW w:w="2268" w:type="dxa"/>
          </w:tcPr>
          <w:p w:rsidR="006F42C5" w:rsidRPr="00CF758C" w:rsidRDefault="006F42C5" w:rsidP="00F31BC8">
            <w:pPr>
              <w:keepNext/>
              <w:keepLines/>
              <w:jc w:val="right"/>
              <w:rPr>
                <w:rFonts w:ascii="Arial" w:hAnsi="Arial" w:cs="Arial"/>
                <w:sz w:val="18"/>
                <w:szCs w:val="18"/>
              </w:rPr>
            </w:pPr>
          </w:p>
        </w:tc>
        <w:tc>
          <w:tcPr>
            <w:tcW w:w="2268" w:type="dxa"/>
          </w:tcPr>
          <w:p w:rsidR="006F42C5" w:rsidRPr="00CF758C" w:rsidRDefault="006F42C5" w:rsidP="00F31BC8">
            <w:pPr>
              <w:keepNext/>
              <w:keepLines/>
              <w:jc w:val="right"/>
              <w:rPr>
                <w:rFonts w:ascii="Arial" w:hAnsi="Arial" w:cs="Arial"/>
                <w:sz w:val="18"/>
                <w:szCs w:val="18"/>
              </w:rPr>
            </w:pPr>
          </w:p>
        </w:tc>
      </w:tr>
      <w:tr w:rsidR="006F42C5" w:rsidRPr="00CF758C" w:rsidTr="00CF35C9">
        <w:tc>
          <w:tcPr>
            <w:tcW w:w="5353" w:type="dxa"/>
          </w:tcPr>
          <w:p w:rsidR="006F42C5" w:rsidRPr="00CF758C" w:rsidRDefault="006F42C5" w:rsidP="00F31BC8">
            <w:pPr>
              <w:keepNext/>
              <w:keepLines/>
              <w:rPr>
                <w:rFonts w:ascii="Arial" w:hAnsi="Arial" w:cs="Arial"/>
                <w:b/>
                <w:sz w:val="18"/>
                <w:szCs w:val="18"/>
              </w:rPr>
            </w:pPr>
            <w:r w:rsidRPr="00CF758C">
              <w:rPr>
                <w:rFonts w:ascii="Arial" w:hAnsi="Arial" w:cs="Arial"/>
                <w:b/>
                <w:sz w:val="18"/>
                <w:szCs w:val="18"/>
              </w:rPr>
              <w:t>Modelling assumptions</w:t>
            </w:r>
          </w:p>
        </w:tc>
        <w:tc>
          <w:tcPr>
            <w:tcW w:w="2268" w:type="dxa"/>
          </w:tcPr>
          <w:p w:rsidR="006F42C5" w:rsidRPr="00CF758C" w:rsidRDefault="006F42C5" w:rsidP="00F31BC8">
            <w:pPr>
              <w:keepNext/>
              <w:keepLines/>
              <w:jc w:val="right"/>
              <w:rPr>
                <w:rFonts w:ascii="Arial" w:hAnsi="Arial" w:cs="Arial"/>
                <w:sz w:val="18"/>
                <w:szCs w:val="18"/>
              </w:rPr>
            </w:pPr>
          </w:p>
        </w:tc>
        <w:tc>
          <w:tcPr>
            <w:tcW w:w="2268" w:type="dxa"/>
          </w:tcPr>
          <w:p w:rsidR="006F42C5" w:rsidRPr="00CF758C" w:rsidRDefault="006F42C5" w:rsidP="00F31BC8">
            <w:pPr>
              <w:keepNext/>
              <w:keepLines/>
              <w:jc w:val="right"/>
              <w:rPr>
                <w:rFonts w:ascii="Arial" w:hAnsi="Arial" w:cs="Arial"/>
                <w:sz w:val="18"/>
                <w:szCs w:val="18"/>
              </w:rPr>
            </w:pPr>
          </w:p>
        </w:tc>
      </w:tr>
      <w:tr w:rsidR="006F42C5" w:rsidRPr="00CF758C" w:rsidTr="0026391D">
        <w:tc>
          <w:tcPr>
            <w:tcW w:w="5353" w:type="dxa"/>
          </w:tcPr>
          <w:p w:rsidR="006F42C5" w:rsidRPr="00CF758C" w:rsidRDefault="006F42C5" w:rsidP="00F31BC8">
            <w:pPr>
              <w:keepNext/>
              <w:keepLines/>
              <w:rPr>
                <w:rFonts w:ascii="Arial" w:hAnsi="Arial" w:cs="Arial"/>
                <w:sz w:val="18"/>
                <w:szCs w:val="18"/>
              </w:rPr>
            </w:pPr>
            <w:r w:rsidRPr="00CF758C">
              <w:rPr>
                <w:rFonts w:ascii="Arial" w:hAnsi="Arial" w:cs="Arial"/>
                <w:sz w:val="18"/>
                <w:szCs w:val="18"/>
              </w:rPr>
              <w:t>Cash rate</w:t>
            </w:r>
          </w:p>
        </w:tc>
        <w:tc>
          <w:tcPr>
            <w:tcW w:w="2268" w:type="dxa"/>
          </w:tcPr>
          <w:p w:rsidR="006F42C5" w:rsidRPr="00CF758C" w:rsidRDefault="006F42C5" w:rsidP="00F31BC8">
            <w:pPr>
              <w:keepNext/>
              <w:keepLines/>
              <w:jc w:val="right"/>
              <w:rPr>
                <w:rFonts w:ascii="Arial" w:hAnsi="Arial" w:cs="Arial"/>
                <w:sz w:val="18"/>
                <w:szCs w:val="18"/>
              </w:rPr>
            </w:pPr>
          </w:p>
        </w:tc>
        <w:tc>
          <w:tcPr>
            <w:tcW w:w="2268" w:type="dxa"/>
          </w:tcPr>
          <w:p w:rsidR="006F42C5" w:rsidRPr="00CF758C" w:rsidRDefault="006F42C5" w:rsidP="00F31BC8">
            <w:pPr>
              <w:keepNext/>
              <w:keepLines/>
              <w:jc w:val="right"/>
              <w:rPr>
                <w:rFonts w:ascii="Arial" w:hAnsi="Arial" w:cs="Arial"/>
                <w:sz w:val="18"/>
                <w:szCs w:val="18"/>
              </w:rPr>
            </w:pPr>
            <w:r w:rsidRPr="00CF758C">
              <w:rPr>
                <w:rFonts w:ascii="Arial" w:hAnsi="Arial" w:cs="Arial"/>
                <w:sz w:val="18"/>
                <w:szCs w:val="18"/>
              </w:rPr>
              <w:t>10 per cent</w:t>
            </w:r>
          </w:p>
        </w:tc>
      </w:tr>
      <w:tr w:rsidR="006F42C5" w:rsidRPr="00CF758C" w:rsidTr="00A43BCB">
        <w:tc>
          <w:tcPr>
            <w:tcW w:w="5353" w:type="dxa"/>
          </w:tcPr>
          <w:p w:rsidR="006F42C5" w:rsidRPr="00CF758C" w:rsidRDefault="006F42C5" w:rsidP="00F31BC8">
            <w:pPr>
              <w:keepNext/>
              <w:keepLines/>
              <w:rPr>
                <w:rFonts w:ascii="Arial" w:hAnsi="Arial" w:cs="Arial"/>
                <w:sz w:val="18"/>
                <w:szCs w:val="18"/>
              </w:rPr>
            </w:pPr>
            <w:r w:rsidRPr="00CF758C">
              <w:rPr>
                <w:rFonts w:ascii="Arial" w:hAnsi="Arial" w:cs="Arial"/>
                <w:sz w:val="18"/>
                <w:szCs w:val="18"/>
              </w:rPr>
              <w:t>Company tax rate</w:t>
            </w:r>
            <w:r w:rsidR="00A43BCB">
              <w:rPr>
                <w:rFonts w:ascii="Arial" w:hAnsi="Arial" w:cs="Arial"/>
                <w:sz w:val="18"/>
                <w:szCs w:val="18"/>
              </w:rPr>
              <w:t>, in line with BTWG options paper</w:t>
            </w:r>
          </w:p>
        </w:tc>
        <w:tc>
          <w:tcPr>
            <w:tcW w:w="2268" w:type="dxa"/>
          </w:tcPr>
          <w:p w:rsidR="006F42C5" w:rsidRPr="00CF758C" w:rsidRDefault="006F42C5" w:rsidP="00F31BC8">
            <w:pPr>
              <w:keepNext/>
              <w:keepLines/>
              <w:jc w:val="right"/>
              <w:rPr>
                <w:rFonts w:ascii="Arial" w:hAnsi="Arial" w:cs="Arial"/>
                <w:sz w:val="18"/>
                <w:szCs w:val="18"/>
              </w:rPr>
            </w:pPr>
          </w:p>
        </w:tc>
        <w:tc>
          <w:tcPr>
            <w:tcW w:w="2268" w:type="dxa"/>
          </w:tcPr>
          <w:p w:rsidR="006F42C5" w:rsidRPr="00CF758C" w:rsidRDefault="006F42C5" w:rsidP="00F31BC8">
            <w:pPr>
              <w:keepNext/>
              <w:keepLines/>
              <w:jc w:val="right"/>
              <w:rPr>
                <w:rFonts w:ascii="Arial" w:hAnsi="Arial" w:cs="Arial"/>
                <w:sz w:val="18"/>
                <w:szCs w:val="18"/>
              </w:rPr>
            </w:pPr>
            <w:r w:rsidRPr="00CF758C">
              <w:rPr>
                <w:rFonts w:ascii="Arial" w:hAnsi="Arial" w:cs="Arial"/>
                <w:sz w:val="18"/>
                <w:szCs w:val="18"/>
              </w:rPr>
              <w:t>25 per cent</w:t>
            </w:r>
          </w:p>
        </w:tc>
      </w:tr>
      <w:tr w:rsidR="00A43BCB" w:rsidRPr="00CF758C" w:rsidTr="0026391D">
        <w:tc>
          <w:tcPr>
            <w:tcW w:w="5353" w:type="dxa"/>
            <w:tcBorders>
              <w:bottom w:val="single" w:sz="4" w:space="0" w:color="auto"/>
            </w:tcBorders>
          </w:tcPr>
          <w:p w:rsidR="00A43BCB" w:rsidRPr="00CF758C" w:rsidRDefault="00F76A0D" w:rsidP="00F76A0D">
            <w:pPr>
              <w:keepNext/>
              <w:keepLines/>
              <w:rPr>
                <w:rFonts w:ascii="Arial" w:hAnsi="Arial" w:cs="Arial"/>
                <w:sz w:val="18"/>
                <w:szCs w:val="18"/>
              </w:rPr>
            </w:pPr>
            <w:r>
              <w:rPr>
                <w:rFonts w:ascii="Arial" w:hAnsi="Arial" w:cs="Arial"/>
                <w:sz w:val="18"/>
                <w:szCs w:val="18"/>
              </w:rPr>
              <w:t xml:space="preserve">Diminishing value rate, </w:t>
            </w:r>
            <w:r w:rsidR="00A43BCB">
              <w:rPr>
                <w:rFonts w:ascii="Arial" w:hAnsi="Arial" w:cs="Arial"/>
                <w:sz w:val="18"/>
                <w:szCs w:val="18"/>
              </w:rPr>
              <w:t>in line with option B.1</w:t>
            </w:r>
          </w:p>
        </w:tc>
        <w:tc>
          <w:tcPr>
            <w:tcW w:w="2268" w:type="dxa"/>
            <w:tcBorders>
              <w:bottom w:val="single" w:sz="4" w:space="0" w:color="auto"/>
            </w:tcBorders>
          </w:tcPr>
          <w:p w:rsidR="00A43BCB" w:rsidRPr="00CF758C" w:rsidRDefault="00A43BCB" w:rsidP="00F31BC8">
            <w:pPr>
              <w:keepNext/>
              <w:keepLines/>
              <w:jc w:val="right"/>
              <w:rPr>
                <w:rFonts w:ascii="Arial" w:hAnsi="Arial" w:cs="Arial"/>
                <w:sz w:val="18"/>
                <w:szCs w:val="18"/>
              </w:rPr>
            </w:pPr>
          </w:p>
        </w:tc>
        <w:tc>
          <w:tcPr>
            <w:tcW w:w="2268" w:type="dxa"/>
            <w:tcBorders>
              <w:bottom w:val="single" w:sz="4" w:space="0" w:color="auto"/>
            </w:tcBorders>
          </w:tcPr>
          <w:p w:rsidR="00A43BCB" w:rsidRPr="00CF758C" w:rsidRDefault="00E62BF0" w:rsidP="00F31BC8">
            <w:pPr>
              <w:keepNext/>
              <w:keepLines/>
              <w:jc w:val="right"/>
              <w:rPr>
                <w:rFonts w:ascii="Arial" w:hAnsi="Arial" w:cs="Arial"/>
                <w:sz w:val="18"/>
                <w:szCs w:val="18"/>
              </w:rPr>
            </w:pPr>
            <w:r>
              <w:rPr>
                <w:rFonts w:ascii="Arial" w:hAnsi="Arial" w:cs="Arial"/>
                <w:sz w:val="18"/>
                <w:szCs w:val="18"/>
              </w:rPr>
              <w:t>150 per cent</w:t>
            </w:r>
          </w:p>
        </w:tc>
      </w:tr>
    </w:tbl>
    <w:p w:rsidR="00383D38" w:rsidRPr="00CF758C" w:rsidRDefault="00383D38" w:rsidP="00F31BC8">
      <w:pPr>
        <w:keepNext/>
        <w:keepLines/>
        <w:rPr>
          <w:rFonts w:ascii="Arial" w:hAnsi="Arial" w:cs="Arial"/>
          <w:sz w:val="18"/>
          <w:szCs w:val="18"/>
        </w:rPr>
      </w:pPr>
    </w:p>
    <w:p w:rsidR="00383D38" w:rsidRDefault="00383D38" w:rsidP="005024DA">
      <w:pPr>
        <w:rPr>
          <w:rFonts w:ascii="Arial" w:hAnsi="Arial" w:cs="Arial"/>
          <w:sz w:val="20"/>
          <w:szCs w:val="20"/>
        </w:rPr>
      </w:pPr>
    </w:p>
    <w:p w:rsidR="006F42C5" w:rsidRPr="006F42C5" w:rsidRDefault="006F42C5" w:rsidP="0026391D">
      <w:pPr>
        <w:pStyle w:val="Heading2"/>
        <w:keepLines w:val="0"/>
      </w:pPr>
      <w:bookmarkStart w:id="7" w:name="_Toc336331464"/>
      <w:r>
        <w:lastRenderedPageBreak/>
        <w:t>Modelling results: prime mover</w:t>
      </w:r>
      <w:r w:rsidR="000432DD">
        <w:t>s</w:t>
      </w:r>
      <w:bookmarkEnd w:id="7"/>
    </w:p>
    <w:p w:rsidR="006F42C5" w:rsidRDefault="006F42C5" w:rsidP="0026391D">
      <w:pPr>
        <w:keepNext/>
        <w:rPr>
          <w:rFonts w:ascii="Arial" w:hAnsi="Arial" w:cs="Arial"/>
          <w:sz w:val="20"/>
          <w:szCs w:val="20"/>
        </w:rPr>
      </w:pPr>
    </w:p>
    <w:p w:rsidR="006F42C5" w:rsidRDefault="000532BE" w:rsidP="0026391D">
      <w:pPr>
        <w:keepNext/>
        <w:rPr>
          <w:rFonts w:ascii="Arial" w:hAnsi="Arial" w:cs="Arial"/>
          <w:sz w:val="20"/>
          <w:szCs w:val="20"/>
        </w:rPr>
      </w:pPr>
      <w:r>
        <w:rPr>
          <w:rFonts w:ascii="Arial" w:hAnsi="Arial" w:cs="Arial"/>
          <w:sz w:val="20"/>
          <w:szCs w:val="20"/>
        </w:rPr>
        <w:t xml:space="preserve">Figure </w:t>
      </w:r>
      <w:r w:rsidR="007D0EB6">
        <w:rPr>
          <w:rFonts w:ascii="Arial" w:hAnsi="Arial" w:cs="Arial"/>
          <w:sz w:val="20"/>
          <w:szCs w:val="20"/>
        </w:rPr>
        <w:t>1 sets out the cash flow impact</w:t>
      </w:r>
      <w:r>
        <w:rPr>
          <w:rFonts w:ascii="Arial" w:hAnsi="Arial" w:cs="Arial"/>
          <w:sz w:val="20"/>
          <w:szCs w:val="20"/>
        </w:rPr>
        <w:t xml:space="preserve"> of option B.6 on an indicative prime mover depreciated using the prime cost method.</w:t>
      </w:r>
    </w:p>
    <w:p w:rsidR="000532BE" w:rsidRDefault="000532BE" w:rsidP="005024DA">
      <w:pPr>
        <w:rPr>
          <w:rFonts w:ascii="Arial" w:hAnsi="Arial" w:cs="Arial"/>
          <w:sz w:val="20"/>
          <w:szCs w:val="20"/>
        </w:rPr>
      </w:pPr>
    </w:p>
    <w:p w:rsidR="000532BE" w:rsidRDefault="007D0EB6" w:rsidP="005024DA">
      <w:pPr>
        <w:rPr>
          <w:rFonts w:ascii="Arial" w:hAnsi="Arial" w:cs="Arial"/>
          <w:sz w:val="20"/>
          <w:szCs w:val="20"/>
        </w:rPr>
      </w:pPr>
      <w:r>
        <w:rPr>
          <w:rFonts w:ascii="Arial" w:hAnsi="Arial" w:cs="Arial"/>
          <w:sz w:val="20"/>
          <w:szCs w:val="20"/>
        </w:rPr>
        <w:t>Using the existing 7.5</w:t>
      </w:r>
      <w:r w:rsidR="000532BE">
        <w:rPr>
          <w:rFonts w:ascii="Arial" w:hAnsi="Arial" w:cs="Arial"/>
          <w:sz w:val="20"/>
          <w:szCs w:val="20"/>
        </w:rPr>
        <w:t xml:space="preserve"> year effective life, the prime cost depreciation on this prime mover </w:t>
      </w:r>
      <w:r>
        <w:rPr>
          <w:rFonts w:ascii="Arial" w:hAnsi="Arial" w:cs="Arial"/>
          <w:sz w:val="20"/>
          <w:szCs w:val="20"/>
        </w:rPr>
        <w:t xml:space="preserve">would be </w:t>
      </w:r>
      <w:r w:rsidR="000532BE">
        <w:rPr>
          <w:rFonts w:ascii="Arial" w:hAnsi="Arial" w:cs="Arial"/>
          <w:sz w:val="20"/>
          <w:szCs w:val="20"/>
        </w:rPr>
        <w:t>$33,325 per year, compared to $16,675 per year under a 15 year effective life.</w:t>
      </w:r>
    </w:p>
    <w:p w:rsidR="000532BE" w:rsidRDefault="000532BE" w:rsidP="005024DA">
      <w:pPr>
        <w:rPr>
          <w:rFonts w:ascii="Arial" w:hAnsi="Arial" w:cs="Arial"/>
          <w:sz w:val="20"/>
          <w:szCs w:val="20"/>
        </w:rPr>
      </w:pPr>
    </w:p>
    <w:p w:rsidR="000532BE" w:rsidRDefault="000532BE" w:rsidP="005024DA">
      <w:pPr>
        <w:rPr>
          <w:rFonts w:ascii="Arial" w:hAnsi="Arial" w:cs="Arial"/>
          <w:sz w:val="20"/>
          <w:szCs w:val="20"/>
        </w:rPr>
      </w:pPr>
      <w:r>
        <w:rPr>
          <w:rFonts w:ascii="Arial" w:hAnsi="Arial" w:cs="Arial"/>
          <w:sz w:val="20"/>
          <w:szCs w:val="20"/>
        </w:rPr>
        <w:t>Once the proposed 25 per cent company tax rate is taken into account, the after tax cash flow difference</w:t>
      </w:r>
      <w:r w:rsidR="007D0EB6">
        <w:rPr>
          <w:rFonts w:ascii="Arial" w:hAnsi="Arial" w:cs="Arial"/>
          <w:sz w:val="20"/>
          <w:szCs w:val="20"/>
        </w:rPr>
        <w:t xml:space="preserve"> between an effective life of 7.5</w:t>
      </w:r>
      <w:r>
        <w:rPr>
          <w:rFonts w:ascii="Arial" w:hAnsi="Arial" w:cs="Arial"/>
          <w:sz w:val="20"/>
          <w:szCs w:val="20"/>
        </w:rPr>
        <w:t xml:space="preserve"> </w:t>
      </w:r>
      <w:r w:rsidR="007D0EB6">
        <w:rPr>
          <w:rFonts w:ascii="Arial" w:hAnsi="Arial" w:cs="Arial"/>
          <w:sz w:val="20"/>
          <w:szCs w:val="20"/>
        </w:rPr>
        <w:t>years and an effective life of 1</w:t>
      </w:r>
      <w:r>
        <w:rPr>
          <w:rFonts w:ascii="Arial" w:hAnsi="Arial" w:cs="Arial"/>
          <w:sz w:val="20"/>
          <w:szCs w:val="20"/>
        </w:rPr>
        <w:t xml:space="preserve">5 years </w:t>
      </w:r>
      <w:r w:rsidR="007D0EB6">
        <w:rPr>
          <w:rFonts w:ascii="Arial" w:hAnsi="Arial" w:cs="Arial"/>
          <w:sz w:val="20"/>
          <w:szCs w:val="20"/>
        </w:rPr>
        <w:t>would be $4,163</w:t>
      </w:r>
      <w:r>
        <w:rPr>
          <w:rFonts w:ascii="Arial" w:hAnsi="Arial" w:cs="Arial"/>
          <w:sz w:val="20"/>
          <w:szCs w:val="20"/>
        </w:rPr>
        <w:t xml:space="preserve"> per year. On a net present value basis, </w:t>
      </w:r>
      <w:r w:rsidR="00CD70F5">
        <w:rPr>
          <w:rFonts w:ascii="Arial" w:hAnsi="Arial" w:cs="Arial"/>
          <w:sz w:val="20"/>
          <w:szCs w:val="20"/>
        </w:rPr>
        <w:t>the cash flow gap over the five year ownersh</w:t>
      </w:r>
      <w:r w:rsidR="007D0EB6">
        <w:rPr>
          <w:rFonts w:ascii="Arial" w:hAnsi="Arial" w:cs="Arial"/>
          <w:sz w:val="20"/>
          <w:szCs w:val="20"/>
        </w:rPr>
        <w:t xml:space="preserve">ip of the truck would be </w:t>
      </w:r>
      <w:r w:rsidR="00CD70F5">
        <w:rPr>
          <w:rFonts w:ascii="Arial" w:hAnsi="Arial" w:cs="Arial"/>
          <w:sz w:val="20"/>
          <w:szCs w:val="20"/>
        </w:rPr>
        <w:t>$17,357.</w:t>
      </w:r>
    </w:p>
    <w:p w:rsidR="00CD70F5" w:rsidRDefault="00CD70F5" w:rsidP="005024DA">
      <w:pPr>
        <w:rPr>
          <w:rFonts w:ascii="Arial" w:hAnsi="Arial" w:cs="Arial"/>
          <w:sz w:val="20"/>
          <w:szCs w:val="20"/>
        </w:rPr>
      </w:pPr>
    </w:p>
    <w:p w:rsidR="006F42C5" w:rsidRDefault="006F42C5" w:rsidP="005024DA">
      <w:pPr>
        <w:rPr>
          <w:rFonts w:ascii="Arial" w:hAnsi="Arial" w:cs="Arial"/>
          <w:sz w:val="20"/>
          <w:szCs w:val="20"/>
        </w:rPr>
      </w:pPr>
    </w:p>
    <w:p w:rsidR="006F42C5" w:rsidRDefault="006F42C5" w:rsidP="006F42C5">
      <w:pPr>
        <w:pStyle w:val="Caption"/>
        <w:keepNext/>
        <w:rPr>
          <w:sz w:val="18"/>
        </w:rPr>
      </w:pPr>
      <w:r w:rsidRPr="00CF758C">
        <w:rPr>
          <w:sz w:val="18"/>
        </w:rPr>
        <w:t xml:space="preserve">Figure </w:t>
      </w:r>
      <w:r w:rsidR="00AB46E4" w:rsidRPr="00CF758C">
        <w:rPr>
          <w:sz w:val="18"/>
        </w:rPr>
        <w:fldChar w:fldCharType="begin"/>
      </w:r>
      <w:r w:rsidR="008D7A8B" w:rsidRPr="00CF758C">
        <w:rPr>
          <w:sz w:val="18"/>
        </w:rPr>
        <w:instrText xml:space="preserve"> SEQ Figure \* ARABIC </w:instrText>
      </w:r>
      <w:r w:rsidR="00AB46E4" w:rsidRPr="00CF758C">
        <w:rPr>
          <w:sz w:val="18"/>
        </w:rPr>
        <w:fldChar w:fldCharType="separate"/>
      </w:r>
      <w:r w:rsidR="00AA06FD">
        <w:rPr>
          <w:noProof/>
          <w:sz w:val="18"/>
        </w:rPr>
        <w:t>1</w:t>
      </w:r>
      <w:r w:rsidR="00AB46E4" w:rsidRPr="00CF758C">
        <w:rPr>
          <w:sz w:val="18"/>
        </w:rPr>
        <w:fldChar w:fldCharType="end"/>
      </w:r>
      <w:r w:rsidRPr="00CF758C">
        <w:rPr>
          <w:sz w:val="18"/>
        </w:rPr>
        <w:t xml:space="preserve">: </w:t>
      </w:r>
      <w:r w:rsidR="000432DD" w:rsidRPr="00CF758C">
        <w:rPr>
          <w:sz w:val="18"/>
        </w:rPr>
        <w:t>Indicative prime mover, d</w:t>
      </w:r>
      <w:r w:rsidRPr="00CF758C">
        <w:rPr>
          <w:sz w:val="18"/>
        </w:rPr>
        <w:t>iscounted cash flow after tax, prime cost method</w:t>
      </w:r>
    </w:p>
    <w:p w:rsidR="00CF758C" w:rsidRPr="00CF758C" w:rsidRDefault="00CF758C" w:rsidP="00CF758C"/>
    <w:p w:rsidR="000C58F2" w:rsidRDefault="006F42C5" w:rsidP="006F42C5">
      <w:pPr>
        <w:pStyle w:val="Caption"/>
      </w:pPr>
      <w:r w:rsidRPr="006F42C5">
        <w:rPr>
          <w:noProof/>
          <w:lang w:eastAsia="en-AU"/>
        </w:rPr>
        <w:drawing>
          <wp:inline distT="0" distB="0" distL="0" distR="0">
            <wp:extent cx="5943600" cy="267716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42C5" w:rsidRDefault="006F42C5" w:rsidP="005024DA">
      <w:pPr>
        <w:rPr>
          <w:rFonts w:ascii="Arial" w:hAnsi="Arial" w:cs="Arial"/>
          <w:sz w:val="20"/>
          <w:szCs w:val="20"/>
        </w:rPr>
      </w:pPr>
    </w:p>
    <w:p w:rsidR="006F42C5" w:rsidRDefault="006F42C5" w:rsidP="005024DA">
      <w:pPr>
        <w:rPr>
          <w:rFonts w:ascii="Arial" w:hAnsi="Arial" w:cs="Arial"/>
          <w:sz w:val="20"/>
          <w:szCs w:val="20"/>
        </w:rPr>
      </w:pPr>
    </w:p>
    <w:p w:rsidR="000432DD" w:rsidRDefault="000432DD" w:rsidP="005024DA">
      <w:pPr>
        <w:rPr>
          <w:rFonts w:ascii="Arial" w:hAnsi="Arial" w:cs="Arial"/>
          <w:sz w:val="20"/>
          <w:szCs w:val="20"/>
        </w:rPr>
      </w:pPr>
      <w:r>
        <w:rPr>
          <w:rFonts w:ascii="Arial" w:hAnsi="Arial" w:cs="Arial"/>
          <w:sz w:val="20"/>
          <w:szCs w:val="20"/>
        </w:rPr>
        <w:t xml:space="preserve">Figure 2 sets out the modelling results for </w:t>
      </w:r>
      <w:r w:rsidR="007D0EB6">
        <w:rPr>
          <w:rFonts w:ascii="Arial" w:hAnsi="Arial" w:cs="Arial"/>
          <w:sz w:val="20"/>
          <w:szCs w:val="20"/>
        </w:rPr>
        <w:t>a business</w:t>
      </w:r>
      <w:r>
        <w:rPr>
          <w:rFonts w:ascii="Arial" w:hAnsi="Arial" w:cs="Arial"/>
          <w:sz w:val="20"/>
          <w:szCs w:val="20"/>
        </w:rPr>
        <w:t xml:space="preserve"> </w:t>
      </w:r>
      <w:r w:rsidR="007D0EB6">
        <w:rPr>
          <w:rFonts w:ascii="Arial" w:hAnsi="Arial" w:cs="Arial"/>
          <w:sz w:val="20"/>
          <w:szCs w:val="20"/>
        </w:rPr>
        <w:t>depreciating</w:t>
      </w:r>
      <w:r>
        <w:rPr>
          <w:rFonts w:ascii="Arial" w:hAnsi="Arial" w:cs="Arial"/>
          <w:sz w:val="20"/>
          <w:szCs w:val="20"/>
        </w:rPr>
        <w:t xml:space="preserve"> </w:t>
      </w:r>
      <w:r w:rsidR="007D0EB6">
        <w:rPr>
          <w:rFonts w:ascii="Arial" w:hAnsi="Arial" w:cs="Arial"/>
          <w:sz w:val="20"/>
          <w:szCs w:val="20"/>
        </w:rPr>
        <w:t>an indicative prime mover</w:t>
      </w:r>
      <w:r>
        <w:rPr>
          <w:rFonts w:ascii="Arial" w:hAnsi="Arial" w:cs="Arial"/>
          <w:sz w:val="20"/>
          <w:szCs w:val="20"/>
        </w:rPr>
        <w:t xml:space="preserve"> using the diminishing value method.</w:t>
      </w:r>
      <w:r w:rsidR="007D0EB6">
        <w:rPr>
          <w:rFonts w:ascii="Arial" w:hAnsi="Arial" w:cs="Arial"/>
          <w:sz w:val="20"/>
          <w:szCs w:val="20"/>
        </w:rPr>
        <w:t xml:space="preserve"> The modelling is based on a 150 per cent diminishing value rate, for consistency with option B.1 in the BTWG discussion paper.</w:t>
      </w:r>
    </w:p>
    <w:p w:rsidR="000432DD" w:rsidRDefault="000432DD" w:rsidP="005024DA">
      <w:pPr>
        <w:rPr>
          <w:rFonts w:ascii="Arial" w:hAnsi="Arial" w:cs="Arial"/>
          <w:sz w:val="20"/>
          <w:szCs w:val="20"/>
        </w:rPr>
      </w:pPr>
    </w:p>
    <w:p w:rsidR="000432DD" w:rsidRDefault="007D0EB6" w:rsidP="000432DD">
      <w:pPr>
        <w:rPr>
          <w:rFonts w:ascii="Arial" w:hAnsi="Arial" w:cs="Arial"/>
          <w:sz w:val="20"/>
          <w:szCs w:val="20"/>
        </w:rPr>
      </w:pPr>
      <w:r>
        <w:rPr>
          <w:rFonts w:ascii="Arial" w:hAnsi="Arial" w:cs="Arial"/>
          <w:sz w:val="20"/>
          <w:szCs w:val="20"/>
        </w:rPr>
        <w:t>Using the existing 7.5</w:t>
      </w:r>
      <w:r w:rsidR="000432DD">
        <w:rPr>
          <w:rFonts w:ascii="Arial" w:hAnsi="Arial" w:cs="Arial"/>
          <w:sz w:val="20"/>
          <w:szCs w:val="20"/>
        </w:rPr>
        <w:t xml:space="preserve"> year effective life, the diminishing value depreciation on this prime mover </w:t>
      </w:r>
      <w:r>
        <w:rPr>
          <w:rFonts w:ascii="Arial" w:hAnsi="Arial" w:cs="Arial"/>
          <w:sz w:val="20"/>
          <w:szCs w:val="20"/>
        </w:rPr>
        <w:t>would start</w:t>
      </w:r>
      <w:r w:rsidR="000432DD">
        <w:rPr>
          <w:rFonts w:ascii="Arial" w:hAnsi="Arial" w:cs="Arial"/>
          <w:sz w:val="20"/>
          <w:szCs w:val="20"/>
        </w:rPr>
        <w:t xml:space="preserve"> at $</w:t>
      </w:r>
      <w:r w:rsidR="00E60314">
        <w:rPr>
          <w:rFonts w:ascii="Arial" w:hAnsi="Arial" w:cs="Arial"/>
          <w:sz w:val="20"/>
          <w:szCs w:val="20"/>
        </w:rPr>
        <w:t xml:space="preserve">50,000 </w:t>
      </w:r>
      <w:r w:rsidR="00193999">
        <w:rPr>
          <w:rFonts w:ascii="Arial" w:hAnsi="Arial" w:cs="Arial"/>
          <w:sz w:val="20"/>
          <w:szCs w:val="20"/>
        </w:rPr>
        <w:t>in year one</w:t>
      </w:r>
      <w:r w:rsidR="00E60314">
        <w:rPr>
          <w:rFonts w:ascii="Arial" w:hAnsi="Arial" w:cs="Arial"/>
          <w:sz w:val="20"/>
          <w:szCs w:val="20"/>
        </w:rPr>
        <w:t>, declining to $20,480</w:t>
      </w:r>
      <w:r w:rsidR="000432DD">
        <w:rPr>
          <w:rFonts w:ascii="Arial" w:hAnsi="Arial" w:cs="Arial"/>
          <w:sz w:val="20"/>
          <w:szCs w:val="20"/>
        </w:rPr>
        <w:t xml:space="preserve"> in year five. Under a 15 year effective life, the diminishing value dep</w:t>
      </w:r>
      <w:r w:rsidR="00193999">
        <w:rPr>
          <w:rFonts w:ascii="Arial" w:hAnsi="Arial" w:cs="Arial"/>
          <w:sz w:val="20"/>
          <w:szCs w:val="20"/>
        </w:rPr>
        <w:t>reciation would start at $25</w:t>
      </w:r>
      <w:r w:rsidR="00E60314">
        <w:rPr>
          <w:rFonts w:ascii="Arial" w:hAnsi="Arial" w:cs="Arial"/>
          <w:sz w:val="20"/>
          <w:szCs w:val="20"/>
        </w:rPr>
        <w:t>,000 and decline to $16,403</w:t>
      </w:r>
      <w:r w:rsidR="000432DD">
        <w:rPr>
          <w:rFonts w:ascii="Arial" w:hAnsi="Arial" w:cs="Arial"/>
          <w:sz w:val="20"/>
          <w:szCs w:val="20"/>
        </w:rPr>
        <w:t xml:space="preserve"> in year five.</w:t>
      </w:r>
    </w:p>
    <w:p w:rsidR="000432DD" w:rsidRDefault="000432DD" w:rsidP="000432DD">
      <w:pPr>
        <w:rPr>
          <w:rFonts w:ascii="Arial" w:hAnsi="Arial" w:cs="Arial"/>
          <w:sz w:val="20"/>
          <w:szCs w:val="20"/>
        </w:rPr>
      </w:pPr>
    </w:p>
    <w:p w:rsidR="000432DD" w:rsidRDefault="000432DD" w:rsidP="000432DD">
      <w:pPr>
        <w:rPr>
          <w:rFonts w:ascii="Arial" w:hAnsi="Arial" w:cs="Arial"/>
          <w:sz w:val="20"/>
          <w:szCs w:val="20"/>
        </w:rPr>
      </w:pPr>
      <w:r>
        <w:rPr>
          <w:rFonts w:ascii="Arial" w:hAnsi="Arial" w:cs="Arial"/>
          <w:sz w:val="20"/>
          <w:szCs w:val="20"/>
        </w:rPr>
        <w:t>Once the proposed 25 per cent company tax rate is taken into account, the after tax cash flow difference</w:t>
      </w:r>
      <w:r w:rsidR="00E60314">
        <w:rPr>
          <w:rFonts w:ascii="Arial" w:hAnsi="Arial" w:cs="Arial"/>
          <w:sz w:val="20"/>
          <w:szCs w:val="20"/>
        </w:rPr>
        <w:t xml:space="preserve"> between an effective life of 7.5</w:t>
      </w:r>
      <w:r>
        <w:rPr>
          <w:rFonts w:ascii="Arial" w:hAnsi="Arial" w:cs="Arial"/>
          <w:sz w:val="20"/>
          <w:szCs w:val="20"/>
        </w:rPr>
        <w:t xml:space="preserve"> </w:t>
      </w:r>
      <w:r w:rsidR="007D0EB6">
        <w:rPr>
          <w:rFonts w:ascii="Arial" w:hAnsi="Arial" w:cs="Arial"/>
          <w:sz w:val="20"/>
          <w:szCs w:val="20"/>
        </w:rPr>
        <w:t>years and an effective life of 1</w:t>
      </w:r>
      <w:r>
        <w:rPr>
          <w:rFonts w:ascii="Arial" w:hAnsi="Arial" w:cs="Arial"/>
          <w:sz w:val="20"/>
          <w:szCs w:val="20"/>
        </w:rPr>
        <w:t xml:space="preserve">5 years </w:t>
      </w:r>
      <w:r w:rsidR="007D0EB6">
        <w:rPr>
          <w:rFonts w:ascii="Arial" w:hAnsi="Arial" w:cs="Arial"/>
          <w:sz w:val="20"/>
          <w:szCs w:val="20"/>
        </w:rPr>
        <w:t>would start</w:t>
      </w:r>
      <w:r w:rsidR="00E60314">
        <w:rPr>
          <w:rFonts w:ascii="Arial" w:hAnsi="Arial" w:cs="Arial"/>
          <w:sz w:val="20"/>
          <w:szCs w:val="20"/>
        </w:rPr>
        <w:t xml:space="preserve"> at $6,250</w:t>
      </w:r>
      <w:r>
        <w:rPr>
          <w:rFonts w:ascii="Arial" w:hAnsi="Arial" w:cs="Arial"/>
          <w:sz w:val="20"/>
          <w:szCs w:val="20"/>
        </w:rPr>
        <w:t xml:space="preserve"> per year. On a net present value basis, the cash flow gap over the five year ownership of the truck </w:t>
      </w:r>
      <w:r w:rsidR="007D0EB6">
        <w:rPr>
          <w:rFonts w:ascii="Arial" w:hAnsi="Arial" w:cs="Arial"/>
          <w:sz w:val="20"/>
          <w:szCs w:val="20"/>
        </w:rPr>
        <w:t xml:space="preserve">would be </w:t>
      </w:r>
      <w:r w:rsidR="00E60314">
        <w:rPr>
          <w:rFonts w:ascii="Arial" w:hAnsi="Arial" w:cs="Arial"/>
          <w:sz w:val="20"/>
          <w:szCs w:val="20"/>
        </w:rPr>
        <w:t>$14,736</w:t>
      </w:r>
      <w:r>
        <w:rPr>
          <w:rFonts w:ascii="Arial" w:hAnsi="Arial" w:cs="Arial"/>
          <w:sz w:val="20"/>
          <w:szCs w:val="20"/>
        </w:rPr>
        <w:t>.</w:t>
      </w:r>
    </w:p>
    <w:p w:rsidR="000432DD" w:rsidRDefault="000432DD" w:rsidP="005024DA">
      <w:pPr>
        <w:rPr>
          <w:rFonts w:ascii="Arial" w:hAnsi="Arial" w:cs="Arial"/>
          <w:sz w:val="20"/>
          <w:szCs w:val="20"/>
        </w:rPr>
      </w:pPr>
    </w:p>
    <w:p w:rsidR="00CD70F5" w:rsidRPr="008E2E7C" w:rsidRDefault="00CD70F5" w:rsidP="00CF758C">
      <w:pPr>
        <w:pStyle w:val="Caption"/>
        <w:keepNext/>
        <w:rPr>
          <w:sz w:val="18"/>
        </w:rPr>
      </w:pPr>
      <w:r w:rsidRPr="008E2E7C">
        <w:rPr>
          <w:sz w:val="18"/>
        </w:rPr>
        <w:lastRenderedPageBreak/>
        <w:t xml:space="preserve">Figure </w:t>
      </w:r>
      <w:r w:rsidR="00AB46E4" w:rsidRPr="008E2E7C">
        <w:rPr>
          <w:sz w:val="18"/>
        </w:rPr>
        <w:fldChar w:fldCharType="begin"/>
      </w:r>
      <w:r w:rsidR="008D7A8B" w:rsidRPr="008E2E7C">
        <w:rPr>
          <w:sz w:val="18"/>
        </w:rPr>
        <w:instrText xml:space="preserve"> SEQ Figure \* ARABIC </w:instrText>
      </w:r>
      <w:r w:rsidR="00AB46E4" w:rsidRPr="008E2E7C">
        <w:rPr>
          <w:sz w:val="18"/>
        </w:rPr>
        <w:fldChar w:fldCharType="separate"/>
      </w:r>
      <w:r w:rsidR="00AA06FD">
        <w:rPr>
          <w:noProof/>
          <w:sz w:val="18"/>
        </w:rPr>
        <w:t>2</w:t>
      </w:r>
      <w:r w:rsidR="00AB46E4" w:rsidRPr="008E2E7C">
        <w:rPr>
          <w:sz w:val="18"/>
        </w:rPr>
        <w:fldChar w:fldCharType="end"/>
      </w:r>
      <w:r w:rsidRPr="008E2E7C">
        <w:rPr>
          <w:sz w:val="18"/>
        </w:rPr>
        <w:t>: Indicative prime mover, discounted cash flow after tax, diminishing value method</w:t>
      </w:r>
    </w:p>
    <w:p w:rsidR="008E2E7C" w:rsidRPr="008E2E7C" w:rsidRDefault="008E2E7C" w:rsidP="00CF758C">
      <w:pPr>
        <w:keepNext/>
      </w:pPr>
    </w:p>
    <w:p w:rsidR="00D40494" w:rsidRDefault="00E60314" w:rsidP="00CF758C">
      <w:pPr>
        <w:keepNext/>
        <w:rPr>
          <w:rFonts w:ascii="Arial" w:hAnsi="Arial" w:cs="Arial"/>
          <w:sz w:val="20"/>
          <w:szCs w:val="20"/>
        </w:rPr>
      </w:pPr>
      <w:r w:rsidRPr="00E60314">
        <w:rPr>
          <w:rFonts w:ascii="Arial" w:hAnsi="Arial" w:cs="Arial"/>
          <w:noProof/>
          <w:sz w:val="20"/>
          <w:szCs w:val="20"/>
          <w:lang w:eastAsia="en-AU"/>
        </w:rPr>
        <w:drawing>
          <wp:inline distT="0" distB="0" distL="0" distR="0">
            <wp:extent cx="5943600" cy="2795905"/>
            <wp:effectExtent l="19050" t="0" r="19050" b="4445"/>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70F5" w:rsidRDefault="00CD70F5" w:rsidP="005024DA">
      <w:pPr>
        <w:rPr>
          <w:rFonts w:ascii="Arial" w:hAnsi="Arial" w:cs="Arial"/>
          <w:sz w:val="20"/>
          <w:szCs w:val="20"/>
        </w:rPr>
      </w:pPr>
    </w:p>
    <w:p w:rsidR="000432DD" w:rsidRDefault="000432DD" w:rsidP="005024DA">
      <w:pPr>
        <w:rPr>
          <w:rFonts w:ascii="Arial" w:hAnsi="Arial" w:cs="Arial"/>
          <w:sz w:val="20"/>
          <w:szCs w:val="20"/>
        </w:rPr>
      </w:pPr>
    </w:p>
    <w:p w:rsidR="000432DD" w:rsidRPr="000432DD" w:rsidRDefault="000432DD" w:rsidP="006E0763">
      <w:pPr>
        <w:pStyle w:val="Heading2"/>
      </w:pPr>
      <w:bookmarkStart w:id="8" w:name="_Toc336331465"/>
      <w:r w:rsidRPr="000432DD">
        <w:t>Modelling results: rigid trucks</w:t>
      </w:r>
      <w:bookmarkEnd w:id="8"/>
    </w:p>
    <w:p w:rsidR="00CD70F5" w:rsidRDefault="00CD70F5" w:rsidP="005024DA">
      <w:pPr>
        <w:rPr>
          <w:rFonts w:ascii="Arial" w:hAnsi="Arial" w:cs="Arial"/>
          <w:sz w:val="20"/>
          <w:szCs w:val="20"/>
        </w:rPr>
      </w:pPr>
    </w:p>
    <w:p w:rsidR="000432DD" w:rsidRDefault="009411F4" w:rsidP="000432DD">
      <w:pPr>
        <w:rPr>
          <w:rFonts w:ascii="Arial" w:hAnsi="Arial" w:cs="Arial"/>
          <w:sz w:val="20"/>
          <w:szCs w:val="20"/>
        </w:rPr>
      </w:pPr>
      <w:r>
        <w:rPr>
          <w:rFonts w:ascii="Arial" w:hAnsi="Arial" w:cs="Arial"/>
          <w:sz w:val="20"/>
          <w:szCs w:val="20"/>
        </w:rPr>
        <w:t>Figure 3</w:t>
      </w:r>
      <w:r w:rsidR="00E60314">
        <w:rPr>
          <w:rFonts w:ascii="Arial" w:hAnsi="Arial" w:cs="Arial"/>
          <w:sz w:val="20"/>
          <w:szCs w:val="20"/>
        </w:rPr>
        <w:t xml:space="preserve"> sets out the cash flow impact</w:t>
      </w:r>
      <w:r w:rsidR="000432DD">
        <w:rPr>
          <w:rFonts w:ascii="Arial" w:hAnsi="Arial" w:cs="Arial"/>
          <w:sz w:val="20"/>
          <w:szCs w:val="20"/>
        </w:rPr>
        <w:t xml:space="preserve"> of option B.6 on an indicative </w:t>
      </w:r>
      <w:r w:rsidR="00F1313A">
        <w:rPr>
          <w:rFonts w:ascii="Arial" w:hAnsi="Arial" w:cs="Arial"/>
          <w:sz w:val="20"/>
          <w:szCs w:val="20"/>
        </w:rPr>
        <w:t>rigid truck</w:t>
      </w:r>
      <w:r w:rsidR="000432DD">
        <w:rPr>
          <w:rFonts w:ascii="Arial" w:hAnsi="Arial" w:cs="Arial"/>
          <w:sz w:val="20"/>
          <w:szCs w:val="20"/>
        </w:rPr>
        <w:t xml:space="preserve"> depreciated using the prime cost method.</w:t>
      </w:r>
    </w:p>
    <w:p w:rsidR="000432DD" w:rsidRDefault="000432DD" w:rsidP="000432DD">
      <w:pPr>
        <w:rPr>
          <w:rFonts w:ascii="Arial" w:hAnsi="Arial" w:cs="Arial"/>
          <w:sz w:val="20"/>
          <w:szCs w:val="20"/>
        </w:rPr>
      </w:pPr>
    </w:p>
    <w:p w:rsidR="000432DD" w:rsidRDefault="00E60314" w:rsidP="000432DD">
      <w:pPr>
        <w:rPr>
          <w:rFonts w:ascii="Arial" w:hAnsi="Arial" w:cs="Arial"/>
          <w:sz w:val="20"/>
          <w:szCs w:val="20"/>
        </w:rPr>
      </w:pPr>
      <w:r>
        <w:rPr>
          <w:rFonts w:ascii="Arial" w:hAnsi="Arial" w:cs="Arial"/>
          <w:sz w:val="20"/>
          <w:szCs w:val="20"/>
        </w:rPr>
        <w:t>Using the existing 7.5</w:t>
      </w:r>
      <w:r w:rsidR="000432DD">
        <w:rPr>
          <w:rFonts w:ascii="Arial" w:hAnsi="Arial" w:cs="Arial"/>
          <w:sz w:val="20"/>
          <w:szCs w:val="20"/>
        </w:rPr>
        <w:t xml:space="preserve"> year effective life, the prime cost depreciation on this </w:t>
      </w:r>
      <w:r w:rsidR="00F1313A">
        <w:rPr>
          <w:rFonts w:ascii="Arial" w:hAnsi="Arial" w:cs="Arial"/>
          <w:sz w:val="20"/>
          <w:szCs w:val="20"/>
        </w:rPr>
        <w:t>rigid truck</w:t>
      </w:r>
      <w:r>
        <w:rPr>
          <w:rFonts w:ascii="Arial" w:hAnsi="Arial" w:cs="Arial"/>
          <w:sz w:val="20"/>
          <w:szCs w:val="20"/>
        </w:rPr>
        <w:t xml:space="preserve"> would be</w:t>
      </w:r>
      <w:r w:rsidR="000432DD">
        <w:rPr>
          <w:rFonts w:ascii="Arial" w:hAnsi="Arial" w:cs="Arial"/>
          <w:sz w:val="20"/>
          <w:szCs w:val="20"/>
        </w:rPr>
        <w:t xml:space="preserve"> $</w:t>
      </w:r>
      <w:r>
        <w:rPr>
          <w:rFonts w:ascii="Arial" w:hAnsi="Arial" w:cs="Arial"/>
          <w:sz w:val="20"/>
          <w:szCs w:val="20"/>
        </w:rPr>
        <w:t>13,33</w:t>
      </w:r>
      <w:r w:rsidR="00F1313A">
        <w:rPr>
          <w:rFonts w:ascii="Arial" w:hAnsi="Arial" w:cs="Arial"/>
          <w:sz w:val="20"/>
          <w:szCs w:val="20"/>
        </w:rPr>
        <w:t xml:space="preserve">0 </w:t>
      </w:r>
      <w:r w:rsidR="000432DD">
        <w:rPr>
          <w:rFonts w:ascii="Arial" w:hAnsi="Arial" w:cs="Arial"/>
          <w:sz w:val="20"/>
          <w:szCs w:val="20"/>
        </w:rPr>
        <w:t>per year, compared to $</w:t>
      </w:r>
      <w:r w:rsidR="00F1313A">
        <w:rPr>
          <w:rFonts w:ascii="Arial" w:hAnsi="Arial" w:cs="Arial"/>
          <w:sz w:val="20"/>
          <w:szCs w:val="20"/>
        </w:rPr>
        <w:t xml:space="preserve">6,670 </w:t>
      </w:r>
      <w:r w:rsidR="000432DD">
        <w:rPr>
          <w:rFonts w:ascii="Arial" w:hAnsi="Arial" w:cs="Arial"/>
          <w:sz w:val="20"/>
          <w:szCs w:val="20"/>
        </w:rPr>
        <w:t>per year under a 15 year effective life.</w:t>
      </w:r>
    </w:p>
    <w:p w:rsidR="000432DD" w:rsidRDefault="000432DD" w:rsidP="000432DD">
      <w:pPr>
        <w:rPr>
          <w:rFonts w:ascii="Arial" w:hAnsi="Arial" w:cs="Arial"/>
          <w:sz w:val="20"/>
          <w:szCs w:val="20"/>
        </w:rPr>
      </w:pPr>
    </w:p>
    <w:p w:rsidR="000432DD" w:rsidRDefault="000432DD" w:rsidP="000432DD">
      <w:pPr>
        <w:rPr>
          <w:rFonts w:ascii="Arial" w:hAnsi="Arial" w:cs="Arial"/>
          <w:sz w:val="20"/>
          <w:szCs w:val="20"/>
        </w:rPr>
      </w:pPr>
      <w:r>
        <w:rPr>
          <w:rFonts w:ascii="Arial" w:hAnsi="Arial" w:cs="Arial"/>
          <w:sz w:val="20"/>
          <w:szCs w:val="20"/>
        </w:rPr>
        <w:t>Once the proposed 25 per cent company tax rate is taken into account, the after tax cash flow difference</w:t>
      </w:r>
      <w:r w:rsidR="00D434C5">
        <w:rPr>
          <w:rFonts w:ascii="Arial" w:hAnsi="Arial" w:cs="Arial"/>
          <w:sz w:val="20"/>
          <w:szCs w:val="20"/>
        </w:rPr>
        <w:t xml:space="preserve"> between an effective life of 7.5</w:t>
      </w:r>
      <w:r>
        <w:rPr>
          <w:rFonts w:ascii="Arial" w:hAnsi="Arial" w:cs="Arial"/>
          <w:sz w:val="20"/>
          <w:szCs w:val="20"/>
        </w:rPr>
        <w:t xml:space="preserve"> years and an effe</w:t>
      </w:r>
      <w:r w:rsidR="00D434C5">
        <w:rPr>
          <w:rFonts w:ascii="Arial" w:hAnsi="Arial" w:cs="Arial"/>
          <w:sz w:val="20"/>
          <w:szCs w:val="20"/>
        </w:rPr>
        <w:t>ctive life of 1</w:t>
      </w:r>
      <w:r w:rsidR="00F1313A">
        <w:rPr>
          <w:rFonts w:ascii="Arial" w:hAnsi="Arial" w:cs="Arial"/>
          <w:sz w:val="20"/>
          <w:szCs w:val="20"/>
        </w:rPr>
        <w:t>5 years</w:t>
      </w:r>
      <w:r w:rsidR="00E60314">
        <w:rPr>
          <w:rFonts w:ascii="Arial" w:hAnsi="Arial" w:cs="Arial"/>
          <w:sz w:val="20"/>
          <w:szCs w:val="20"/>
        </w:rPr>
        <w:t xml:space="preserve"> would be $1</w:t>
      </w:r>
      <w:r w:rsidR="002961C4">
        <w:rPr>
          <w:rFonts w:ascii="Arial" w:hAnsi="Arial" w:cs="Arial"/>
          <w:sz w:val="20"/>
          <w:szCs w:val="20"/>
        </w:rPr>
        <w:t>,</w:t>
      </w:r>
      <w:r w:rsidR="00E60314">
        <w:rPr>
          <w:rFonts w:ascii="Arial" w:hAnsi="Arial" w:cs="Arial"/>
          <w:sz w:val="20"/>
          <w:szCs w:val="20"/>
        </w:rPr>
        <w:t>665</w:t>
      </w:r>
      <w:r>
        <w:rPr>
          <w:rFonts w:ascii="Arial" w:hAnsi="Arial" w:cs="Arial"/>
          <w:sz w:val="20"/>
          <w:szCs w:val="20"/>
        </w:rPr>
        <w:t xml:space="preserve"> per year. On a net present value basis, the </w:t>
      </w:r>
      <w:r w:rsidR="00E60314">
        <w:rPr>
          <w:rFonts w:ascii="Arial" w:hAnsi="Arial" w:cs="Arial"/>
          <w:sz w:val="20"/>
          <w:szCs w:val="20"/>
        </w:rPr>
        <w:t xml:space="preserve">cumulative </w:t>
      </w:r>
      <w:r>
        <w:rPr>
          <w:rFonts w:ascii="Arial" w:hAnsi="Arial" w:cs="Arial"/>
          <w:sz w:val="20"/>
          <w:szCs w:val="20"/>
        </w:rPr>
        <w:t xml:space="preserve">cash flow gap </w:t>
      </w:r>
      <w:r w:rsidR="00193999">
        <w:rPr>
          <w:rFonts w:ascii="Arial" w:hAnsi="Arial" w:cs="Arial"/>
          <w:sz w:val="20"/>
          <w:szCs w:val="20"/>
        </w:rPr>
        <w:t>over the ten year ownership of the truck would be $7,434</w:t>
      </w:r>
      <w:r>
        <w:rPr>
          <w:rFonts w:ascii="Arial" w:hAnsi="Arial" w:cs="Arial"/>
          <w:sz w:val="20"/>
          <w:szCs w:val="20"/>
        </w:rPr>
        <w:t>.</w:t>
      </w:r>
    </w:p>
    <w:p w:rsidR="000432DD" w:rsidRDefault="000432DD" w:rsidP="005024DA">
      <w:pPr>
        <w:rPr>
          <w:rFonts w:ascii="Arial" w:hAnsi="Arial" w:cs="Arial"/>
          <w:sz w:val="20"/>
          <w:szCs w:val="20"/>
        </w:rPr>
      </w:pPr>
    </w:p>
    <w:p w:rsidR="008154D1" w:rsidRDefault="008154D1" w:rsidP="005024DA">
      <w:pPr>
        <w:rPr>
          <w:rFonts w:ascii="Arial" w:hAnsi="Arial" w:cs="Arial"/>
          <w:sz w:val="20"/>
          <w:szCs w:val="20"/>
        </w:rPr>
      </w:pPr>
    </w:p>
    <w:p w:rsidR="00F1313A" w:rsidRDefault="00F1313A" w:rsidP="00F1313A">
      <w:pPr>
        <w:pStyle w:val="Caption"/>
        <w:keepNext/>
        <w:rPr>
          <w:sz w:val="18"/>
        </w:rPr>
      </w:pPr>
      <w:r w:rsidRPr="008E2E7C">
        <w:rPr>
          <w:sz w:val="18"/>
        </w:rPr>
        <w:t xml:space="preserve">Figure </w:t>
      </w:r>
      <w:r w:rsidR="00AB46E4" w:rsidRPr="008E2E7C">
        <w:rPr>
          <w:sz w:val="18"/>
        </w:rPr>
        <w:fldChar w:fldCharType="begin"/>
      </w:r>
      <w:r w:rsidR="008D7A8B" w:rsidRPr="008E2E7C">
        <w:rPr>
          <w:sz w:val="18"/>
        </w:rPr>
        <w:instrText xml:space="preserve"> SEQ Figure \* ARABIC </w:instrText>
      </w:r>
      <w:r w:rsidR="00AB46E4" w:rsidRPr="008E2E7C">
        <w:rPr>
          <w:sz w:val="18"/>
        </w:rPr>
        <w:fldChar w:fldCharType="separate"/>
      </w:r>
      <w:r w:rsidR="00AA06FD">
        <w:rPr>
          <w:noProof/>
          <w:sz w:val="18"/>
        </w:rPr>
        <w:t>3</w:t>
      </w:r>
      <w:r w:rsidR="00AB46E4" w:rsidRPr="008E2E7C">
        <w:rPr>
          <w:sz w:val="18"/>
        </w:rPr>
        <w:fldChar w:fldCharType="end"/>
      </w:r>
      <w:r w:rsidRPr="008E2E7C">
        <w:rPr>
          <w:sz w:val="18"/>
        </w:rPr>
        <w:t>: Indicative rigid truck, discounted cash flow after tax, prime cost method</w:t>
      </w:r>
    </w:p>
    <w:p w:rsidR="008E2E7C" w:rsidRPr="008E2E7C" w:rsidRDefault="008E2E7C" w:rsidP="008E2E7C"/>
    <w:p w:rsidR="00F1313A" w:rsidRDefault="00E60314" w:rsidP="005024DA">
      <w:pPr>
        <w:rPr>
          <w:rFonts w:ascii="Arial" w:hAnsi="Arial" w:cs="Arial"/>
          <w:sz w:val="20"/>
          <w:szCs w:val="20"/>
        </w:rPr>
      </w:pPr>
      <w:r w:rsidRPr="00E60314">
        <w:rPr>
          <w:rFonts w:ascii="Arial" w:hAnsi="Arial" w:cs="Arial"/>
          <w:noProof/>
          <w:sz w:val="20"/>
          <w:szCs w:val="20"/>
          <w:lang w:eastAsia="en-AU"/>
        </w:rPr>
        <w:drawing>
          <wp:inline distT="0" distB="0" distL="0" distR="0">
            <wp:extent cx="5943600" cy="2058670"/>
            <wp:effectExtent l="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6FE6" w:rsidRDefault="00816FE6" w:rsidP="005024DA">
      <w:pPr>
        <w:rPr>
          <w:rFonts w:ascii="Arial" w:hAnsi="Arial" w:cs="Arial"/>
          <w:sz w:val="20"/>
          <w:szCs w:val="20"/>
        </w:rPr>
      </w:pPr>
    </w:p>
    <w:p w:rsidR="00F1313A" w:rsidRDefault="00F1313A" w:rsidP="00F1313A">
      <w:pPr>
        <w:pStyle w:val="Heading1"/>
        <w:numPr>
          <w:ilvl w:val="0"/>
          <w:numId w:val="0"/>
        </w:numPr>
        <w:ind w:left="360"/>
        <w:rPr>
          <w:sz w:val="22"/>
          <w:szCs w:val="22"/>
        </w:rPr>
      </w:pPr>
    </w:p>
    <w:p w:rsidR="009411F4" w:rsidRDefault="00D434C5" w:rsidP="009411F4">
      <w:pPr>
        <w:rPr>
          <w:rFonts w:ascii="Arial" w:hAnsi="Arial" w:cs="Arial"/>
          <w:sz w:val="20"/>
          <w:szCs w:val="20"/>
        </w:rPr>
      </w:pPr>
      <w:r>
        <w:rPr>
          <w:rFonts w:ascii="Arial" w:hAnsi="Arial" w:cs="Arial"/>
          <w:sz w:val="20"/>
          <w:szCs w:val="20"/>
        </w:rPr>
        <w:t>If the same truck was</w:t>
      </w:r>
      <w:r w:rsidR="009411F4">
        <w:rPr>
          <w:rFonts w:ascii="Arial" w:hAnsi="Arial" w:cs="Arial"/>
          <w:sz w:val="20"/>
          <w:szCs w:val="20"/>
        </w:rPr>
        <w:t xml:space="preserve"> depreciated using the diminishing value method </w:t>
      </w:r>
      <w:r>
        <w:rPr>
          <w:rFonts w:ascii="Arial" w:hAnsi="Arial" w:cs="Arial"/>
          <w:sz w:val="20"/>
          <w:szCs w:val="20"/>
        </w:rPr>
        <w:t xml:space="preserve">at 150 per cent </w:t>
      </w:r>
      <w:r w:rsidR="009411F4">
        <w:rPr>
          <w:rFonts w:ascii="Arial" w:hAnsi="Arial" w:cs="Arial"/>
          <w:sz w:val="20"/>
          <w:szCs w:val="20"/>
        </w:rPr>
        <w:t>(figure</w:t>
      </w:r>
      <w:r>
        <w:rPr>
          <w:rFonts w:ascii="Arial" w:hAnsi="Arial" w:cs="Arial"/>
          <w:sz w:val="20"/>
          <w:szCs w:val="20"/>
        </w:rPr>
        <w:t xml:space="preserve"> 4), its depreciation using a 7.5</w:t>
      </w:r>
      <w:r w:rsidR="009411F4">
        <w:rPr>
          <w:rFonts w:ascii="Arial" w:hAnsi="Arial" w:cs="Arial"/>
          <w:sz w:val="20"/>
          <w:szCs w:val="20"/>
        </w:rPr>
        <w:t xml:space="preserve"> year effective life </w:t>
      </w:r>
      <w:r>
        <w:rPr>
          <w:rFonts w:ascii="Arial" w:hAnsi="Arial" w:cs="Arial"/>
          <w:sz w:val="20"/>
          <w:szCs w:val="20"/>
        </w:rPr>
        <w:t>would start</w:t>
      </w:r>
      <w:r w:rsidR="009411F4">
        <w:rPr>
          <w:rFonts w:ascii="Arial" w:hAnsi="Arial" w:cs="Arial"/>
          <w:sz w:val="20"/>
          <w:szCs w:val="20"/>
        </w:rPr>
        <w:t xml:space="preserve"> at $20,0</w:t>
      </w:r>
      <w:r>
        <w:rPr>
          <w:rFonts w:ascii="Arial" w:hAnsi="Arial" w:cs="Arial"/>
          <w:sz w:val="20"/>
          <w:szCs w:val="20"/>
        </w:rPr>
        <w:t>00 in year one, declining to $2</w:t>
      </w:r>
      <w:r w:rsidR="00193999">
        <w:rPr>
          <w:rFonts w:ascii="Arial" w:hAnsi="Arial" w:cs="Arial"/>
          <w:sz w:val="20"/>
          <w:szCs w:val="20"/>
        </w:rPr>
        <w:t>,</w:t>
      </w:r>
      <w:r w:rsidR="009411F4">
        <w:rPr>
          <w:rFonts w:ascii="Arial" w:hAnsi="Arial" w:cs="Arial"/>
          <w:sz w:val="20"/>
          <w:szCs w:val="20"/>
        </w:rPr>
        <w:t xml:space="preserve">684 in year ten. Under a 15 year effective life, </w:t>
      </w:r>
      <w:r>
        <w:rPr>
          <w:rFonts w:ascii="Arial" w:hAnsi="Arial" w:cs="Arial"/>
          <w:sz w:val="20"/>
          <w:szCs w:val="20"/>
        </w:rPr>
        <w:t xml:space="preserve">its </w:t>
      </w:r>
      <w:r w:rsidR="009411F4">
        <w:rPr>
          <w:rFonts w:ascii="Arial" w:hAnsi="Arial" w:cs="Arial"/>
          <w:sz w:val="20"/>
          <w:szCs w:val="20"/>
        </w:rPr>
        <w:t>depreciation would start at $</w:t>
      </w:r>
      <w:r>
        <w:rPr>
          <w:rFonts w:ascii="Arial" w:hAnsi="Arial" w:cs="Arial"/>
          <w:sz w:val="20"/>
          <w:szCs w:val="20"/>
        </w:rPr>
        <w:t>10,000</w:t>
      </w:r>
      <w:r w:rsidR="009411F4">
        <w:rPr>
          <w:rFonts w:ascii="Arial" w:hAnsi="Arial" w:cs="Arial"/>
          <w:sz w:val="20"/>
          <w:szCs w:val="20"/>
        </w:rPr>
        <w:t xml:space="preserve"> and decline to $</w:t>
      </w:r>
      <w:r>
        <w:rPr>
          <w:rFonts w:ascii="Arial" w:hAnsi="Arial" w:cs="Arial"/>
          <w:sz w:val="20"/>
          <w:szCs w:val="20"/>
        </w:rPr>
        <w:t>4</w:t>
      </w:r>
      <w:r w:rsidR="00193999">
        <w:rPr>
          <w:rFonts w:ascii="Arial" w:hAnsi="Arial" w:cs="Arial"/>
          <w:sz w:val="20"/>
          <w:szCs w:val="20"/>
        </w:rPr>
        <w:t>,</w:t>
      </w:r>
      <w:r>
        <w:rPr>
          <w:rFonts w:ascii="Arial" w:hAnsi="Arial" w:cs="Arial"/>
          <w:sz w:val="20"/>
          <w:szCs w:val="20"/>
        </w:rPr>
        <w:t>305</w:t>
      </w:r>
      <w:r w:rsidR="009411F4">
        <w:rPr>
          <w:rFonts w:ascii="Arial" w:hAnsi="Arial" w:cs="Arial"/>
          <w:sz w:val="20"/>
          <w:szCs w:val="20"/>
        </w:rPr>
        <w:t xml:space="preserve"> in year ten.</w:t>
      </w:r>
    </w:p>
    <w:p w:rsidR="009411F4" w:rsidRDefault="009411F4" w:rsidP="009411F4">
      <w:pPr>
        <w:rPr>
          <w:rFonts w:ascii="Arial" w:hAnsi="Arial" w:cs="Arial"/>
          <w:sz w:val="20"/>
          <w:szCs w:val="20"/>
        </w:rPr>
      </w:pPr>
    </w:p>
    <w:p w:rsidR="009411F4" w:rsidRDefault="009411F4" w:rsidP="009411F4">
      <w:pPr>
        <w:rPr>
          <w:rFonts w:ascii="Arial" w:hAnsi="Arial" w:cs="Arial"/>
          <w:sz w:val="20"/>
          <w:szCs w:val="20"/>
        </w:rPr>
      </w:pPr>
      <w:r>
        <w:rPr>
          <w:rFonts w:ascii="Arial" w:hAnsi="Arial" w:cs="Arial"/>
          <w:sz w:val="20"/>
          <w:szCs w:val="20"/>
        </w:rPr>
        <w:t xml:space="preserve">Once the proposed 25 per cent company tax rate is taken into account, the after tax cash flow difference between an effective life of 7½ </w:t>
      </w:r>
      <w:r w:rsidR="00D434C5">
        <w:rPr>
          <w:rFonts w:ascii="Arial" w:hAnsi="Arial" w:cs="Arial"/>
          <w:sz w:val="20"/>
          <w:szCs w:val="20"/>
        </w:rPr>
        <w:t>years and an effective life of 1</w:t>
      </w:r>
      <w:r>
        <w:rPr>
          <w:rFonts w:ascii="Arial" w:hAnsi="Arial" w:cs="Arial"/>
          <w:sz w:val="20"/>
          <w:szCs w:val="20"/>
        </w:rPr>
        <w:t xml:space="preserve">5 years </w:t>
      </w:r>
      <w:r w:rsidR="00D434C5">
        <w:rPr>
          <w:rFonts w:ascii="Arial" w:hAnsi="Arial" w:cs="Arial"/>
          <w:sz w:val="20"/>
          <w:szCs w:val="20"/>
        </w:rPr>
        <w:t>would start at $2</w:t>
      </w:r>
      <w:r w:rsidR="00193999">
        <w:rPr>
          <w:rFonts w:ascii="Arial" w:hAnsi="Arial" w:cs="Arial"/>
          <w:sz w:val="20"/>
          <w:szCs w:val="20"/>
        </w:rPr>
        <w:t>,</w:t>
      </w:r>
      <w:r w:rsidR="00D434C5">
        <w:rPr>
          <w:rFonts w:ascii="Arial" w:hAnsi="Arial" w:cs="Arial"/>
          <w:sz w:val="20"/>
          <w:szCs w:val="20"/>
        </w:rPr>
        <w:t>500</w:t>
      </w:r>
      <w:r>
        <w:rPr>
          <w:rFonts w:ascii="Arial" w:hAnsi="Arial" w:cs="Arial"/>
          <w:sz w:val="20"/>
          <w:szCs w:val="20"/>
        </w:rPr>
        <w:t xml:space="preserve"> in year one. On a net present value basis, the </w:t>
      </w:r>
      <w:r w:rsidR="00D434C5">
        <w:rPr>
          <w:rFonts w:ascii="Arial" w:hAnsi="Arial" w:cs="Arial"/>
          <w:sz w:val="20"/>
          <w:szCs w:val="20"/>
        </w:rPr>
        <w:t xml:space="preserve">cumulative </w:t>
      </w:r>
      <w:r>
        <w:rPr>
          <w:rFonts w:ascii="Arial" w:hAnsi="Arial" w:cs="Arial"/>
          <w:sz w:val="20"/>
          <w:szCs w:val="20"/>
        </w:rPr>
        <w:t xml:space="preserve">cash flow gap </w:t>
      </w:r>
      <w:r w:rsidR="00193999">
        <w:rPr>
          <w:rFonts w:ascii="Arial" w:hAnsi="Arial" w:cs="Arial"/>
          <w:sz w:val="20"/>
          <w:szCs w:val="20"/>
        </w:rPr>
        <w:t xml:space="preserve">over the ten year ownership of the truck would be </w:t>
      </w:r>
      <w:r w:rsidR="00D434C5">
        <w:rPr>
          <w:rFonts w:ascii="Arial" w:hAnsi="Arial" w:cs="Arial"/>
          <w:sz w:val="20"/>
          <w:szCs w:val="20"/>
        </w:rPr>
        <w:t>$5</w:t>
      </w:r>
      <w:r w:rsidR="00193999">
        <w:rPr>
          <w:rFonts w:ascii="Arial" w:hAnsi="Arial" w:cs="Arial"/>
          <w:sz w:val="20"/>
          <w:szCs w:val="20"/>
        </w:rPr>
        <w:t>,571</w:t>
      </w:r>
      <w:r>
        <w:rPr>
          <w:rFonts w:ascii="Arial" w:hAnsi="Arial" w:cs="Arial"/>
          <w:sz w:val="20"/>
          <w:szCs w:val="20"/>
        </w:rPr>
        <w:t>.</w:t>
      </w:r>
    </w:p>
    <w:p w:rsidR="00F1313A" w:rsidRDefault="00F1313A" w:rsidP="00F1313A">
      <w:pPr>
        <w:rPr>
          <w:rFonts w:ascii="Arial" w:hAnsi="Arial" w:cs="Arial"/>
          <w:sz w:val="20"/>
          <w:szCs w:val="20"/>
        </w:rPr>
      </w:pPr>
    </w:p>
    <w:p w:rsidR="009411F4" w:rsidRDefault="009411F4" w:rsidP="009411F4">
      <w:pPr>
        <w:pStyle w:val="Caption"/>
        <w:keepNext/>
        <w:rPr>
          <w:sz w:val="18"/>
        </w:rPr>
      </w:pPr>
      <w:r w:rsidRPr="008E2E7C">
        <w:rPr>
          <w:sz w:val="18"/>
        </w:rPr>
        <w:t xml:space="preserve">Figure </w:t>
      </w:r>
      <w:r w:rsidR="00AB46E4" w:rsidRPr="008E2E7C">
        <w:rPr>
          <w:sz w:val="18"/>
        </w:rPr>
        <w:fldChar w:fldCharType="begin"/>
      </w:r>
      <w:r w:rsidR="008D7A8B" w:rsidRPr="008E2E7C">
        <w:rPr>
          <w:sz w:val="18"/>
        </w:rPr>
        <w:instrText xml:space="preserve"> SEQ Figure \* ARABIC </w:instrText>
      </w:r>
      <w:r w:rsidR="00AB46E4" w:rsidRPr="008E2E7C">
        <w:rPr>
          <w:sz w:val="18"/>
        </w:rPr>
        <w:fldChar w:fldCharType="separate"/>
      </w:r>
      <w:r w:rsidR="00AA06FD">
        <w:rPr>
          <w:noProof/>
          <w:sz w:val="18"/>
        </w:rPr>
        <w:t>4</w:t>
      </w:r>
      <w:r w:rsidR="00AB46E4" w:rsidRPr="008E2E7C">
        <w:rPr>
          <w:sz w:val="18"/>
        </w:rPr>
        <w:fldChar w:fldCharType="end"/>
      </w:r>
      <w:r w:rsidRPr="008E2E7C">
        <w:rPr>
          <w:sz w:val="18"/>
        </w:rPr>
        <w:t>: Indicative rigid truck, discounted cash flow after tax, diminishing value method</w:t>
      </w:r>
    </w:p>
    <w:p w:rsidR="008E2E7C" w:rsidRPr="008E2E7C" w:rsidRDefault="008E2E7C" w:rsidP="008E2E7C"/>
    <w:p w:rsidR="009411F4" w:rsidRPr="009411F4" w:rsidRDefault="00D434C5" w:rsidP="00F1313A">
      <w:pPr>
        <w:rPr>
          <w:rFonts w:ascii="Arial" w:hAnsi="Arial" w:cs="Arial"/>
          <w:sz w:val="20"/>
          <w:szCs w:val="20"/>
        </w:rPr>
      </w:pPr>
      <w:r w:rsidRPr="00D434C5">
        <w:rPr>
          <w:rFonts w:ascii="Arial" w:hAnsi="Arial" w:cs="Arial"/>
          <w:noProof/>
          <w:sz w:val="20"/>
          <w:szCs w:val="20"/>
          <w:lang w:eastAsia="en-AU"/>
        </w:rPr>
        <w:drawing>
          <wp:inline distT="0" distB="0" distL="0" distR="0">
            <wp:extent cx="5943600" cy="2275205"/>
            <wp:effectExtent l="0" t="0" r="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434C5" w:rsidRDefault="00D434C5" w:rsidP="00F1313A">
      <w:pPr>
        <w:rPr>
          <w:rFonts w:ascii="Arial" w:hAnsi="Arial" w:cs="Arial"/>
          <w:sz w:val="20"/>
          <w:szCs w:val="20"/>
        </w:rPr>
      </w:pPr>
    </w:p>
    <w:p w:rsidR="009411F4" w:rsidRPr="009411F4" w:rsidRDefault="00053A60" w:rsidP="006E0763">
      <w:pPr>
        <w:pStyle w:val="Heading2"/>
      </w:pPr>
      <w:bookmarkStart w:id="9" w:name="_Toc336331466"/>
      <w:r>
        <w:t>Implications of the modelling results</w:t>
      </w:r>
      <w:bookmarkEnd w:id="9"/>
    </w:p>
    <w:p w:rsidR="009411F4" w:rsidRPr="009411F4" w:rsidRDefault="009411F4" w:rsidP="009411F4">
      <w:pPr>
        <w:pStyle w:val="Heading1"/>
        <w:numPr>
          <w:ilvl w:val="0"/>
          <w:numId w:val="0"/>
        </w:numPr>
        <w:rPr>
          <w:sz w:val="22"/>
          <w:szCs w:val="22"/>
        </w:rPr>
      </w:pPr>
    </w:p>
    <w:p w:rsidR="009411F4" w:rsidRDefault="00053A60" w:rsidP="009411F4">
      <w:pPr>
        <w:rPr>
          <w:rFonts w:ascii="Arial" w:hAnsi="Arial" w:cs="Arial"/>
          <w:sz w:val="20"/>
          <w:szCs w:val="20"/>
        </w:rPr>
      </w:pPr>
      <w:r>
        <w:rPr>
          <w:rFonts w:ascii="Arial" w:hAnsi="Arial" w:cs="Arial"/>
          <w:sz w:val="20"/>
          <w:szCs w:val="20"/>
        </w:rPr>
        <w:t xml:space="preserve">The modelling </w:t>
      </w:r>
      <w:r w:rsidR="009411F4" w:rsidRPr="009411F4">
        <w:rPr>
          <w:rFonts w:ascii="Arial" w:hAnsi="Arial" w:cs="Arial"/>
          <w:sz w:val="20"/>
          <w:szCs w:val="20"/>
        </w:rPr>
        <w:t>results confirm</w:t>
      </w:r>
      <w:r w:rsidR="009411F4">
        <w:rPr>
          <w:rFonts w:ascii="Arial" w:hAnsi="Arial" w:cs="Arial"/>
          <w:sz w:val="20"/>
          <w:szCs w:val="20"/>
        </w:rPr>
        <w:t xml:space="preserve"> and quantify the concerns raised by</w:t>
      </w:r>
      <w:r>
        <w:rPr>
          <w:rFonts w:ascii="Arial" w:hAnsi="Arial" w:cs="Arial"/>
          <w:sz w:val="20"/>
          <w:szCs w:val="20"/>
        </w:rPr>
        <w:t xml:space="preserve"> trucking operators in section 2</w:t>
      </w:r>
      <w:r w:rsidR="009411F4">
        <w:rPr>
          <w:rFonts w:ascii="Arial" w:hAnsi="Arial" w:cs="Arial"/>
          <w:sz w:val="20"/>
          <w:szCs w:val="20"/>
        </w:rPr>
        <w:t xml:space="preserve">. </w:t>
      </w:r>
    </w:p>
    <w:p w:rsidR="009411F4" w:rsidRDefault="009411F4" w:rsidP="009411F4">
      <w:pPr>
        <w:rPr>
          <w:rFonts w:ascii="Arial" w:hAnsi="Arial" w:cs="Arial"/>
          <w:sz w:val="20"/>
          <w:szCs w:val="20"/>
        </w:rPr>
      </w:pPr>
    </w:p>
    <w:p w:rsidR="00B279E2" w:rsidRDefault="00053A60" w:rsidP="009411F4">
      <w:pPr>
        <w:rPr>
          <w:rFonts w:ascii="Arial" w:hAnsi="Arial" w:cs="Arial"/>
          <w:sz w:val="20"/>
          <w:szCs w:val="20"/>
        </w:rPr>
      </w:pPr>
      <w:r>
        <w:rPr>
          <w:rFonts w:ascii="Arial" w:hAnsi="Arial" w:cs="Arial"/>
          <w:sz w:val="20"/>
          <w:szCs w:val="20"/>
        </w:rPr>
        <w:t>A</w:t>
      </w:r>
      <w:r w:rsidR="009411F4">
        <w:rPr>
          <w:rFonts w:ascii="Arial" w:hAnsi="Arial" w:cs="Arial"/>
          <w:sz w:val="20"/>
          <w:szCs w:val="20"/>
        </w:rPr>
        <w:t xml:space="preserve">t the proposed 25 per cent tax rate, option B.6 would expose </w:t>
      </w:r>
      <w:r>
        <w:rPr>
          <w:rFonts w:ascii="Arial" w:hAnsi="Arial" w:cs="Arial"/>
          <w:sz w:val="20"/>
          <w:szCs w:val="20"/>
        </w:rPr>
        <w:t>an incorporated trucking business</w:t>
      </w:r>
      <w:r w:rsidR="009A1DB3">
        <w:rPr>
          <w:rFonts w:ascii="Arial" w:hAnsi="Arial" w:cs="Arial"/>
          <w:sz w:val="20"/>
          <w:szCs w:val="20"/>
        </w:rPr>
        <w:t xml:space="preserve"> using the prime cost method</w:t>
      </w:r>
      <w:r>
        <w:rPr>
          <w:rFonts w:ascii="Arial" w:hAnsi="Arial" w:cs="Arial"/>
          <w:sz w:val="20"/>
          <w:szCs w:val="20"/>
        </w:rPr>
        <w:t xml:space="preserve"> </w:t>
      </w:r>
      <w:r w:rsidR="009411F4">
        <w:rPr>
          <w:rFonts w:ascii="Arial" w:hAnsi="Arial" w:cs="Arial"/>
          <w:sz w:val="20"/>
          <w:szCs w:val="20"/>
        </w:rPr>
        <w:t>to a</w:t>
      </w:r>
      <w:r w:rsidR="00B279E2">
        <w:rPr>
          <w:rFonts w:ascii="Arial" w:hAnsi="Arial" w:cs="Arial"/>
          <w:sz w:val="20"/>
          <w:szCs w:val="20"/>
        </w:rPr>
        <w:t>n after tax</w:t>
      </w:r>
      <w:r w:rsidR="009411F4">
        <w:rPr>
          <w:rFonts w:ascii="Arial" w:hAnsi="Arial" w:cs="Arial"/>
          <w:sz w:val="20"/>
          <w:szCs w:val="20"/>
        </w:rPr>
        <w:t xml:space="preserve"> cash flow gap of </w:t>
      </w:r>
      <w:r>
        <w:rPr>
          <w:rFonts w:ascii="Arial" w:hAnsi="Arial" w:cs="Arial"/>
          <w:sz w:val="20"/>
          <w:szCs w:val="20"/>
        </w:rPr>
        <w:t>$4</w:t>
      </w:r>
      <w:r w:rsidR="009A1DB3">
        <w:rPr>
          <w:rFonts w:ascii="Arial" w:hAnsi="Arial" w:cs="Arial"/>
          <w:sz w:val="20"/>
          <w:szCs w:val="20"/>
        </w:rPr>
        <w:t>,</w:t>
      </w:r>
      <w:r>
        <w:rPr>
          <w:rFonts w:ascii="Arial" w:hAnsi="Arial" w:cs="Arial"/>
          <w:sz w:val="20"/>
          <w:szCs w:val="20"/>
        </w:rPr>
        <w:t>163</w:t>
      </w:r>
      <w:r w:rsidR="00B279E2">
        <w:rPr>
          <w:rFonts w:ascii="Arial" w:hAnsi="Arial" w:cs="Arial"/>
          <w:sz w:val="20"/>
          <w:szCs w:val="20"/>
        </w:rPr>
        <w:t xml:space="preserve"> per </w:t>
      </w:r>
      <w:r>
        <w:rPr>
          <w:rFonts w:ascii="Arial" w:hAnsi="Arial" w:cs="Arial"/>
          <w:sz w:val="20"/>
          <w:szCs w:val="20"/>
        </w:rPr>
        <w:t xml:space="preserve">indicative prime mover each year, or $17,357 </w:t>
      </w:r>
      <w:r w:rsidR="00B279E2">
        <w:rPr>
          <w:rFonts w:ascii="Arial" w:hAnsi="Arial" w:cs="Arial"/>
          <w:sz w:val="20"/>
          <w:szCs w:val="20"/>
        </w:rPr>
        <w:t>on a</w:t>
      </w:r>
      <w:r w:rsidR="00796F76">
        <w:rPr>
          <w:rFonts w:ascii="Arial" w:hAnsi="Arial" w:cs="Arial"/>
          <w:sz w:val="20"/>
          <w:szCs w:val="20"/>
        </w:rPr>
        <w:t>n</w:t>
      </w:r>
      <w:r w:rsidR="00B279E2">
        <w:rPr>
          <w:rFonts w:ascii="Arial" w:hAnsi="Arial" w:cs="Arial"/>
          <w:sz w:val="20"/>
          <w:szCs w:val="20"/>
        </w:rPr>
        <w:t xml:space="preserve"> NPV basis.</w:t>
      </w:r>
    </w:p>
    <w:p w:rsidR="00B279E2" w:rsidRDefault="00B279E2" w:rsidP="009411F4">
      <w:pPr>
        <w:rPr>
          <w:rFonts w:ascii="Arial" w:hAnsi="Arial" w:cs="Arial"/>
          <w:sz w:val="20"/>
          <w:szCs w:val="20"/>
        </w:rPr>
      </w:pPr>
    </w:p>
    <w:p w:rsidR="00053A60" w:rsidRDefault="009A1DB3" w:rsidP="009411F4">
      <w:pPr>
        <w:rPr>
          <w:rFonts w:ascii="Arial" w:hAnsi="Arial" w:cs="Arial"/>
          <w:sz w:val="20"/>
          <w:szCs w:val="20"/>
        </w:rPr>
      </w:pPr>
      <w:r>
        <w:rPr>
          <w:rFonts w:ascii="Arial" w:hAnsi="Arial" w:cs="Arial"/>
          <w:sz w:val="20"/>
          <w:szCs w:val="20"/>
        </w:rPr>
        <w:t xml:space="preserve">It </w:t>
      </w:r>
      <w:r w:rsidR="00053A60">
        <w:rPr>
          <w:rFonts w:ascii="Arial" w:hAnsi="Arial" w:cs="Arial"/>
          <w:sz w:val="20"/>
          <w:szCs w:val="20"/>
        </w:rPr>
        <w:t>would face an after tax cash flow gap of $1</w:t>
      </w:r>
      <w:r>
        <w:rPr>
          <w:rFonts w:ascii="Arial" w:hAnsi="Arial" w:cs="Arial"/>
          <w:sz w:val="20"/>
          <w:szCs w:val="20"/>
        </w:rPr>
        <w:t>,</w:t>
      </w:r>
      <w:r w:rsidR="00053A60">
        <w:rPr>
          <w:rFonts w:ascii="Arial" w:hAnsi="Arial" w:cs="Arial"/>
          <w:sz w:val="20"/>
          <w:szCs w:val="20"/>
        </w:rPr>
        <w:t xml:space="preserve">665 per </w:t>
      </w:r>
      <w:r>
        <w:rPr>
          <w:rFonts w:ascii="Arial" w:hAnsi="Arial" w:cs="Arial"/>
          <w:sz w:val="20"/>
          <w:szCs w:val="20"/>
        </w:rPr>
        <w:t xml:space="preserve">indicative rigid </w:t>
      </w:r>
      <w:r w:rsidR="00053A60">
        <w:rPr>
          <w:rFonts w:ascii="Arial" w:hAnsi="Arial" w:cs="Arial"/>
          <w:sz w:val="20"/>
          <w:szCs w:val="20"/>
        </w:rPr>
        <w:t>truck per year, or $7434 on an NPV basis.</w:t>
      </w:r>
    </w:p>
    <w:p w:rsidR="00053A60" w:rsidRDefault="00053A60" w:rsidP="009411F4">
      <w:pPr>
        <w:rPr>
          <w:rFonts w:ascii="Arial" w:hAnsi="Arial" w:cs="Arial"/>
          <w:sz w:val="20"/>
          <w:szCs w:val="20"/>
        </w:rPr>
      </w:pPr>
    </w:p>
    <w:p w:rsidR="00796F76" w:rsidRDefault="00B279E2" w:rsidP="009411F4">
      <w:pPr>
        <w:rPr>
          <w:rFonts w:ascii="Arial" w:hAnsi="Arial" w:cs="Arial"/>
          <w:sz w:val="20"/>
          <w:szCs w:val="20"/>
        </w:rPr>
      </w:pPr>
      <w:r>
        <w:rPr>
          <w:rFonts w:ascii="Arial" w:hAnsi="Arial" w:cs="Arial"/>
          <w:sz w:val="20"/>
          <w:szCs w:val="20"/>
        </w:rPr>
        <w:t xml:space="preserve">For any given capital expenditure budget, </w:t>
      </w:r>
      <w:r w:rsidR="00796F76">
        <w:rPr>
          <w:rFonts w:ascii="Arial" w:hAnsi="Arial" w:cs="Arial"/>
          <w:sz w:val="20"/>
          <w:szCs w:val="20"/>
        </w:rPr>
        <w:t xml:space="preserve">option B.6 would </w:t>
      </w:r>
      <w:r>
        <w:rPr>
          <w:rFonts w:ascii="Arial" w:hAnsi="Arial" w:cs="Arial"/>
          <w:sz w:val="20"/>
          <w:szCs w:val="20"/>
        </w:rPr>
        <w:t>reduce operators’</w:t>
      </w:r>
      <w:r w:rsidR="00796F76">
        <w:rPr>
          <w:rFonts w:ascii="Arial" w:hAnsi="Arial" w:cs="Arial"/>
          <w:sz w:val="20"/>
          <w:szCs w:val="20"/>
        </w:rPr>
        <w:t xml:space="preserve"> ability to purchase new trucks. It would force them to slow their purchases of new trucks</w:t>
      </w:r>
      <w:r w:rsidR="009A1DB3">
        <w:rPr>
          <w:rFonts w:ascii="Arial" w:hAnsi="Arial" w:cs="Arial"/>
          <w:sz w:val="20"/>
          <w:szCs w:val="20"/>
        </w:rPr>
        <w:t>, keep their trucks for longer</w:t>
      </w:r>
      <w:r w:rsidR="00796F76">
        <w:rPr>
          <w:rFonts w:ascii="Arial" w:hAnsi="Arial" w:cs="Arial"/>
          <w:sz w:val="20"/>
          <w:szCs w:val="20"/>
        </w:rPr>
        <w:t xml:space="preserve"> or reduce their maintenance expenditure to make up the shortfall.</w:t>
      </w:r>
    </w:p>
    <w:p w:rsidR="00796F76" w:rsidRDefault="00796F76" w:rsidP="009411F4">
      <w:pPr>
        <w:rPr>
          <w:rFonts w:ascii="Arial" w:hAnsi="Arial" w:cs="Arial"/>
          <w:sz w:val="20"/>
          <w:szCs w:val="20"/>
        </w:rPr>
      </w:pPr>
    </w:p>
    <w:p w:rsidR="00796F76" w:rsidRDefault="00796F76" w:rsidP="009411F4">
      <w:pPr>
        <w:rPr>
          <w:rFonts w:ascii="Arial" w:hAnsi="Arial" w:cs="Arial"/>
          <w:sz w:val="20"/>
          <w:szCs w:val="20"/>
        </w:rPr>
      </w:pPr>
      <w:r>
        <w:rPr>
          <w:rFonts w:ascii="Arial" w:hAnsi="Arial" w:cs="Arial"/>
          <w:sz w:val="20"/>
          <w:szCs w:val="20"/>
        </w:rPr>
        <w:t xml:space="preserve">It could be argued that trucking businesses could simply raise their rates to make up the cashflow gap. In reality, this would not be an option for most trucking businesses: the industry is </w:t>
      </w:r>
      <w:r w:rsidR="009A1DB3">
        <w:rPr>
          <w:rFonts w:ascii="Arial" w:hAnsi="Arial" w:cs="Arial"/>
          <w:sz w:val="20"/>
          <w:szCs w:val="20"/>
        </w:rPr>
        <w:t>hyper</w:t>
      </w:r>
      <w:r w:rsidR="00C55E9C">
        <w:rPr>
          <w:rFonts w:ascii="Arial" w:hAnsi="Arial" w:cs="Arial"/>
          <w:sz w:val="20"/>
          <w:szCs w:val="20"/>
        </w:rPr>
        <w:t>competitive and mainly</w:t>
      </w:r>
      <w:r>
        <w:rPr>
          <w:rFonts w:ascii="Arial" w:hAnsi="Arial" w:cs="Arial"/>
          <w:sz w:val="20"/>
          <w:szCs w:val="20"/>
        </w:rPr>
        <w:t xml:space="preserve"> consists of small to medium businesses </w:t>
      </w:r>
      <w:r w:rsidR="009A1DB3">
        <w:rPr>
          <w:rFonts w:ascii="Arial" w:hAnsi="Arial" w:cs="Arial"/>
          <w:sz w:val="20"/>
          <w:szCs w:val="20"/>
        </w:rPr>
        <w:t>with a limited ability to raise their prices</w:t>
      </w:r>
      <w:r>
        <w:rPr>
          <w:rFonts w:ascii="Arial" w:hAnsi="Arial" w:cs="Arial"/>
          <w:sz w:val="20"/>
          <w:szCs w:val="20"/>
        </w:rPr>
        <w:t>.</w:t>
      </w:r>
    </w:p>
    <w:p w:rsidR="009A1DB3" w:rsidRDefault="009A1DB3" w:rsidP="009411F4">
      <w:pPr>
        <w:rPr>
          <w:rFonts w:ascii="Arial" w:hAnsi="Arial" w:cs="Arial"/>
          <w:sz w:val="20"/>
          <w:szCs w:val="20"/>
        </w:rPr>
      </w:pPr>
    </w:p>
    <w:p w:rsidR="009A1DB3" w:rsidRDefault="009A1DB3" w:rsidP="009411F4">
      <w:pPr>
        <w:rPr>
          <w:rFonts w:ascii="Arial" w:hAnsi="Arial" w:cs="Arial"/>
          <w:sz w:val="20"/>
          <w:szCs w:val="20"/>
        </w:rPr>
      </w:pPr>
      <w:r>
        <w:rPr>
          <w:rFonts w:ascii="Arial" w:hAnsi="Arial" w:cs="Arial"/>
          <w:sz w:val="20"/>
          <w:szCs w:val="20"/>
        </w:rPr>
        <w:t>It could also be argued that trucking businesses could self-assess the effective lives of their vehicles. Although some businesses, such as the mining industry specialist quoted in section 2, have the ability to self-assess, the vast majority of small to medium businesses do not have the resources or accounting expertise on hand that is required. The 2004 KPMG report examined the difficulties with self-assessment in detail.</w:t>
      </w:r>
      <w:r>
        <w:rPr>
          <w:rStyle w:val="FootnoteReference"/>
          <w:szCs w:val="20"/>
        </w:rPr>
        <w:footnoteReference w:id="5"/>
      </w:r>
    </w:p>
    <w:p w:rsidR="00796F76" w:rsidRDefault="00796F76" w:rsidP="009411F4">
      <w:pPr>
        <w:rPr>
          <w:rFonts w:ascii="Arial" w:hAnsi="Arial" w:cs="Arial"/>
          <w:sz w:val="20"/>
          <w:szCs w:val="20"/>
        </w:rPr>
      </w:pPr>
    </w:p>
    <w:p w:rsidR="00B279E2" w:rsidRDefault="00931BF6" w:rsidP="009411F4">
      <w:pPr>
        <w:rPr>
          <w:rFonts w:ascii="Arial" w:hAnsi="Arial" w:cs="Arial"/>
          <w:sz w:val="20"/>
          <w:szCs w:val="20"/>
        </w:rPr>
      </w:pPr>
      <w:r>
        <w:rPr>
          <w:rFonts w:ascii="Arial" w:hAnsi="Arial" w:cs="Arial"/>
          <w:sz w:val="20"/>
          <w:szCs w:val="20"/>
        </w:rPr>
        <w:t xml:space="preserve">Section 4 of this submission examines </w:t>
      </w:r>
      <w:r w:rsidR="00C55E9C">
        <w:rPr>
          <w:rFonts w:ascii="Arial" w:hAnsi="Arial" w:cs="Arial"/>
          <w:sz w:val="20"/>
          <w:szCs w:val="20"/>
        </w:rPr>
        <w:t>the impact of a slowdown of new truck purchases on road safety and the environment</w:t>
      </w:r>
      <w:r>
        <w:rPr>
          <w:rFonts w:ascii="Arial" w:hAnsi="Arial" w:cs="Arial"/>
          <w:sz w:val="20"/>
          <w:szCs w:val="20"/>
        </w:rPr>
        <w:t>.</w:t>
      </w:r>
    </w:p>
    <w:p w:rsidR="00B279E2" w:rsidRDefault="00B279E2" w:rsidP="009411F4">
      <w:pPr>
        <w:rPr>
          <w:rFonts w:ascii="Arial" w:hAnsi="Arial" w:cs="Arial"/>
          <w:sz w:val="20"/>
          <w:szCs w:val="20"/>
        </w:rPr>
      </w:pPr>
    </w:p>
    <w:p w:rsidR="009411F4" w:rsidRPr="009411F4" w:rsidRDefault="009411F4" w:rsidP="009411F4"/>
    <w:p w:rsidR="00D40494" w:rsidRPr="00D40494" w:rsidRDefault="00D40494" w:rsidP="00053A60">
      <w:pPr>
        <w:pStyle w:val="Heading1"/>
        <w:keepNext/>
        <w:rPr>
          <w:sz w:val="22"/>
          <w:szCs w:val="22"/>
        </w:rPr>
      </w:pPr>
      <w:bookmarkStart w:id="10" w:name="_Toc336331467"/>
      <w:r w:rsidRPr="00D40494">
        <w:rPr>
          <w:sz w:val="22"/>
          <w:szCs w:val="22"/>
        </w:rPr>
        <w:t xml:space="preserve">Impact on </w:t>
      </w:r>
      <w:r w:rsidR="002870FD">
        <w:rPr>
          <w:sz w:val="22"/>
          <w:szCs w:val="22"/>
        </w:rPr>
        <w:t xml:space="preserve">road </w:t>
      </w:r>
      <w:r w:rsidRPr="00D40494">
        <w:rPr>
          <w:sz w:val="22"/>
          <w:szCs w:val="22"/>
        </w:rPr>
        <w:t>safety</w:t>
      </w:r>
      <w:r w:rsidR="002870FD">
        <w:rPr>
          <w:sz w:val="22"/>
          <w:szCs w:val="22"/>
        </w:rPr>
        <w:t xml:space="preserve"> and the environment</w:t>
      </w:r>
      <w:bookmarkEnd w:id="10"/>
    </w:p>
    <w:p w:rsidR="00D40494" w:rsidRDefault="00D40494" w:rsidP="00053A60">
      <w:pPr>
        <w:keepNext/>
        <w:rPr>
          <w:sz w:val="20"/>
          <w:szCs w:val="20"/>
        </w:rPr>
      </w:pPr>
    </w:p>
    <w:p w:rsidR="00D854A6" w:rsidRDefault="00D854A6" w:rsidP="00053A60">
      <w:pPr>
        <w:pStyle w:val="Heading2"/>
        <w:keepLines w:val="0"/>
      </w:pPr>
      <w:bookmarkStart w:id="11" w:name="_Toc336331468"/>
      <w:r>
        <w:t>How truck safety standards and emissions are regulated</w:t>
      </w:r>
      <w:bookmarkEnd w:id="11"/>
    </w:p>
    <w:p w:rsidR="00D854A6" w:rsidRDefault="00D854A6" w:rsidP="00D854A6">
      <w:pPr>
        <w:keepNext/>
        <w:rPr>
          <w:rFonts w:ascii="Arial" w:hAnsi="Arial" w:cs="Arial"/>
          <w:b/>
          <w:sz w:val="20"/>
          <w:szCs w:val="20"/>
        </w:rPr>
      </w:pPr>
    </w:p>
    <w:p w:rsidR="00D854A6" w:rsidRDefault="00D854A6" w:rsidP="00D854A6">
      <w:pPr>
        <w:keepNext/>
        <w:rPr>
          <w:rFonts w:ascii="Arial" w:hAnsi="Arial" w:cs="Arial"/>
          <w:sz w:val="20"/>
          <w:szCs w:val="20"/>
        </w:rPr>
      </w:pPr>
      <w:r>
        <w:rPr>
          <w:rFonts w:ascii="Arial" w:hAnsi="Arial" w:cs="Arial"/>
          <w:sz w:val="20"/>
          <w:szCs w:val="20"/>
        </w:rPr>
        <w:t xml:space="preserve">Truck safety standards and environmental emissions are regulated through the Australian Design Rules (ADRs), which are administered by the Federal Department of Infrastructure and Transport under the </w:t>
      </w:r>
      <w:r w:rsidRPr="00E2246B">
        <w:rPr>
          <w:rFonts w:ascii="Arial" w:hAnsi="Arial" w:cs="Arial"/>
          <w:i/>
          <w:sz w:val="20"/>
          <w:szCs w:val="20"/>
        </w:rPr>
        <w:t>Motor Vehicle Standards Act 1989</w:t>
      </w:r>
      <w:r>
        <w:rPr>
          <w:rFonts w:ascii="Arial" w:hAnsi="Arial" w:cs="Arial"/>
          <w:sz w:val="20"/>
          <w:szCs w:val="20"/>
        </w:rPr>
        <w:t xml:space="preserve">. </w:t>
      </w:r>
    </w:p>
    <w:p w:rsidR="00D854A6" w:rsidRDefault="00D854A6" w:rsidP="00D854A6">
      <w:pPr>
        <w:rPr>
          <w:rFonts w:ascii="Arial" w:hAnsi="Arial" w:cs="Arial"/>
          <w:sz w:val="20"/>
          <w:szCs w:val="20"/>
        </w:rPr>
      </w:pPr>
    </w:p>
    <w:p w:rsidR="00D854A6" w:rsidRDefault="00D854A6" w:rsidP="00D854A6">
      <w:pPr>
        <w:rPr>
          <w:rFonts w:ascii="Arial" w:hAnsi="Arial" w:cs="Arial"/>
          <w:sz w:val="20"/>
          <w:szCs w:val="20"/>
        </w:rPr>
      </w:pPr>
      <w:r>
        <w:rPr>
          <w:rFonts w:ascii="Arial" w:hAnsi="Arial" w:cs="Arial"/>
          <w:sz w:val="20"/>
          <w:szCs w:val="20"/>
        </w:rPr>
        <w:t>Under t</w:t>
      </w:r>
      <w:r w:rsidRPr="00E2246B">
        <w:rPr>
          <w:rFonts w:ascii="Arial" w:hAnsi="Arial" w:cs="Arial"/>
          <w:sz w:val="20"/>
          <w:szCs w:val="20"/>
        </w:rPr>
        <w:t>he Act</w:t>
      </w:r>
      <w:r>
        <w:rPr>
          <w:rFonts w:ascii="Arial" w:hAnsi="Arial" w:cs="Arial"/>
          <w:sz w:val="20"/>
          <w:szCs w:val="20"/>
        </w:rPr>
        <w:t>,</w:t>
      </w:r>
      <w:r w:rsidRPr="00E2246B">
        <w:rPr>
          <w:rFonts w:ascii="Arial" w:hAnsi="Arial" w:cs="Arial"/>
          <w:sz w:val="20"/>
          <w:szCs w:val="20"/>
        </w:rPr>
        <w:t xml:space="preserve"> all </w:t>
      </w:r>
      <w:r w:rsidR="009A1DB3">
        <w:rPr>
          <w:rFonts w:ascii="Arial" w:hAnsi="Arial" w:cs="Arial"/>
          <w:sz w:val="20"/>
          <w:szCs w:val="20"/>
        </w:rPr>
        <w:t xml:space="preserve">new and used imported </w:t>
      </w:r>
      <w:r w:rsidRPr="00E2246B">
        <w:rPr>
          <w:rFonts w:ascii="Arial" w:hAnsi="Arial" w:cs="Arial"/>
          <w:sz w:val="20"/>
          <w:szCs w:val="20"/>
        </w:rPr>
        <w:t xml:space="preserve">vehicles </w:t>
      </w:r>
      <w:r>
        <w:rPr>
          <w:rFonts w:ascii="Arial" w:hAnsi="Arial" w:cs="Arial"/>
          <w:sz w:val="20"/>
          <w:szCs w:val="20"/>
        </w:rPr>
        <w:t xml:space="preserve">must </w:t>
      </w:r>
      <w:r w:rsidRPr="00E2246B">
        <w:rPr>
          <w:rFonts w:ascii="Arial" w:hAnsi="Arial" w:cs="Arial"/>
          <w:sz w:val="20"/>
          <w:szCs w:val="20"/>
        </w:rPr>
        <w:t>comply with the relevant</w:t>
      </w:r>
      <w:r>
        <w:rPr>
          <w:rFonts w:ascii="Arial" w:hAnsi="Arial" w:cs="Arial"/>
          <w:sz w:val="20"/>
          <w:szCs w:val="20"/>
        </w:rPr>
        <w:t xml:space="preserve"> ADRs at the time they are </w:t>
      </w:r>
      <w:r w:rsidR="009A1DB3">
        <w:rPr>
          <w:rFonts w:ascii="Arial" w:hAnsi="Arial" w:cs="Arial"/>
          <w:sz w:val="20"/>
          <w:szCs w:val="20"/>
        </w:rPr>
        <w:t xml:space="preserve">first </w:t>
      </w:r>
      <w:r>
        <w:rPr>
          <w:rFonts w:ascii="Arial" w:hAnsi="Arial" w:cs="Arial"/>
          <w:sz w:val="20"/>
          <w:szCs w:val="20"/>
        </w:rPr>
        <w:t>supplied</w:t>
      </w:r>
      <w:r w:rsidRPr="00E2246B">
        <w:rPr>
          <w:rFonts w:ascii="Arial" w:hAnsi="Arial" w:cs="Arial"/>
          <w:sz w:val="20"/>
          <w:szCs w:val="20"/>
        </w:rPr>
        <w:t xml:space="preserve"> to the Australian market.</w:t>
      </w:r>
      <w:r>
        <w:t xml:space="preserve"> </w:t>
      </w:r>
      <w:r>
        <w:rPr>
          <w:rFonts w:ascii="Arial" w:hAnsi="Arial" w:cs="Arial"/>
          <w:sz w:val="20"/>
          <w:szCs w:val="20"/>
        </w:rPr>
        <w:t xml:space="preserve">New standards do not apply retrospectively to vehicles already in service. </w:t>
      </w:r>
    </w:p>
    <w:p w:rsidR="00D854A6" w:rsidRDefault="00D854A6" w:rsidP="00D854A6">
      <w:pPr>
        <w:rPr>
          <w:rFonts w:ascii="Arial" w:hAnsi="Arial" w:cs="Arial"/>
          <w:sz w:val="20"/>
          <w:szCs w:val="20"/>
        </w:rPr>
      </w:pPr>
    </w:p>
    <w:p w:rsidR="00D854A6" w:rsidRDefault="00D854A6" w:rsidP="00D854A6">
      <w:pPr>
        <w:rPr>
          <w:rFonts w:ascii="Arial" w:hAnsi="Arial" w:cs="Arial"/>
          <w:sz w:val="20"/>
          <w:szCs w:val="20"/>
        </w:rPr>
      </w:pPr>
      <w:r>
        <w:rPr>
          <w:rFonts w:ascii="Arial" w:hAnsi="Arial" w:cs="Arial"/>
          <w:sz w:val="20"/>
          <w:szCs w:val="20"/>
        </w:rPr>
        <w:t xml:space="preserve">As a result, the rollout of truck safety and environmental standards across the fleet – and the realisation of the </w:t>
      </w:r>
      <w:r w:rsidR="009A1DB3">
        <w:rPr>
          <w:rFonts w:ascii="Arial" w:hAnsi="Arial" w:cs="Arial"/>
          <w:sz w:val="20"/>
          <w:szCs w:val="20"/>
        </w:rPr>
        <w:t xml:space="preserve">economic and </w:t>
      </w:r>
      <w:r>
        <w:rPr>
          <w:rFonts w:ascii="Arial" w:hAnsi="Arial" w:cs="Arial"/>
          <w:sz w:val="20"/>
          <w:szCs w:val="20"/>
        </w:rPr>
        <w:t>social benefits of those standards – depends on the rate that operators purchase new vehicles and turn</w:t>
      </w:r>
      <w:r w:rsidR="00D87D5E">
        <w:rPr>
          <w:rFonts w:ascii="Arial" w:hAnsi="Arial" w:cs="Arial"/>
          <w:sz w:val="20"/>
          <w:szCs w:val="20"/>
        </w:rPr>
        <w:t xml:space="preserve"> </w:t>
      </w:r>
      <w:r>
        <w:rPr>
          <w:rFonts w:ascii="Arial" w:hAnsi="Arial" w:cs="Arial"/>
          <w:sz w:val="20"/>
          <w:szCs w:val="20"/>
        </w:rPr>
        <w:t xml:space="preserve">over their fleets. </w:t>
      </w:r>
    </w:p>
    <w:p w:rsidR="00D854A6" w:rsidRDefault="00D854A6" w:rsidP="00D40494">
      <w:pPr>
        <w:rPr>
          <w:sz w:val="20"/>
          <w:szCs w:val="20"/>
        </w:rPr>
      </w:pPr>
    </w:p>
    <w:p w:rsidR="00D854A6" w:rsidRPr="00383D38" w:rsidRDefault="00D854A6" w:rsidP="00D40494">
      <w:pPr>
        <w:rPr>
          <w:sz w:val="20"/>
          <w:szCs w:val="20"/>
        </w:rPr>
      </w:pPr>
    </w:p>
    <w:p w:rsidR="002870FD" w:rsidRPr="002870FD" w:rsidRDefault="00A913AF" w:rsidP="006E0763">
      <w:pPr>
        <w:pStyle w:val="Heading2"/>
      </w:pPr>
      <w:bookmarkStart w:id="12" w:name="_Toc336331469"/>
      <w:r>
        <w:t>A</w:t>
      </w:r>
      <w:r w:rsidR="00CE5CDE">
        <w:t>ge profile</w:t>
      </w:r>
      <w:r w:rsidR="002870FD" w:rsidRPr="002870FD">
        <w:t xml:space="preserve"> </w:t>
      </w:r>
      <w:r>
        <w:t xml:space="preserve">and turnover </w:t>
      </w:r>
      <w:r w:rsidR="002870FD" w:rsidRPr="002870FD">
        <w:t>of the Australian truck fleet</w:t>
      </w:r>
      <w:bookmarkEnd w:id="12"/>
    </w:p>
    <w:p w:rsidR="002870FD" w:rsidRDefault="002870FD" w:rsidP="002870FD">
      <w:pPr>
        <w:rPr>
          <w:rFonts w:ascii="Arial" w:hAnsi="Arial" w:cs="Arial"/>
          <w:sz w:val="20"/>
          <w:szCs w:val="20"/>
        </w:rPr>
      </w:pPr>
    </w:p>
    <w:p w:rsidR="008D68B4" w:rsidRDefault="00D854A6" w:rsidP="002870FD">
      <w:pPr>
        <w:rPr>
          <w:rFonts w:ascii="Arial" w:hAnsi="Arial" w:cs="Arial"/>
          <w:sz w:val="20"/>
          <w:szCs w:val="20"/>
        </w:rPr>
      </w:pPr>
      <w:r>
        <w:rPr>
          <w:rFonts w:ascii="Arial" w:hAnsi="Arial" w:cs="Arial"/>
          <w:sz w:val="20"/>
          <w:szCs w:val="20"/>
        </w:rPr>
        <w:t>T</w:t>
      </w:r>
      <w:r w:rsidR="00903264">
        <w:rPr>
          <w:rFonts w:ascii="Arial" w:hAnsi="Arial" w:cs="Arial"/>
          <w:sz w:val="20"/>
          <w:szCs w:val="20"/>
        </w:rPr>
        <w:t xml:space="preserve">able 4 shows the </w:t>
      </w:r>
      <w:r w:rsidR="00A913AF">
        <w:rPr>
          <w:rFonts w:ascii="Arial" w:hAnsi="Arial" w:cs="Arial"/>
          <w:sz w:val="20"/>
          <w:szCs w:val="20"/>
        </w:rPr>
        <w:t xml:space="preserve">age profile of Australia’s truck fleet. </w:t>
      </w:r>
      <w:r w:rsidR="00903264">
        <w:rPr>
          <w:rFonts w:ascii="Arial" w:hAnsi="Arial" w:cs="Arial"/>
          <w:sz w:val="20"/>
          <w:szCs w:val="20"/>
        </w:rPr>
        <w:t xml:space="preserve">Although the fleet includes </w:t>
      </w:r>
      <w:r w:rsidR="00E40C57">
        <w:rPr>
          <w:rFonts w:ascii="Arial" w:hAnsi="Arial" w:cs="Arial"/>
          <w:sz w:val="20"/>
          <w:szCs w:val="20"/>
        </w:rPr>
        <w:t xml:space="preserve">some </w:t>
      </w:r>
      <w:r w:rsidR="00903264">
        <w:rPr>
          <w:rFonts w:ascii="Arial" w:hAnsi="Arial" w:cs="Arial"/>
          <w:sz w:val="20"/>
          <w:szCs w:val="20"/>
        </w:rPr>
        <w:t>135,000 trucks manu</w:t>
      </w:r>
      <w:r w:rsidR="00E40C57">
        <w:rPr>
          <w:rFonts w:ascii="Arial" w:hAnsi="Arial" w:cs="Arial"/>
          <w:sz w:val="20"/>
          <w:szCs w:val="20"/>
        </w:rPr>
        <w:t xml:space="preserve">factured in the last five years, </w:t>
      </w:r>
      <w:r w:rsidR="008D68B4">
        <w:rPr>
          <w:rFonts w:ascii="Arial" w:hAnsi="Arial" w:cs="Arial"/>
          <w:sz w:val="20"/>
          <w:szCs w:val="20"/>
        </w:rPr>
        <w:t xml:space="preserve">37.6 per cent of the fleet was manufactured before 1996, giving the Australian fleet a rather older average age than the fleets of comparable countries. </w:t>
      </w:r>
    </w:p>
    <w:p w:rsidR="008D68B4" w:rsidRDefault="008D68B4" w:rsidP="002870FD">
      <w:pPr>
        <w:rPr>
          <w:rFonts w:ascii="Arial" w:hAnsi="Arial" w:cs="Arial"/>
          <w:sz w:val="20"/>
          <w:szCs w:val="20"/>
        </w:rPr>
      </w:pPr>
    </w:p>
    <w:p w:rsidR="002870FD" w:rsidRDefault="008D68B4" w:rsidP="002870FD">
      <w:pPr>
        <w:rPr>
          <w:rFonts w:ascii="Arial" w:hAnsi="Arial" w:cs="Arial"/>
          <w:sz w:val="20"/>
          <w:szCs w:val="20"/>
        </w:rPr>
      </w:pPr>
      <w:r>
        <w:rPr>
          <w:rFonts w:ascii="Arial" w:hAnsi="Arial" w:cs="Arial"/>
          <w:sz w:val="20"/>
          <w:szCs w:val="20"/>
        </w:rPr>
        <w:t>For example, the average age of articulated trucks in Australia is 11.5 years, compared to less than seven years for heavy trucks in the United States. This is partly because Australia is a closed system: there are few or no opportunities to export older vehicles</w:t>
      </w:r>
      <w:r w:rsidR="000C58F2">
        <w:rPr>
          <w:rFonts w:ascii="Arial" w:hAnsi="Arial" w:cs="Arial"/>
          <w:sz w:val="20"/>
          <w:szCs w:val="20"/>
        </w:rPr>
        <w:t xml:space="preserve"> to third world markets</w:t>
      </w:r>
      <w:r>
        <w:rPr>
          <w:rFonts w:ascii="Arial" w:hAnsi="Arial" w:cs="Arial"/>
          <w:sz w:val="20"/>
          <w:szCs w:val="20"/>
        </w:rPr>
        <w:t>.</w:t>
      </w:r>
      <w:r>
        <w:rPr>
          <w:rStyle w:val="FootnoteReference"/>
          <w:szCs w:val="20"/>
        </w:rPr>
        <w:footnoteReference w:id="6"/>
      </w:r>
    </w:p>
    <w:p w:rsidR="008C7A48" w:rsidRDefault="008C7A48" w:rsidP="002870FD">
      <w:pPr>
        <w:rPr>
          <w:rFonts w:ascii="Arial" w:hAnsi="Arial" w:cs="Arial"/>
          <w:sz w:val="20"/>
          <w:szCs w:val="20"/>
        </w:rPr>
      </w:pPr>
    </w:p>
    <w:p w:rsidR="002870FD" w:rsidRDefault="002870FD" w:rsidP="00D40494">
      <w:pPr>
        <w:rPr>
          <w:rFonts w:ascii="Arial" w:hAnsi="Arial" w:cs="Arial"/>
          <w:b/>
          <w:sz w:val="20"/>
          <w:szCs w:val="20"/>
        </w:rPr>
      </w:pPr>
    </w:p>
    <w:tbl>
      <w:tblPr>
        <w:tblW w:w="9758" w:type="dxa"/>
        <w:tblInd w:w="96" w:type="dxa"/>
        <w:tblLook w:val="04A0"/>
      </w:tblPr>
      <w:tblGrid>
        <w:gridCol w:w="2980"/>
        <w:gridCol w:w="1131"/>
        <w:gridCol w:w="1132"/>
        <w:gridCol w:w="1261"/>
        <w:gridCol w:w="1132"/>
        <w:gridCol w:w="1132"/>
        <w:gridCol w:w="990"/>
      </w:tblGrid>
      <w:tr w:rsidR="008D68B4" w:rsidRPr="00F63DA7" w:rsidTr="00197EFE">
        <w:trPr>
          <w:trHeight w:val="157"/>
        </w:trPr>
        <w:tc>
          <w:tcPr>
            <w:tcW w:w="9758" w:type="dxa"/>
            <w:gridSpan w:val="7"/>
            <w:tcBorders>
              <w:top w:val="nil"/>
              <w:left w:val="nil"/>
              <w:bottom w:val="single" w:sz="4" w:space="0" w:color="auto"/>
              <w:right w:val="nil"/>
            </w:tcBorders>
            <w:shd w:val="clear" w:color="auto" w:fill="auto"/>
            <w:hideMark/>
          </w:tcPr>
          <w:p w:rsidR="008D68B4" w:rsidRPr="008E2E7C" w:rsidRDefault="000A4B60" w:rsidP="008D68B4">
            <w:pPr>
              <w:rPr>
                <w:rFonts w:ascii="Arial" w:eastAsia="Times New Roman" w:hAnsi="Arial" w:cs="Arial"/>
                <w:b/>
                <w:color w:val="000000"/>
                <w:sz w:val="18"/>
                <w:szCs w:val="18"/>
                <w:lang w:eastAsia="en-AU"/>
              </w:rPr>
            </w:pPr>
            <w:r w:rsidRPr="008E2E7C">
              <w:rPr>
                <w:rFonts w:ascii="Arial" w:eastAsia="Times New Roman" w:hAnsi="Arial" w:cs="Arial"/>
                <w:b/>
                <w:color w:val="000000"/>
                <w:sz w:val="18"/>
                <w:szCs w:val="18"/>
                <w:lang w:eastAsia="en-AU"/>
              </w:rPr>
              <w:t>Table 4: A</w:t>
            </w:r>
            <w:r w:rsidR="008D68B4" w:rsidRPr="008E2E7C">
              <w:rPr>
                <w:rFonts w:ascii="Arial" w:eastAsia="Times New Roman" w:hAnsi="Arial" w:cs="Arial"/>
                <w:b/>
                <w:color w:val="000000"/>
                <w:sz w:val="18"/>
                <w:szCs w:val="18"/>
                <w:lang w:eastAsia="en-AU"/>
              </w:rPr>
              <w:t>ge profile of the Australian truck fleet</w:t>
            </w:r>
          </w:p>
        </w:tc>
      </w:tr>
      <w:tr w:rsidR="00F63DA7" w:rsidRPr="00F63DA7" w:rsidTr="00197EFE">
        <w:trPr>
          <w:trHeight w:val="376"/>
        </w:trPr>
        <w:tc>
          <w:tcPr>
            <w:tcW w:w="2980" w:type="dxa"/>
            <w:tcBorders>
              <w:top w:val="single" w:sz="4" w:space="0" w:color="auto"/>
              <w:left w:val="nil"/>
              <w:bottom w:val="nil"/>
              <w:right w:val="nil"/>
            </w:tcBorders>
            <w:shd w:val="clear" w:color="auto" w:fill="auto"/>
            <w:hideMark/>
          </w:tcPr>
          <w:p w:rsidR="00F63DA7" w:rsidRPr="008E2E7C" w:rsidRDefault="00F63DA7" w:rsidP="00F63DA7">
            <w:pPr>
              <w:rPr>
                <w:rFonts w:ascii="Arial" w:eastAsia="Times New Roman" w:hAnsi="Arial" w:cs="Arial"/>
                <w:b/>
                <w:color w:val="000000"/>
                <w:sz w:val="18"/>
                <w:szCs w:val="18"/>
                <w:lang w:eastAsia="en-AU"/>
              </w:rPr>
            </w:pPr>
            <w:r w:rsidRPr="008E2E7C">
              <w:rPr>
                <w:rFonts w:ascii="Arial" w:eastAsia="Times New Roman" w:hAnsi="Arial" w:cs="Arial"/>
                <w:b/>
                <w:color w:val="000000"/>
                <w:sz w:val="18"/>
                <w:szCs w:val="18"/>
                <w:lang w:eastAsia="en-AU"/>
              </w:rPr>
              <w:t>Year of manufacture</w:t>
            </w:r>
          </w:p>
        </w:tc>
        <w:tc>
          <w:tcPr>
            <w:tcW w:w="1131" w:type="dxa"/>
            <w:tcBorders>
              <w:top w:val="single" w:sz="4" w:space="0" w:color="auto"/>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b/>
                <w:color w:val="000000"/>
                <w:sz w:val="18"/>
                <w:szCs w:val="18"/>
                <w:lang w:eastAsia="en-AU"/>
              </w:rPr>
            </w:pPr>
            <w:r w:rsidRPr="008E2E7C">
              <w:rPr>
                <w:rFonts w:ascii="Arial" w:eastAsia="Times New Roman" w:hAnsi="Arial" w:cs="Arial"/>
                <w:b/>
                <w:color w:val="000000"/>
                <w:sz w:val="18"/>
                <w:szCs w:val="18"/>
                <w:lang w:eastAsia="en-AU"/>
              </w:rPr>
              <w:t>Rigid trucks</w:t>
            </w:r>
          </w:p>
        </w:tc>
        <w:tc>
          <w:tcPr>
            <w:tcW w:w="1132" w:type="dxa"/>
            <w:tcBorders>
              <w:top w:val="single" w:sz="4" w:space="0" w:color="auto"/>
              <w:left w:val="nil"/>
              <w:bottom w:val="nil"/>
              <w:right w:val="nil"/>
            </w:tcBorders>
            <w:shd w:val="clear" w:color="auto" w:fill="auto"/>
            <w:noWrap/>
            <w:hideMark/>
          </w:tcPr>
          <w:p w:rsidR="008D68B4" w:rsidRPr="008E2E7C" w:rsidRDefault="00F63DA7" w:rsidP="008C7A48">
            <w:pPr>
              <w:jc w:val="right"/>
              <w:rPr>
                <w:rFonts w:ascii="Arial" w:eastAsia="Times New Roman" w:hAnsi="Arial" w:cs="Arial"/>
                <w:b/>
                <w:color w:val="000000"/>
                <w:sz w:val="18"/>
                <w:szCs w:val="18"/>
                <w:lang w:eastAsia="en-AU"/>
              </w:rPr>
            </w:pPr>
            <w:r w:rsidRPr="008E2E7C">
              <w:rPr>
                <w:rFonts w:ascii="Arial" w:eastAsia="Times New Roman" w:hAnsi="Arial" w:cs="Arial"/>
                <w:b/>
                <w:color w:val="000000"/>
                <w:sz w:val="18"/>
                <w:szCs w:val="18"/>
                <w:lang w:eastAsia="en-AU"/>
              </w:rPr>
              <w:t xml:space="preserve">Per </w:t>
            </w:r>
          </w:p>
          <w:p w:rsidR="00F63DA7" w:rsidRPr="008E2E7C" w:rsidRDefault="00F63DA7" w:rsidP="008C7A48">
            <w:pPr>
              <w:jc w:val="right"/>
              <w:rPr>
                <w:rFonts w:ascii="Arial" w:eastAsia="Times New Roman" w:hAnsi="Arial" w:cs="Arial"/>
                <w:b/>
                <w:color w:val="000000"/>
                <w:sz w:val="18"/>
                <w:szCs w:val="18"/>
                <w:lang w:eastAsia="en-AU"/>
              </w:rPr>
            </w:pPr>
            <w:r w:rsidRPr="008E2E7C">
              <w:rPr>
                <w:rFonts w:ascii="Arial" w:eastAsia="Times New Roman" w:hAnsi="Arial" w:cs="Arial"/>
                <w:b/>
                <w:color w:val="000000"/>
                <w:sz w:val="18"/>
                <w:szCs w:val="18"/>
                <w:lang w:eastAsia="en-AU"/>
              </w:rPr>
              <w:t>cent</w:t>
            </w:r>
          </w:p>
        </w:tc>
        <w:tc>
          <w:tcPr>
            <w:tcW w:w="1261" w:type="dxa"/>
            <w:tcBorders>
              <w:top w:val="single" w:sz="4" w:space="0" w:color="auto"/>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b/>
                <w:color w:val="000000"/>
                <w:sz w:val="18"/>
                <w:szCs w:val="18"/>
                <w:lang w:eastAsia="en-AU"/>
              </w:rPr>
            </w:pPr>
            <w:r w:rsidRPr="008E2E7C">
              <w:rPr>
                <w:rFonts w:ascii="Arial" w:eastAsia="Times New Roman" w:hAnsi="Arial" w:cs="Arial"/>
                <w:b/>
                <w:color w:val="000000"/>
                <w:sz w:val="18"/>
                <w:szCs w:val="18"/>
                <w:lang w:eastAsia="en-AU"/>
              </w:rPr>
              <w:t>Articulated trucks</w:t>
            </w:r>
          </w:p>
        </w:tc>
        <w:tc>
          <w:tcPr>
            <w:tcW w:w="1132" w:type="dxa"/>
            <w:tcBorders>
              <w:top w:val="single" w:sz="4" w:space="0" w:color="auto"/>
              <w:left w:val="nil"/>
              <w:bottom w:val="nil"/>
              <w:right w:val="nil"/>
            </w:tcBorders>
            <w:shd w:val="clear" w:color="auto" w:fill="auto"/>
            <w:noWrap/>
            <w:hideMark/>
          </w:tcPr>
          <w:p w:rsidR="008D68B4" w:rsidRPr="008E2E7C" w:rsidRDefault="00F63DA7" w:rsidP="008C7A48">
            <w:pPr>
              <w:jc w:val="right"/>
              <w:rPr>
                <w:rFonts w:ascii="Arial" w:eastAsia="Times New Roman" w:hAnsi="Arial" w:cs="Arial"/>
                <w:b/>
                <w:color w:val="000000"/>
                <w:sz w:val="18"/>
                <w:szCs w:val="18"/>
                <w:lang w:eastAsia="en-AU"/>
              </w:rPr>
            </w:pPr>
            <w:r w:rsidRPr="008E2E7C">
              <w:rPr>
                <w:rFonts w:ascii="Arial" w:eastAsia="Times New Roman" w:hAnsi="Arial" w:cs="Arial"/>
                <w:b/>
                <w:color w:val="000000"/>
                <w:sz w:val="18"/>
                <w:szCs w:val="18"/>
                <w:lang w:eastAsia="en-AU"/>
              </w:rPr>
              <w:t xml:space="preserve">Per </w:t>
            </w:r>
          </w:p>
          <w:p w:rsidR="00F63DA7" w:rsidRPr="008E2E7C" w:rsidRDefault="00F63DA7" w:rsidP="008C7A48">
            <w:pPr>
              <w:jc w:val="right"/>
              <w:rPr>
                <w:rFonts w:ascii="Arial" w:eastAsia="Times New Roman" w:hAnsi="Arial" w:cs="Arial"/>
                <w:b/>
                <w:color w:val="000000"/>
                <w:sz w:val="18"/>
                <w:szCs w:val="18"/>
                <w:lang w:eastAsia="en-AU"/>
              </w:rPr>
            </w:pPr>
            <w:r w:rsidRPr="008E2E7C">
              <w:rPr>
                <w:rFonts w:ascii="Arial" w:eastAsia="Times New Roman" w:hAnsi="Arial" w:cs="Arial"/>
                <w:b/>
                <w:color w:val="000000"/>
                <w:sz w:val="18"/>
                <w:szCs w:val="18"/>
                <w:lang w:eastAsia="en-AU"/>
              </w:rPr>
              <w:t>cent</w:t>
            </w:r>
          </w:p>
        </w:tc>
        <w:tc>
          <w:tcPr>
            <w:tcW w:w="1132" w:type="dxa"/>
            <w:tcBorders>
              <w:top w:val="single" w:sz="4" w:space="0" w:color="auto"/>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b/>
                <w:color w:val="000000"/>
                <w:sz w:val="18"/>
                <w:szCs w:val="18"/>
                <w:lang w:eastAsia="en-AU"/>
              </w:rPr>
            </w:pPr>
            <w:r w:rsidRPr="008E2E7C">
              <w:rPr>
                <w:rFonts w:ascii="Arial" w:eastAsia="Times New Roman" w:hAnsi="Arial" w:cs="Arial"/>
                <w:b/>
                <w:color w:val="000000"/>
                <w:sz w:val="18"/>
                <w:szCs w:val="18"/>
                <w:lang w:eastAsia="en-AU"/>
              </w:rPr>
              <w:t>Total fleet</w:t>
            </w:r>
          </w:p>
        </w:tc>
        <w:tc>
          <w:tcPr>
            <w:tcW w:w="990" w:type="dxa"/>
            <w:tcBorders>
              <w:top w:val="single" w:sz="4" w:space="0" w:color="auto"/>
              <w:left w:val="nil"/>
              <w:bottom w:val="nil"/>
              <w:right w:val="nil"/>
            </w:tcBorders>
            <w:shd w:val="clear" w:color="auto" w:fill="auto"/>
            <w:noWrap/>
            <w:hideMark/>
          </w:tcPr>
          <w:p w:rsidR="00D87D5E" w:rsidRDefault="00F63DA7" w:rsidP="008C7A48">
            <w:pPr>
              <w:jc w:val="right"/>
              <w:rPr>
                <w:rFonts w:ascii="Arial" w:eastAsia="Times New Roman" w:hAnsi="Arial" w:cs="Arial"/>
                <w:b/>
                <w:color w:val="000000"/>
                <w:sz w:val="18"/>
                <w:szCs w:val="18"/>
                <w:lang w:eastAsia="en-AU"/>
              </w:rPr>
            </w:pPr>
            <w:r w:rsidRPr="008E2E7C">
              <w:rPr>
                <w:rFonts w:ascii="Arial" w:eastAsia="Times New Roman" w:hAnsi="Arial" w:cs="Arial"/>
                <w:b/>
                <w:color w:val="000000"/>
                <w:sz w:val="18"/>
                <w:szCs w:val="18"/>
                <w:lang w:eastAsia="en-AU"/>
              </w:rPr>
              <w:t xml:space="preserve">Per </w:t>
            </w:r>
          </w:p>
          <w:p w:rsidR="00F63DA7" w:rsidRPr="008E2E7C" w:rsidRDefault="00F63DA7" w:rsidP="008C7A48">
            <w:pPr>
              <w:jc w:val="right"/>
              <w:rPr>
                <w:rFonts w:ascii="Arial" w:eastAsia="Times New Roman" w:hAnsi="Arial" w:cs="Arial"/>
                <w:b/>
                <w:color w:val="000000"/>
                <w:sz w:val="18"/>
                <w:szCs w:val="18"/>
                <w:lang w:eastAsia="en-AU"/>
              </w:rPr>
            </w:pPr>
            <w:r w:rsidRPr="008E2E7C">
              <w:rPr>
                <w:rFonts w:ascii="Arial" w:eastAsia="Times New Roman" w:hAnsi="Arial" w:cs="Arial"/>
                <w:b/>
                <w:color w:val="000000"/>
                <w:sz w:val="18"/>
                <w:szCs w:val="18"/>
                <w:lang w:eastAsia="en-AU"/>
              </w:rPr>
              <w:t>cent</w:t>
            </w:r>
          </w:p>
        </w:tc>
      </w:tr>
      <w:tr w:rsidR="00F63DA7" w:rsidRPr="00F63DA7" w:rsidTr="00197EFE">
        <w:trPr>
          <w:trHeight w:val="95"/>
        </w:trPr>
        <w:tc>
          <w:tcPr>
            <w:tcW w:w="2980" w:type="dxa"/>
            <w:tcBorders>
              <w:top w:val="nil"/>
              <w:left w:val="nil"/>
              <w:bottom w:val="nil"/>
              <w:right w:val="nil"/>
            </w:tcBorders>
            <w:shd w:val="clear" w:color="auto" w:fill="auto"/>
            <w:noWrap/>
            <w:hideMark/>
          </w:tcPr>
          <w:p w:rsidR="00F63DA7" w:rsidRPr="008E2E7C" w:rsidRDefault="00F63DA7" w:rsidP="00F63DA7">
            <w:pPr>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To 1996</w:t>
            </w:r>
          </w:p>
        </w:tc>
        <w:tc>
          <w:tcPr>
            <w:tcW w:w="1131"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176,322</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39.5</w:t>
            </w:r>
          </w:p>
        </w:tc>
        <w:tc>
          <w:tcPr>
            <w:tcW w:w="1261"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24,567</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27.9</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200,889</w:t>
            </w:r>
          </w:p>
        </w:tc>
        <w:tc>
          <w:tcPr>
            <w:tcW w:w="990"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37.6</w:t>
            </w:r>
          </w:p>
        </w:tc>
      </w:tr>
      <w:tr w:rsidR="00F63DA7" w:rsidRPr="00F63DA7" w:rsidTr="00197EFE">
        <w:trPr>
          <w:trHeight w:val="169"/>
        </w:trPr>
        <w:tc>
          <w:tcPr>
            <w:tcW w:w="2980" w:type="dxa"/>
            <w:tcBorders>
              <w:top w:val="nil"/>
              <w:left w:val="nil"/>
              <w:bottom w:val="nil"/>
              <w:right w:val="nil"/>
            </w:tcBorders>
            <w:shd w:val="clear" w:color="auto" w:fill="auto"/>
            <w:noWrap/>
            <w:hideMark/>
          </w:tcPr>
          <w:p w:rsidR="00F63DA7" w:rsidRPr="008E2E7C" w:rsidRDefault="00F63DA7" w:rsidP="00F63DA7">
            <w:pPr>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1997-2001</w:t>
            </w:r>
          </w:p>
        </w:tc>
        <w:tc>
          <w:tcPr>
            <w:tcW w:w="1131"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59,974</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13.4</w:t>
            </w:r>
          </w:p>
        </w:tc>
        <w:tc>
          <w:tcPr>
            <w:tcW w:w="1261"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12,946</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14.7</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72,920</w:t>
            </w:r>
          </w:p>
        </w:tc>
        <w:tc>
          <w:tcPr>
            <w:tcW w:w="990"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13.6</w:t>
            </w:r>
          </w:p>
        </w:tc>
      </w:tr>
      <w:tr w:rsidR="00F63DA7" w:rsidRPr="00F63DA7" w:rsidTr="00197EFE">
        <w:trPr>
          <w:trHeight w:val="100"/>
        </w:trPr>
        <w:tc>
          <w:tcPr>
            <w:tcW w:w="2980" w:type="dxa"/>
            <w:tcBorders>
              <w:top w:val="nil"/>
              <w:left w:val="nil"/>
              <w:bottom w:val="nil"/>
              <w:right w:val="nil"/>
            </w:tcBorders>
            <w:shd w:val="clear" w:color="auto" w:fill="auto"/>
            <w:noWrap/>
            <w:hideMark/>
          </w:tcPr>
          <w:p w:rsidR="00F63DA7" w:rsidRPr="008E2E7C" w:rsidRDefault="00F63DA7" w:rsidP="00F63DA7">
            <w:pPr>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2002-2006</w:t>
            </w:r>
          </w:p>
        </w:tc>
        <w:tc>
          <w:tcPr>
            <w:tcW w:w="1131"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100,482</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22.5</w:t>
            </w:r>
          </w:p>
        </w:tc>
        <w:tc>
          <w:tcPr>
            <w:tcW w:w="1261"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23,736</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27.0</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124,218</w:t>
            </w:r>
          </w:p>
        </w:tc>
        <w:tc>
          <w:tcPr>
            <w:tcW w:w="990"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23.2</w:t>
            </w:r>
          </w:p>
        </w:tc>
      </w:tr>
      <w:tr w:rsidR="00F63DA7" w:rsidRPr="00F63DA7" w:rsidTr="00197EFE">
        <w:trPr>
          <w:trHeight w:val="68"/>
        </w:trPr>
        <w:tc>
          <w:tcPr>
            <w:tcW w:w="2980" w:type="dxa"/>
            <w:tcBorders>
              <w:top w:val="nil"/>
              <w:left w:val="nil"/>
              <w:bottom w:val="nil"/>
              <w:right w:val="nil"/>
            </w:tcBorders>
            <w:shd w:val="clear" w:color="auto" w:fill="auto"/>
            <w:noWrap/>
            <w:hideMark/>
          </w:tcPr>
          <w:p w:rsidR="00F63DA7" w:rsidRPr="008E2E7C" w:rsidRDefault="00F63DA7" w:rsidP="00F63DA7">
            <w:pPr>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2007-2011</w:t>
            </w:r>
          </w:p>
        </w:tc>
        <w:tc>
          <w:tcPr>
            <w:tcW w:w="1131"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108,579</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24.3</w:t>
            </w:r>
          </w:p>
        </w:tc>
        <w:tc>
          <w:tcPr>
            <w:tcW w:w="1261"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26,609</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30.2</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135,188</w:t>
            </w:r>
          </w:p>
        </w:tc>
        <w:tc>
          <w:tcPr>
            <w:tcW w:w="990"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25.3</w:t>
            </w:r>
          </w:p>
        </w:tc>
      </w:tr>
      <w:tr w:rsidR="00F63DA7" w:rsidRPr="00F63DA7" w:rsidTr="00197EFE">
        <w:trPr>
          <w:trHeight w:val="105"/>
        </w:trPr>
        <w:tc>
          <w:tcPr>
            <w:tcW w:w="2980" w:type="dxa"/>
            <w:tcBorders>
              <w:top w:val="nil"/>
              <w:left w:val="nil"/>
              <w:bottom w:val="nil"/>
              <w:right w:val="nil"/>
            </w:tcBorders>
            <w:shd w:val="clear" w:color="auto" w:fill="auto"/>
            <w:noWrap/>
            <w:hideMark/>
          </w:tcPr>
          <w:p w:rsidR="00F63DA7" w:rsidRPr="008E2E7C" w:rsidRDefault="00F63DA7" w:rsidP="00F63DA7">
            <w:pPr>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2012</w:t>
            </w:r>
          </w:p>
        </w:tc>
        <w:tc>
          <w:tcPr>
            <w:tcW w:w="1131"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148</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0.0</w:t>
            </w:r>
          </w:p>
        </w:tc>
        <w:tc>
          <w:tcPr>
            <w:tcW w:w="1261"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75</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0.1</w:t>
            </w:r>
          </w:p>
        </w:tc>
        <w:tc>
          <w:tcPr>
            <w:tcW w:w="1132"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223</w:t>
            </w:r>
          </w:p>
        </w:tc>
        <w:tc>
          <w:tcPr>
            <w:tcW w:w="990" w:type="dxa"/>
            <w:tcBorders>
              <w:top w:val="nil"/>
              <w:left w:val="nil"/>
              <w:bottom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0.0</w:t>
            </w:r>
          </w:p>
        </w:tc>
      </w:tr>
      <w:tr w:rsidR="00F63DA7" w:rsidRPr="00F63DA7" w:rsidTr="00197EFE">
        <w:trPr>
          <w:trHeight w:val="194"/>
        </w:trPr>
        <w:tc>
          <w:tcPr>
            <w:tcW w:w="2980" w:type="dxa"/>
            <w:tcBorders>
              <w:top w:val="nil"/>
              <w:left w:val="nil"/>
              <w:right w:val="nil"/>
            </w:tcBorders>
            <w:shd w:val="clear" w:color="auto" w:fill="auto"/>
            <w:noWrap/>
            <w:hideMark/>
          </w:tcPr>
          <w:p w:rsidR="00F63DA7" w:rsidRPr="008E2E7C" w:rsidRDefault="00F63DA7" w:rsidP="00F63DA7">
            <w:pPr>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Not stated</w:t>
            </w:r>
          </w:p>
        </w:tc>
        <w:tc>
          <w:tcPr>
            <w:tcW w:w="1131" w:type="dxa"/>
            <w:tcBorders>
              <w:top w:val="nil"/>
              <w:left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901</w:t>
            </w:r>
          </w:p>
        </w:tc>
        <w:tc>
          <w:tcPr>
            <w:tcW w:w="1132" w:type="dxa"/>
            <w:tcBorders>
              <w:top w:val="nil"/>
              <w:left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0.2</w:t>
            </w:r>
          </w:p>
        </w:tc>
        <w:tc>
          <w:tcPr>
            <w:tcW w:w="1261" w:type="dxa"/>
            <w:tcBorders>
              <w:top w:val="nil"/>
              <w:left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62</w:t>
            </w:r>
          </w:p>
        </w:tc>
        <w:tc>
          <w:tcPr>
            <w:tcW w:w="1132" w:type="dxa"/>
            <w:tcBorders>
              <w:top w:val="nil"/>
              <w:left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0.1</w:t>
            </w:r>
          </w:p>
        </w:tc>
        <w:tc>
          <w:tcPr>
            <w:tcW w:w="1132" w:type="dxa"/>
            <w:tcBorders>
              <w:top w:val="nil"/>
              <w:left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963</w:t>
            </w:r>
          </w:p>
        </w:tc>
        <w:tc>
          <w:tcPr>
            <w:tcW w:w="990" w:type="dxa"/>
            <w:tcBorders>
              <w:top w:val="nil"/>
              <w:left w:val="nil"/>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0.2</w:t>
            </w:r>
          </w:p>
        </w:tc>
      </w:tr>
      <w:tr w:rsidR="00F63DA7" w:rsidRPr="00F63DA7" w:rsidTr="00197EFE">
        <w:trPr>
          <w:trHeight w:val="126"/>
        </w:trPr>
        <w:tc>
          <w:tcPr>
            <w:tcW w:w="2980" w:type="dxa"/>
            <w:tcBorders>
              <w:top w:val="nil"/>
              <w:left w:val="nil"/>
              <w:bottom w:val="single" w:sz="4" w:space="0" w:color="auto"/>
              <w:right w:val="nil"/>
            </w:tcBorders>
            <w:shd w:val="clear" w:color="auto" w:fill="auto"/>
            <w:noWrap/>
            <w:hideMark/>
          </w:tcPr>
          <w:p w:rsidR="00F63DA7" w:rsidRPr="008E2E7C" w:rsidRDefault="00F63DA7" w:rsidP="00F63DA7">
            <w:pPr>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Total</w:t>
            </w:r>
          </w:p>
        </w:tc>
        <w:tc>
          <w:tcPr>
            <w:tcW w:w="1131" w:type="dxa"/>
            <w:tcBorders>
              <w:top w:val="nil"/>
              <w:left w:val="nil"/>
              <w:bottom w:val="single" w:sz="4" w:space="0" w:color="auto"/>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446,406</w:t>
            </w:r>
          </w:p>
        </w:tc>
        <w:tc>
          <w:tcPr>
            <w:tcW w:w="1132" w:type="dxa"/>
            <w:tcBorders>
              <w:top w:val="nil"/>
              <w:left w:val="nil"/>
              <w:bottom w:val="single" w:sz="4" w:space="0" w:color="auto"/>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100.0</w:t>
            </w:r>
          </w:p>
        </w:tc>
        <w:tc>
          <w:tcPr>
            <w:tcW w:w="1261" w:type="dxa"/>
            <w:tcBorders>
              <w:top w:val="nil"/>
              <w:left w:val="nil"/>
              <w:bottom w:val="single" w:sz="4" w:space="0" w:color="auto"/>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87,995</w:t>
            </w:r>
          </w:p>
        </w:tc>
        <w:tc>
          <w:tcPr>
            <w:tcW w:w="1132" w:type="dxa"/>
            <w:tcBorders>
              <w:top w:val="nil"/>
              <w:left w:val="nil"/>
              <w:bottom w:val="single" w:sz="4" w:space="0" w:color="auto"/>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100.0</w:t>
            </w:r>
          </w:p>
        </w:tc>
        <w:tc>
          <w:tcPr>
            <w:tcW w:w="1132" w:type="dxa"/>
            <w:tcBorders>
              <w:top w:val="nil"/>
              <w:left w:val="nil"/>
              <w:bottom w:val="single" w:sz="4" w:space="0" w:color="auto"/>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534,401</w:t>
            </w:r>
          </w:p>
        </w:tc>
        <w:tc>
          <w:tcPr>
            <w:tcW w:w="990" w:type="dxa"/>
            <w:tcBorders>
              <w:top w:val="nil"/>
              <w:left w:val="nil"/>
              <w:bottom w:val="single" w:sz="4" w:space="0" w:color="auto"/>
              <w:right w:val="nil"/>
            </w:tcBorders>
            <w:shd w:val="clear" w:color="auto" w:fill="auto"/>
            <w:noWrap/>
            <w:hideMark/>
          </w:tcPr>
          <w:p w:rsidR="00F63DA7" w:rsidRPr="008E2E7C" w:rsidRDefault="00F63DA7" w:rsidP="008C7A48">
            <w:pPr>
              <w:jc w:val="right"/>
              <w:rPr>
                <w:rFonts w:ascii="Arial" w:eastAsia="Times New Roman" w:hAnsi="Arial" w:cs="Arial"/>
                <w:color w:val="000000"/>
                <w:sz w:val="18"/>
                <w:szCs w:val="18"/>
                <w:lang w:eastAsia="en-AU"/>
              </w:rPr>
            </w:pPr>
            <w:r w:rsidRPr="008E2E7C">
              <w:rPr>
                <w:rFonts w:ascii="Arial" w:eastAsia="Times New Roman" w:hAnsi="Arial" w:cs="Arial"/>
                <w:color w:val="000000"/>
                <w:sz w:val="18"/>
                <w:szCs w:val="18"/>
                <w:lang w:eastAsia="en-AU"/>
              </w:rPr>
              <w:t>100.0</w:t>
            </w:r>
          </w:p>
        </w:tc>
      </w:tr>
      <w:tr w:rsidR="008D68B4" w:rsidRPr="00F63DA7" w:rsidTr="00526DC2">
        <w:trPr>
          <w:trHeight w:val="288"/>
        </w:trPr>
        <w:tc>
          <w:tcPr>
            <w:tcW w:w="9758" w:type="dxa"/>
            <w:gridSpan w:val="7"/>
            <w:tcBorders>
              <w:top w:val="single" w:sz="4" w:space="0" w:color="auto"/>
              <w:left w:val="nil"/>
              <w:bottom w:val="nil"/>
              <w:right w:val="nil"/>
            </w:tcBorders>
            <w:shd w:val="clear" w:color="auto" w:fill="auto"/>
            <w:noWrap/>
            <w:hideMark/>
          </w:tcPr>
          <w:p w:rsidR="008D68B4" w:rsidRPr="008E2E7C" w:rsidRDefault="00526DC2" w:rsidP="00526DC2">
            <w:pPr>
              <w:spacing w:before="10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Source: Australian Bureau of Statistics, </w:t>
            </w:r>
            <w:r w:rsidRPr="00526DC2">
              <w:rPr>
                <w:rFonts w:ascii="Arial" w:eastAsia="Times New Roman" w:hAnsi="Arial" w:cs="Arial"/>
                <w:i/>
                <w:color w:val="000000"/>
                <w:sz w:val="18"/>
                <w:szCs w:val="18"/>
                <w:lang w:eastAsia="en-AU"/>
              </w:rPr>
              <w:t>Motor Vehicle Census</w:t>
            </w:r>
            <w:r>
              <w:rPr>
                <w:rFonts w:ascii="Arial" w:eastAsia="Times New Roman" w:hAnsi="Arial" w:cs="Arial"/>
                <w:color w:val="000000"/>
                <w:sz w:val="18"/>
                <w:szCs w:val="18"/>
                <w:lang w:eastAsia="en-AU"/>
              </w:rPr>
              <w:t>,</w:t>
            </w:r>
            <w:r w:rsidR="008D68B4" w:rsidRPr="008E2E7C">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w:t>
            </w:r>
            <w:r w:rsidR="008D68B4" w:rsidRPr="008E2E7C">
              <w:rPr>
                <w:rFonts w:ascii="Arial" w:eastAsia="Times New Roman" w:hAnsi="Arial" w:cs="Arial"/>
                <w:color w:val="000000"/>
                <w:sz w:val="18"/>
                <w:szCs w:val="18"/>
                <w:lang w:eastAsia="en-AU"/>
              </w:rPr>
              <w:t>Cat 9309.0</w:t>
            </w:r>
            <w:r>
              <w:rPr>
                <w:rFonts w:ascii="Arial" w:eastAsia="Times New Roman" w:hAnsi="Arial" w:cs="Arial"/>
                <w:color w:val="000000"/>
                <w:sz w:val="18"/>
                <w:szCs w:val="18"/>
                <w:lang w:eastAsia="en-AU"/>
              </w:rPr>
              <w:t>)</w:t>
            </w:r>
            <w:r w:rsidR="008D68B4" w:rsidRPr="008E2E7C">
              <w:rPr>
                <w:rFonts w:ascii="Arial" w:eastAsia="Times New Roman" w:hAnsi="Arial" w:cs="Arial"/>
                <w:color w:val="000000"/>
                <w:sz w:val="18"/>
                <w:szCs w:val="18"/>
                <w:lang w:eastAsia="en-AU"/>
              </w:rPr>
              <w:t>, 31 Jan 2012</w:t>
            </w:r>
            <w:r>
              <w:rPr>
                <w:rFonts w:ascii="Arial" w:eastAsia="Times New Roman" w:hAnsi="Arial" w:cs="Arial"/>
                <w:color w:val="000000"/>
                <w:sz w:val="18"/>
                <w:szCs w:val="18"/>
                <w:lang w:eastAsia="en-AU"/>
              </w:rPr>
              <w:t>.</w:t>
            </w:r>
          </w:p>
        </w:tc>
      </w:tr>
    </w:tbl>
    <w:p w:rsidR="002870FD" w:rsidRDefault="002870FD" w:rsidP="00D40494">
      <w:pPr>
        <w:rPr>
          <w:rFonts w:ascii="Arial" w:hAnsi="Arial" w:cs="Arial"/>
          <w:b/>
          <w:sz w:val="20"/>
          <w:szCs w:val="20"/>
        </w:rPr>
      </w:pPr>
    </w:p>
    <w:p w:rsidR="008D68B4" w:rsidRDefault="008D68B4" w:rsidP="00D40494">
      <w:pPr>
        <w:rPr>
          <w:rFonts w:ascii="Arial" w:hAnsi="Arial" w:cs="Arial"/>
          <w:b/>
          <w:sz w:val="20"/>
          <w:szCs w:val="20"/>
        </w:rPr>
      </w:pPr>
    </w:p>
    <w:p w:rsidR="00B82CC3" w:rsidRDefault="00B70B80" w:rsidP="00D40494">
      <w:pPr>
        <w:rPr>
          <w:rFonts w:ascii="Arial" w:hAnsi="Arial" w:cs="Arial"/>
          <w:sz w:val="20"/>
          <w:szCs w:val="20"/>
        </w:rPr>
      </w:pPr>
      <w:r>
        <w:rPr>
          <w:rFonts w:ascii="Arial" w:hAnsi="Arial" w:cs="Arial"/>
          <w:sz w:val="20"/>
          <w:szCs w:val="20"/>
        </w:rPr>
        <w:t xml:space="preserve">Trucks </w:t>
      </w:r>
      <w:r w:rsidR="00B82CC3">
        <w:rPr>
          <w:rFonts w:ascii="Arial" w:hAnsi="Arial" w:cs="Arial"/>
          <w:sz w:val="20"/>
          <w:szCs w:val="20"/>
        </w:rPr>
        <w:t xml:space="preserve">cascade </w:t>
      </w:r>
      <w:r>
        <w:rPr>
          <w:rFonts w:ascii="Arial" w:hAnsi="Arial" w:cs="Arial"/>
          <w:sz w:val="20"/>
          <w:szCs w:val="20"/>
        </w:rPr>
        <w:t xml:space="preserve">through a series of owners and tasks during their lives. </w:t>
      </w:r>
      <w:r w:rsidR="00D87D5E">
        <w:rPr>
          <w:rFonts w:ascii="Arial" w:hAnsi="Arial" w:cs="Arial"/>
          <w:sz w:val="20"/>
          <w:szCs w:val="20"/>
        </w:rPr>
        <w:t>For example</w:t>
      </w:r>
      <w:r>
        <w:rPr>
          <w:rFonts w:ascii="Arial" w:hAnsi="Arial" w:cs="Arial"/>
          <w:sz w:val="20"/>
          <w:szCs w:val="20"/>
        </w:rPr>
        <w:t xml:space="preserve">, articulated trucks are typically purchased new for long haul work, before being sold </w:t>
      </w:r>
      <w:r w:rsidR="00D87D5E">
        <w:rPr>
          <w:rFonts w:ascii="Arial" w:hAnsi="Arial" w:cs="Arial"/>
          <w:sz w:val="20"/>
          <w:szCs w:val="20"/>
        </w:rPr>
        <w:t>when they start to require increased maintenance</w:t>
      </w:r>
      <w:r>
        <w:rPr>
          <w:rFonts w:ascii="Arial" w:hAnsi="Arial" w:cs="Arial"/>
          <w:sz w:val="20"/>
          <w:szCs w:val="20"/>
        </w:rPr>
        <w:t xml:space="preserve"> to undertake short haul and local tasks</w:t>
      </w:r>
      <w:r w:rsidR="00D87D5E">
        <w:rPr>
          <w:rFonts w:ascii="Arial" w:hAnsi="Arial" w:cs="Arial"/>
          <w:sz w:val="20"/>
          <w:szCs w:val="20"/>
        </w:rPr>
        <w:t>.</w:t>
      </w:r>
    </w:p>
    <w:p w:rsidR="00B82CC3" w:rsidRDefault="00B82CC3" w:rsidP="00D40494">
      <w:pPr>
        <w:rPr>
          <w:rFonts w:ascii="Arial" w:hAnsi="Arial" w:cs="Arial"/>
          <w:sz w:val="20"/>
          <w:szCs w:val="20"/>
        </w:rPr>
      </w:pPr>
    </w:p>
    <w:p w:rsidR="00B82CC3" w:rsidRDefault="00974FC4" w:rsidP="00D40494">
      <w:pPr>
        <w:rPr>
          <w:rFonts w:ascii="Arial" w:hAnsi="Arial" w:cs="Arial"/>
          <w:sz w:val="20"/>
          <w:szCs w:val="20"/>
        </w:rPr>
      </w:pPr>
      <w:r>
        <w:rPr>
          <w:rFonts w:ascii="Arial" w:hAnsi="Arial" w:cs="Arial"/>
          <w:sz w:val="20"/>
          <w:szCs w:val="20"/>
        </w:rPr>
        <w:t xml:space="preserve">As table 1 shows, </w:t>
      </w:r>
      <w:r w:rsidR="00931BF6">
        <w:rPr>
          <w:rFonts w:ascii="Arial" w:hAnsi="Arial" w:cs="Arial"/>
          <w:sz w:val="20"/>
          <w:szCs w:val="20"/>
        </w:rPr>
        <w:t>purchasers</w:t>
      </w:r>
      <w:r>
        <w:rPr>
          <w:rFonts w:ascii="Arial" w:hAnsi="Arial" w:cs="Arial"/>
          <w:sz w:val="20"/>
          <w:szCs w:val="20"/>
        </w:rPr>
        <w:t xml:space="preserve"> of new prime movers typically sell them </w:t>
      </w:r>
      <w:r w:rsidR="00DC63E8">
        <w:rPr>
          <w:rFonts w:ascii="Arial" w:hAnsi="Arial" w:cs="Arial"/>
          <w:sz w:val="20"/>
          <w:szCs w:val="20"/>
        </w:rPr>
        <w:t>to their next owner after 4-10 years. New rigid trucks are typically sold after ten years of service.</w:t>
      </w:r>
    </w:p>
    <w:p w:rsidR="00B70B80" w:rsidRDefault="00B70B80" w:rsidP="00D40494">
      <w:pPr>
        <w:rPr>
          <w:rFonts w:ascii="Arial" w:hAnsi="Arial" w:cs="Arial"/>
          <w:b/>
          <w:sz w:val="20"/>
          <w:szCs w:val="20"/>
        </w:rPr>
      </w:pPr>
    </w:p>
    <w:p w:rsidR="00EC12ED" w:rsidRPr="00EC12ED" w:rsidRDefault="00EC12ED" w:rsidP="006C4555">
      <w:pPr>
        <w:rPr>
          <w:rFonts w:ascii="Arial" w:hAnsi="Arial" w:cs="Arial"/>
          <w:sz w:val="20"/>
          <w:szCs w:val="20"/>
        </w:rPr>
      </w:pPr>
    </w:p>
    <w:p w:rsidR="008154D1" w:rsidRPr="00F00A4D" w:rsidRDefault="00E2246B" w:rsidP="00C21856">
      <w:pPr>
        <w:pStyle w:val="Heading2"/>
        <w:keepLines w:val="0"/>
      </w:pPr>
      <w:bookmarkStart w:id="13" w:name="_Toc336331470"/>
      <w:r>
        <w:t>Truck s</w:t>
      </w:r>
      <w:r w:rsidR="00EC12ED" w:rsidRPr="00F00A4D">
        <w:t>afety standards</w:t>
      </w:r>
      <w:bookmarkEnd w:id="13"/>
    </w:p>
    <w:p w:rsidR="008154D1" w:rsidRDefault="008154D1" w:rsidP="00C21856">
      <w:pPr>
        <w:keepNext/>
        <w:rPr>
          <w:rFonts w:ascii="Arial" w:hAnsi="Arial" w:cs="Arial"/>
          <w:sz w:val="20"/>
          <w:szCs w:val="20"/>
        </w:rPr>
      </w:pPr>
    </w:p>
    <w:p w:rsidR="00BA0E47" w:rsidRPr="00BA0E47" w:rsidRDefault="00BA0E47" w:rsidP="00C21856">
      <w:pPr>
        <w:keepNext/>
        <w:rPr>
          <w:rFonts w:ascii="Arial" w:hAnsi="Arial" w:cs="Arial"/>
          <w:i/>
          <w:sz w:val="20"/>
          <w:szCs w:val="20"/>
        </w:rPr>
      </w:pPr>
      <w:r w:rsidRPr="00BA0E47">
        <w:rPr>
          <w:rFonts w:ascii="Arial" w:hAnsi="Arial" w:cs="Arial"/>
          <w:i/>
          <w:sz w:val="20"/>
          <w:szCs w:val="20"/>
        </w:rPr>
        <w:t xml:space="preserve">Why </w:t>
      </w:r>
      <w:r w:rsidR="005E1C27">
        <w:rPr>
          <w:rFonts w:ascii="Arial" w:hAnsi="Arial" w:cs="Arial"/>
          <w:i/>
          <w:sz w:val="20"/>
          <w:szCs w:val="20"/>
        </w:rPr>
        <w:t>truck safety</w:t>
      </w:r>
      <w:r w:rsidR="00E2246B">
        <w:rPr>
          <w:rFonts w:ascii="Arial" w:hAnsi="Arial" w:cs="Arial"/>
          <w:i/>
          <w:sz w:val="20"/>
          <w:szCs w:val="20"/>
        </w:rPr>
        <w:t xml:space="preserve"> </w:t>
      </w:r>
      <w:r w:rsidR="00931BF6">
        <w:rPr>
          <w:rFonts w:ascii="Arial" w:hAnsi="Arial" w:cs="Arial"/>
          <w:i/>
          <w:sz w:val="20"/>
          <w:szCs w:val="20"/>
        </w:rPr>
        <w:t>standards are</w:t>
      </w:r>
      <w:r w:rsidRPr="00BA0E47">
        <w:rPr>
          <w:rFonts w:ascii="Arial" w:hAnsi="Arial" w:cs="Arial"/>
          <w:i/>
          <w:sz w:val="20"/>
          <w:szCs w:val="20"/>
        </w:rPr>
        <w:t xml:space="preserve"> important</w:t>
      </w:r>
    </w:p>
    <w:p w:rsidR="00BA0E47" w:rsidRDefault="00BA0E47" w:rsidP="00C21856">
      <w:pPr>
        <w:keepNext/>
        <w:rPr>
          <w:rFonts w:ascii="Arial" w:hAnsi="Arial" w:cs="Arial"/>
          <w:sz w:val="20"/>
          <w:szCs w:val="20"/>
        </w:rPr>
      </w:pPr>
    </w:p>
    <w:p w:rsidR="00A3398B" w:rsidRDefault="00894558" w:rsidP="00C21856">
      <w:pPr>
        <w:keepNext/>
        <w:rPr>
          <w:rFonts w:ascii="Arial" w:hAnsi="Arial" w:cs="Arial"/>
          <w:sz w:val="20"/>
          <w:szCs w:val="20"/>
        </w:rPr>
      </w:pPr>
      <w:r>
        <w:rPr>
          <w:rFonts w:ascii="Arial" w:hAnsi="Arial" w:cs="Arial"/>
          <w:sz w:val="20"/>
          <w:szCs w:val="20"/>
        </w:rPr>
        <w:t>T</w:t>
      </w:r>
      <w:r w:rsidR="00A3398B">
        <w:rPr>
          <w:rFonts w:ascii="Arial" w:hAnsi="Arial" w:cs="Arial"/>
          <w:sz w:val="20"/>
          <w:szCs w:val="20"/>
        </w:rPr>
        <w:t xml:space="preserve">he trucking industry’s safety has improved dramatically in the last thirty years. In 2011, the University of Adelaide’s Centre for Automotive Safety Research reported that the fatal crash rate for articulated trucks improved </w:t>
      </w:r>
      <w:r w:rsidR="00A3398B" w:rsidRPr="00A3398B">
        <w:rPr>
          <w:rFonts w:ascii="Arial" w:hAnsi="Arial" w:cs="Arial"/>
          <w:sz w:val="20"/>
          <w:szCs w:val="20"/>
        </w:rPr>
        <w:t xml:space="preserve">60 per cent since </w:t>
      </w:r>
      <w:r w:rsidR="00A3398B">
        <w:rPr>
          <w:rFonts w:ascii="Arial" w:hAnsi="Arial" w:cs="Arial"/>
          <w:sz w:val="20"/>
          <w:szCs w:val="20"/>
        </w:rPr>
        <w:t>between 1982 and 2007.</w:t>
      </w:r>
    </w:p>
    <w:p w:rsidR="00A3398B" w:rsidRPr="00A3398B" w:rsidRDefault="00A3398B" w:rsidP="00A3398B">
      <w:pPr>
        <w:rPr>
          <w:rFonts w:ascii="Arial" w:hAnsi="Arial" w:cs="Arial"/>
          <w:sz w:val="20"/>
          <w:szCs w:val="20"/>
        </w:rPr>
      </w:pPr>
    </w:p>
    <w:p w:rsidR="00BA0E47" w:rsidRDefault="00A3398B" w:rsidP="00A3398B">
      <w:pPr>
        <w:rPr>
          <w:rFonts w:ascii="Arial" w:hAnsi="Arial" w:cs="Arial"/>
          <w:sz w:val="20"/>
          <w:szCs w:val="20"/>
        </w:rPr>
      </w:pPr>
      <w:r w:rsidRPr="00A3398B">
        <w:rPr>
          <w:rFonts w:ascii="Arial" w:hAnsi="Arial" w:cs="Arial"/>
          <w:sz w:val="20"/>
          <w:szCs w:val="20"/>
        </w:rPr>
        <w:t xml:space="preserve">The report </w:t>
      </w:r>
      <w:r>
        <w:rPr>
          <w:rFonts w:ascii="Arial" w:hAnsi="Arial" w:cs="Arial"/>
          <w:sz w:val="20"/>
          <w:szCs w:val="20"/>
        </w:rPr>
        <w:t xml:space="preserve">found </w:t>
      </w:r>
      <w:r w:rsidRPr="00A3398B">
        <w:rPr>
          <w:rFonts w:ascii="Arial" w:hAnsi="Arial" w:cs="Arial"/>
          <w:sz w:val="20"/>
          <w:szCs w:val="20"/>
        </w:rPr>
        <w:t>the most significant gains in truck safety during this period were due to broad</w:t>
      </w:r>
      <w:r>
        <w:rPr>
          <w:rFonts w:ascii="Arial" w:hAnsi="Arial" w:cs="Arial"/>
          <w:sz w:val="20"/>
          <w:szCs w:val="20"/>
        </w:rPr>
        <w:t xml:space="preserve"> </w:t>
      </w:r>
      <w:r w:rsidRPr="00A3398B">
        <w:rPr>
          <w:rFonts w:ascii="Arial" w:hAnsi="Arial" w:cs="Arial"/>
          <w:sz w:val="20"/>
          <w:szCs w:val="20"/>
        </w:rPr>
        <w:t>road safety initiatives that have improved safety for all road users, particularly improvements to the road</w:t>
      </w:r>
      <w:r>
        <w:rPr>
          <w:rFonts w:ascii="Arial" w:hAnsi="Arial" w:cs="Arial"/>
          <w:sz w:val="20"/>
          <w:szCs w:val="20"/>
        </w:rPr>
        <w:t xml:space="preserve"> </w:t>
      </w:r>
      <w:r w:rsidRPr="00A3398B">
        <w:rPr>
          <w:rFonts w:ascii="Arial" w:hAnsi="Arial" w:cs="Arial"/>
          <w:sz w:val="20"/>
          <w:szCs w:val="20"/>
        </w:rPr>
        <w:t xml:space="preserve">network (including divided highways and sealed shoulders), reduced speed limits </w:t>
      </w:r>
      <w:r>
        <w:rPr>
          <w:rFonts w:ascii="Arial" w:hAnsi="Arial" w:cs="Arial"/>
          <w:sz w:val="20"/>
          <w:szCs w:val="20"/>
        </w:rPr>
        <w:t xml:space="preserve">– </w:t>
      </w:r>
      <w:r w:rsidRPr="00A3398B">
        <w:rPr>
          <w:rFonts w:ascii="Arial" w:hAnsi="Arial" w:cs="Arial"/>
          <w:sz w:val="20"/>
          <w:szCs w:val="20"/>
        </w:rPr>
        <w:t>and improvements in</w:t>
      </w:r>
      <w:r>
        <w:rPr>
          <w:rFonts w:ascii="Arial" w:hAnsi="Arial" w:cs="Arial"/>
          <w:sz w:val="20"/>
          <w:szCs w:val="20"/>
        </w:rPr>
        <w:t xml:space="preserve"> </w:t>
      </w:r>
      <w:r w:rsidRPr="00A3398B">
        <w:rPr>
          <w:rFonts w:ascii="Arial" w:hAnsi="Arial" w:cs="Arial"/>
          <w:sz w:val="20"/>
          <w:szCs w:val="20"/>
        </w:rPr>
        <w:t>vehicle design.</w:t>
      </w:r>
      <w:r>
        <w:rPr>
          <w:rStyle w:val="FootnoteReference"/>
          <w:szCs w:val="20"/>
        </w:rPr>
        <w:footnoteReference w:id="7"/>
      </w:r>
    </w:p>
    <w:p w:rsidR="00A3398B" w:rsidRDefault="00A3398B" w:rsidP="00A3398B">
      <w:pPr>
        <w:rPr>
          <w:rFonts w:ascii="Arial" w:hAnsi="Arial" w:cs="Arial"/>
          <w:sz w:val="20"/>
          <w:szCs w:val="20"/>
        </w:rPr>
      </w:pPr>
    </w:p>
    <w:p w:rsidR="00A3398B" w:rsidRDefault="001F5C6A" w:rsidP="00A3398B">
      <w:pPr>
        <w:rPr>
          <w:rFonts w:ascii="Arial" w:hAnsi="Arial" w:cs="Arial"/>
          <w:sz w:val="20"/>
          <w:szCs w:val="20"/>
        </w:rPr>
      </w:pPr>
      <w:r>
        <w:rPr>
          <w:rFonts w:ascii="Arial" w:hAnsi="Arial" w:cs="Arial"/>
          <w:sz w:val="20"/>
          <w:szCs w:val="20"/>
        </w:rPr>
        <w:t>Even though road safety has improved – for example, the 2011 road toll was the lowest since 1946</w:t>
      </w:r>
      <w:r>
        <w:rPr>
          <w:rStyle w:val="FootnoteReference"/>
          <w:szCs w:val="20"/>
        </w:rPr>
        <w:footnoteReference w:id="8"/>
      </w:r>
      <w:r>
        <w:rPr>
          <w:rFonts w:ascii="Arial" w:hAnsi="Arial" w:cs="Arial"/>
          <w:sz w:val="20"/>
          <w:szCs w:val="20"/>
        </w:rPr>
        <w:t xml:space="preserve"> – vehicle accidents continue to impose an enormous economic and social cost. </w:t>
      </w:r>
      <w:r w:rsidR="00894558">
        <w:rPr>
          <w:rFonts w:ascii="Arial" w:hAnsi="Arial" w:cs="Arial"/>
          <w:sz w:val="20"/>
          <w:szCs w:val="20"/>
        </w:rPr>
        <w:t>The estimated social cost of road crashes in 2006 was $17.85 billion, or 1.7 per cent of GDP.</w:t>
      </w:r>
      <w:r w:rsidR="00894558">
        <w:rPr>
          <w:rStyle w:val="FootnoteReference"/>
          <w:szCs w:val="20"/>
        </w:rPr>
        <w:footnoteReference w:id="9"/>
      </w:r>
      <w:r w:rsidR="00894558">
        <w:rPr>
          <w:rFonts w:ascii="Arial" w:hAnsi="Arial" w:cs="Arial"/>
          <w:sz w:val="20"/>
          <w:szCs w:val="20"/>
        </w:rPr>
        <w:t xml:space="preserve">  </w:t>
      </w:r>
    </w:p>
    <w:p w:rsidR="00894558" w:rsidRDefault="00894558" w:rsidP="00A3398B">
      <w:pPr>
        <w:rPr>
          <w:rFonts w:ascii="Arial" w:hAnsi="Arial" w:cs="Arial"/>
          <w:sz w:val="20"/>
          <w:szCs w:val="20"/>
        </w:rPr>
      </w:pPr>
    </w:p>
    <w:p w:rsidR="00894558" w:rsidRDefault="00894558" w:rsidP="00A3398B">
      <w:pPr>
        <w:rPr>
          <w:rFonts w:ascii="Arial" w:hAnsi="Arial" w:cs="Arial"/>
          <w:sz w:val="20"/>
          <w:szCs w:val="20"/>
        </w:rPr>
      </w:pPr>
      <w:r>
        <w:rPr>
          <w:rFonts w:ascii="Arial" w:hAnsi="Arial" w:cs="Arial"/>
          <w:sz w:val="20"/>
          <w:szCs w:val="20"/>
        </w:rPr>
        <w:lastRenderedPageBreak/>
        <w:t xml:space="preserve">Improvements in </w:t>
      </w:r>
      <w:r w:rsidR="00C50F82">
        <w:rPr>
          <w:rFonts w:ascii="Arial" w:hAnsi="Arial" w:cs="Arial"/>
          <w:sz w:val="20"/>
          <w:szCs w:val="20"/>
        </w:rPr>
        <w:t>truck</w:t>
      </w:r>
      <w:r>
        <w:rPr>
          <w:rFonts w:ascii="Arial" w:hAnsi="Arial" w:cs="Arial"/>
          <w:sz w:val="20"/>
          <w:szCs w:val="20"/>
        </w:rPr>
        <w:t xml:space="preserve"> </w:t>
      </w:r>
      <w:r w:rsidR="00C50F82">
        <w:rPr>
          <w:rFonts w:ascii="Arial" w:hAnsi="Arial" w:cs="Arial"/>
          <w:sz w:val="20"/>
          <w:szCs w:val="20"/>
        </w:rPr>
        <w:t>safety</w:t>
      </w:r>
      <w:r>
        <w:rPr>
          <w:rFonts w:ascii="Arial" w:hAnsi="Arial" w:cs="Arial"/>
          <w:sz w:val="20"/>
          <w:szCs w:val="20"/>
        </w:rPr>
        <w:t xml:space="preserve"> standards and the rollout of new safety features by manufacturers </w:t>
      </w:r>
      <w:r w:rsidR="00C50F82">
        <w:rPr>
          <w:rFonts w:ascii="Arial" w:hAnsi="Arial" w:cs="Arial"/>
          <w:sz w:val="20"/>
          <w:szCs w:val="20"/>
        </w:rPr>
        <w:t>contribute</w:t>
      </w:r>
      <w:r>
        <w:rPr>
          <w:rFonts w:ascii="Arial" w:hAnsi="Arial" w:cs="Arial"/>
          <w:sz w:val="20"/>
          <w:szCs w:val="20"/>
        </w:rPr>
        <w:t xml:space="preserve"> to reducing this economic cost and the trauma of road accidents.</w:t>
      </w:r>
    </w:p>
    <w:p w:rsidR="00894558" w:rsidRDefault="00894558" w:rsidP="00A3398B">
      <w:pPr>
        <w:rPr>
          <w:rFonts w:ascii="Arial" w:hAnsi="Arial" w:cs="Arial"/>
          <w:sz w:val="20"/>
          <w:szCs w:val="20"/>
        </w:rPr>
      </w:pPr>
    </w:p>
    <w:p w:rsidR="00594DC8" w:rsidRPr="00F00A4D" w:rsidRDefault="00594DC8" w:rsidP="006C4555">
      <w:pPr>
        <w:rPr>
          <w:rFonts w:ascii="Arial" w:hAnsi="Arial" w:cs="Arial"/>
          <w:sz w:val="20"/>
          <w:szCs w:val="20"/>
        </w:rPr>
      </w:pPr>
    </w:p>
    <w:p w:rsidR="00EC12ED" w:rsidRPr="00F00A4D" w:rsidRDefault="00F00A4D" w:rsidP="006C4555">
      <w:pPr>
        <w:rPr>
          <w:rFonts w:ascii="Arial" w:hAnsi="Arial" w:cs="Arial"/>
          <w:i/>
          <w:sz w:val="20"/>
          <w:szCs w:val="20"/>
        </w:rPr>
      </w:pPr>
      <w:r w:rsidRPr="00F00A4D">
        <w:rPr>
          <w:rFonts w:ascii="Arial" w:hAnsi="Arial" w:cs="Arial"/>
          <w:i/>
          <w:sz w:val="20"/>
          <w:szCs w:val="20"/>
        </w:rPr>
        <w:t>Safety measures implemented through the ADRs</w:t>
      </w:r>
    </w:p>
    <w:p w:rsidR="00383D38" w:rsidRPr="00F00A4D" w:rsidRDefault="00383D38" w:rsidP="006C4555">
      <w:pPr>
        <w:rPr>
          <w:rFonts w:ascii="Arial" w:hAnsi="Arial" w:cs="Arial"/>
          <w:sz w:val="20"/>
          <w:szCs w:val="20"/>
        </w:rPr>
      </w:pPr>
    </w:p>
    <w:p w:rsidR="00480BF1" w:rsidRDefault="00F00A4D" w:rsidP="006C4555">
      <w:pPr>
        <w:rPr>
          <w:rFonts w:ascii="Arial" w:hAnsi="Arial" w:cs="Arial"/>
          <w:sz w:val="20"/>
          <w:szCs w:val="20"/>
        </w:rPr>
      </w:pPr>
      <w:r w:rsidRPr="00F00A4D">
        <w:rPr>
          <w:rFonts w:ascii="Arial" w:hAnsi="Arial" w:cs="Arial"/>
          <w:sz w:val="20"/>
          <w:szCs w:val="20"/>
        </w:rPr>
        <w:t>T</w:t>
      </w:r>
      <w:r w:rsidR="006F3654">
        <w:rPr>
          <w:rFonts w:ascii="Arial" w:hAnsi="Arial" w:cs="Arial"/>
          <w:sz w:val="20"/>
          <w:szCs w:val="20"/>
        </w:rPr>
        <w:t>he AD</w:t>
      </w:r>
      <w:r w:rsidR="00480BF1">
        <w:rPr>
          <w:rFonts w:ascii="Arial" w:hAnsi="Arial" w:cs="Arial"/>
          <w:sz w:val="20"/>
          <w:szCs w:val="20"/>
        </w:rPr>
        <w:t xml:space="preserve">Rs </w:t>
      </w:r>
      <w:r w:rsidR="00894558">
        <w:rPr>
          <w:rFonts w:ascii="Arial" w:hAnsi="Arial" w:cs="Arial"/>
          <w:sz w:val="20"/>
          <w:szCs w:val="20"/>
        </w:rPr>
        <w:t xml:space="preserve">impose a host of mandatory safety features on trucks. </w:t>
      </w:r>
      <w:r w:rsidR="00FD34A4">
        <w:rPr>
          <w:rFonts w:ascii="Arial" w:hAnsi="Arial" w:cs="Arial"/>
          <w:sz w:val="20"/>
          <w:szCs w:val="20"/>
        </w:rPr>
        <w:t xml:space="preserve">A recent high profile example is ADR 84/00, which requires trucks weighing more than </w:t>
      </w:r>
      <w:r w:rsidR="009D22B4">
        <w:rPr>
          <w:rFonts w:ascii="Arial" w:hAnsi="Arial" w:cs="Arial"/>
          <w:sz w:val="20"/>
          <w:szCs w:val="20"/>
        </w:rPr>
        <w:t>12</w:t>
      </w:r>
      <w:r w:rsidR="00FD34A4">
        <w:rPr>
          <w:rFonts w:ascii="Arial" w:hAnsi="Arial" w:cs="Arial"/>
          <w:sz w:val="20"/>
          <w:szCs w:val="20"/>
        </w:rPr>
        <w:t xml:space="preserve"> tonnes to be fitted with </w:t>
      </w:r>
      <w:r w:rsidR="00894558">
        <w:rPr>
          <w:rFonts w:ascii="Arial" w:hAnsi="Arial" w:cs="Arial"/>
          <w:sz w:val="20"/>
          <w:szCs w:val="20"/>
        </w:rPr>
        <w:t>front underrun protection</w:t>
      </w:r>
      <w:r w:rsidR="00FD34A4">
        <w:rPr>
          <w:rFonts w:ascii="Arial" w:hAnsi="Arial" w:cs="Arial"/>
          <w:sz w:val="20"/>
          <w:szCs w:val="20"/>
        </w:rPr>
        <w:t xml:space="preserve"> devices to prevent pedestrians and light vehicles </w:t>
      </w:r>
      <w:r w:rsidR="006B670C">
        <w:rPr>
          <w:rFonts w:ascii="Arial" w:hAnsi="Arial" w:cs="Arial"/>
          <w:sz w:val="20"/>
          <w:szCs w:val="20"/>
        </w:rPr>
        <w:t>sliding</w:t>
      </w:r>
      <w:r w:rsidR="00FD34A4">
        <w:rPr>
          <w:rFonts w:ascii="Arial" w:hAnsi="Arial" w:cs="Arial"/>
          <w:sz w:val="20"/>
          <w:szCs w:val="20"/>
        </w:rPr>
        <w:t xml:space="preserve"> under their wheels in a collision</w:t>
      </w:r>
      <w:r w:rsidR="00894558">
        <w:rPr>
          <w:rFonts w:ascii="Arial" w:hAnsi="Arial" w:cs="Arial"/>
          <w:sz w:val="20"/>
          <w:szCs w:val="20"/>
        </w:rPr>
        <w:t>.</w:t>
      </w:r>
    </w:p>
    <w:p w:rsidR="00894558" w:rsidRDefault="00894558" w:rsidP="006C4555">
      <w:pPr>
        <w:rPr>
          <w:rFonts w:ascii="Arial" w:hAnsi="Arial" w:cs="Arial"/>
          <w:sz w:val="20"/>
          <w:szCs w:val="20"/>
        </w:rPr>
      </w:pPr>
    </w:p>
    <w:p w:rsidR="00F00A4D" w:rsidRDefault="006B670C" w:rsidP="006B670C">
      <w:pPr>
        <w:rPr>
          <w:rFonts w:ascii="Arial" w:hAnsi="Arial" w:cs="Arial"/>
          <w:sz w:val="20"/>
          <w:szCs w:val="20"/>
        </w:rPr>
      </w:pPr>
      <w:r>
        <w:rPr>
          <w:rFonts w:ascii="Arial" w:hAnsi="Arial" w:cs="Arial"/>
          <w:sz w:val="20"/>
          <w:szCs w:val="20"/>
        </w:rPr>
        <w:t xml:space="preserve">According to the regulation impact statement for the rule, about </w:t>
      </w:r>
      <w:r w:rsidRPr="006B670C">
        <w:rPr>
          <w:rFonts w:ascii="Arial" w:hAnsi="Arial" w:cs="Arial"/>
          <w:sz w:val="20"/>
          <w:szCs w:val="20"/>
        </w:rPr>
        <w:t xml:space="preserve">35 people were killed </w:t>
      </w:r>
      <w:r>
        <w:rPr>
          <w:rFonts w:ascii="Arial" w:hAnsi="Arial" w:cs="Arial"/>
          <w:sz w:val="20"/>
          <w:szCs w:val="20"/>
        </w:rPr>
        <w:t xml:space="preserve">each year between 1988 and 2003 </w:t>
      </w:r>
      <w:r w:rsidRPr="006B670C">
        <w:rPr>
          <w:rFonts w:ascii="Arial" w:hAnsi="Arial" w:cs="Arial"/>
          <w:sz w:val="20"/>
          <w:szCs w:val="20"/>
        </w:rPr>
        <w:t xml:space="preserve">in underrun crashes. </w:t>
      </w:r>
      <w:r>
        <w:rPr>
          <w:rFonts w:ascii="Arial" w:hAnsi="Arial" w:cs="Arial"/>
          <w:sz w:val="20"/>
          <w:szCs w:val="20"/>
        </w:rPr>
        <w:t xml:space="preserve">It estimated the </w:t>
      </w:r>
      <w:r w:rsidRPr="006B670C">
        <w:rPr>
          <w:rFonts w:ascii="Arial" w:hAnsi="Arial" w:cs="Arial"/>
          <w:sz w:val="20"/>
          <w:szCs w:val="20"/>
        </w:rPr>
        <w:t>cost of heavy commercial vehicle underrun trauma</w:t>
      </w:r>
      <w:r>
        <w:rPr>
          <w:rFonts w:ascii="Arial" w:hAnsi="Arial" w:cs="Arial"/>
          <w:sz w:val="20"/>
          <w:szCs w:val="20"/>
        </w:rPr>
        <w:t xml:space="preserve"> at </w:t>
      </w:r>
      <w:r w:rsidRPr="006B670C">
        <w:rPr>
          <w:rFonts w:ascii="Arial" w:hAnsi="Arial" w:cs="Arial"/>
          <w:sz w:val="20"/>
          <w:szCs w:val="20"/>
        </w:rPr>
        <w:t>$295 million</w:t>
      </w:r>
      <w:r>
        <w:rPr>
          <w:rFonts w:ascii="Arial" w:hAnsi="Arial" w:cs="Arial"/>
          <w:sz w:val="20"/>
          <w:szCs w:val="20"/>
        </w:rPr>
        <w:t xml:space="preserve"> per year</w:t>
      </w:r>
      <w:r w:rsidR="009D22B4">
        <w:rPr>
          <w:rFonts w:ascii="Arial" w:hAnsi="Arial" w:cs="Arial"/>
          <w:sz w:val="20"/>
          <w:szCs w:val="20"/>
        </w:rPr>
        <w:t>,</w:t>
      </w:r>
      <w:r w:rsidR="009D22B4" w:rsidRPr="009D22B4">
        <w:rPr>
          <w:rStyle w:val="FootnoteReference"/>
          <w:szCs w:val="20"/>
        </w:rPr>
        <w:t xml:space="preserve"> </w:t>
      </w:r>
      <w:r w:rsidR="009D22B4">
        <w:rPr>
          <w:rStyle w:val="FootnoteReference"/>
          <w:szCs w:val="20"/>
        </w:rPr>
        <w:footnoteReference w:id="10"/>
      </w:r>
      <w:r w:rsidR="009D22B4">
        <w:rPr>
          <w:rFonts w:ascii="Arial" w:hAnsi="Arial" w:cs="Arial"/>
          <w:sz w:val="20"/>
          <w:szCs w:val="20"/>
        </w:rPr>
        <w:t xml:space="preserve"> and estimated that the rule would deliver </w:t>
      </w:r>
      <w:r w:rsidR="009E773A">
        <w:rPr>
          <w:rFonts w:ascii="Arial" w:hAnsi="Arial" w:cs="Arial"/>
          <w:sz w:val="20"/>
          <w:szCs w:val="20"/>
        </w:rPr>
        <w:t>net benefits of $24.6 million per year.</w:t>
      </w:r>
      <w:r w:rsidR="009E773A">
        <w:rPr>
          <w:rStyle w:val="FootnoteReference"/>
          <w:szCs w:val="20"/>
        </w:rPr>
        <w:footnoteReference w:id="11"/>
      </w:r>
    </w:p>
    <w:p w:rsidR="009D22B4" w:rsidRDefault="009D22B4" w:rsidP="006B670C">
      <w:pPr>
        <w:rPr>
          <w:rFonts w:ascii="Arial" w:hAnsi="Arial" w:cs="Arial"/>
          <w:sz w:val="20"/>
          <w:szCs w:val="20"/>
        </w:rPr>
      </w:pPr>
    </w:p>
    <w:p w:rsidR="00923644" w:rsidRDefault="00923644" w:rsidP="006B670C">
      <w:pPr>
        <w:rPr>
          <w:rFonts w:ascii="Arial" w:hAnsi="Arial" w:cs="Arial"/>
          <w:sz w:val="20"/>
          <w:szCs w:val="20"/>
        </w:rPr>
      </w:pPr>
      <w:r>
        <w:rPr>
          <w:rFonts w:ascii="Arial" w:hAnsi="Arial" w:cs="Arial"/>
          <w:sz w:val="20"/>
          <w:szCs w:val="20"/>
        </w:rPr>
        <w:t xml:space="preserve">The rule applies to all new model trucks manufactured after 1 January 2011, and all new trucks manufactured after 1 January 2012. </w:t>
      </w:r>
      <w:r w:rsidR="009D22B4">
        <w:rPr>
          <w:rFonts w:ascii="Arial" w:hAnsi="Arial" w:cs="Arial"/>
          <w:sz w:val="20"/>
          <w:szCs w:val="20"/>
        </w:rPr>
        <w:t xml:space="preserve">It </w:t>
      </w:r>
      <w:r>
        <w:rPr>
          <w:rFonts w:ascii="Arial" w:hAnsi="Arial" w:cs="Arial"/>
          <w:sz w:val="20"/>
          <w:szCs w:val="20"/>
        </w:rPr>
        <w:t xml:space="preserve">does not apply retrospectively to any of the trucks manufactured before 2011. Its rollout across the fleet will occur at the rate that trucking operators purchase new equipment and </w:t>
      </w:r>
      <w:r w:rsidR="00787BA0">
        <w:rPr>
          <w:rFonts w:ascii="Arial" w:hAnsi="Arial" w:cs="Arial"/>
          <w:sz w:val="20"/>
          <w:szCs w:val="20"/>
        </w:rPr>
        <w:t>re-</w:t>
      </w:r>
      <w:r>
        <w:rPr>
          <w:rFonts w:ascii="Arial" w:hAnsi="Arial" w:cs="Arial"/>
          <w:sz w:val="20"/>
          <w:szCs w:val="20"/>
        </w:rPr>
        <w:t>sell it on the second hand market.</w:t>
      </w:r>
    </w:p>
    <w:p w:rsidR="008C7A48" w:rsidRDefault="008C7A48" w:rsidP="006C4555">
      <w:pPr>
        <w:rPr>
          <w:rFonts w:ascii="Arial" w:hAnsi="Arial" w:cs="Arial"/>
          <w:i/>
          <w:sz w:val="20"/>
          <w:szCs w:val="20"/>
        </w:rPr>
      </w:pPr>
    </w:p>
    <w:p w:rsidR="00923644" w:rsidRPr="00923644" w:rsidRDefault="00923644" w:rsidP="006C4555">
      <w:pPr>
        <w:rPr>
          <w:rFonts w:ascii="Arial" w:hAnsi="Arial" w:cs="Arial"/>
          <w:sz w:val="20"/>
          <w:szCs w:val="20"/>
        </w:rPr>
      </w:pPr>
    </w:p>
    <w:p w:rsidR="00F00A4D" w:rsidRPr="00F00A4D" w:rsidRDefault="00F00A4D" w:rsidP="006C4555">
      <w:pPr>
        <w:rPr>
          <w:rFonts w:ascii="Arial" w:hAnsi="Arial" w:cs="Arial"/>
          <w:i/>
          <w:sz w:val="20"/>
          <w:szCs w:val="20"/>
        </w:rPr>
      </w:pPr>
      <w:r w:rsidRPr="00F00A4D">
        <w:rPr>
          <w:rFonts w:ascii="Arial" w:hAnsi="Arial" w:cs="Arial"/>
          <w:i/>
          <w:sz w:val="20"/>
          <w:szCs w:val="20"/>
        </w:rPr>
        <w:t xml:space="preserve">Safety </w:t>
      </w:r>
      <w:r w:rsidR="00923644">
        <w:rPr>
          <w:rFonts w:ascii="Arial" w:hAnsi="Arial" w:cs="Arial"/>
          <w:i/>
          <w:sz w:val="20"/>
          <w:szCs w:val="20"/>
        </w:rPr>
        <w:t xml:space="preserve">features </w:t>
      </w:r>
      <w:r w:rsidRPr="00F00A4D">
        <w:rPr>
          <w:rFonts w:ascii="Arial" w:hAnsi="Arial" w:cs="Arial"/>
          <w:i/>
          <w:sz w:val="20"/>
          <w:szCs w:val="20"/>
        </w:rPr>
        <w:t>implemented by manufacturers</w:t>
      </w:r>
    </w:p>
    <w:p w:rsidR="00F00A4D" w:rsidRDefault="00F00A4D" w:rsidP="006C4555">
      <w:pPr>
        <w:rPr>
          <w:rFonts w:ascii="Arial" w:hAnsi="Arial" w:cs="Arial"/>
          <w:sz w:val="20"/>
          <w:szCs w:val="20"/>
        </w:rPr>
      </w:pPr>
    </w:p>
    <w:p w:rsidR="00F00A4D" w:rsidRDefault="00787BA0" w:rsidP="006C4555">
      <w:pPr>
        <w:rPr>
          <w:rFonts w:ascii="Arial" w:hAnsi="Arial" w:cs="Arial"/>
          <w:sz w:val="20"/>
          <w:szCs w:val="20"/>
        </w:rPr>
      </w:pPr>
      <w:r>
        <w:rPr>
          <w:rFonts w:ascii="Arial" w:hAnsi="Arial" w:cs="Arial"/>
          <w:sz w:val="20"/>
          <w:szCs w:val="20"/>
        </w:rPr>
        <w:t xml:space="preserve">In addition to </w:t>
      </w:r>
      <w:r w:rsidR="00F00A4D">
        <w:rPr>
          <w:rFonts w:ascii="Arial" w:hAnsi="Arial" w:cs="Arial"/>
          <w:sz w:val="20"/>
          <w:szCs w:val="20"/>
        </w:rPr>
        <w:t>the safety</w:t>
      </w:r>
      <w:r w:rsidR="00A5343B">
        <w:rPr>
          <w:rFonts w:ascii="Arial" w:hAnsi="Arial" w:cs="Arial"/>
          <w:sz w:val="20"/>
          <w:szCs w:val="20"/>
        </w:rPr>
        <w:t xml:space="preserve"> measures imposed through </w:t>
      </w:r>
      <w:r w:rsidR="009E773A">
        <w:rPr>
          <w:rFonts w:ascii="Arial" w:hAnsi="Arial" w:cs="Arial"/>
          <w:sz w:val="20"/>
          <w:szCs w:val="20"/>
        </w:rPr>
        <w:t xml:space="preserve">the </w:t>
      </w:r>
      <w:r>
        <w:rPr>
          <w:rFonts w:ascii="Arial" w:hAnsi="Arial" w:cs="Arial"/>
          <w:sz w:val="20"/>
          <w:szCs w:val="20"/>
        </w:rPr>
        <w:t xml:space="preserve">ADR </w:t>
      </w:r>
      <w:r w:rsidR="00A5343B">
        <w:rPr>
          <w:rFonts w:ascii="Arial" w:hAnsi="Arial" w:cs="Arial"/>
          <w:sz w:val="20"/>
          <w:szCs w:val="20"/>
        </w:rPr>
        <w:t>system</w:t>
      </w:r>
      <w:r w:rsidR="00F00A4D">
        <w:rPr>
          <w:rFonts w:ascii="Arial" w:hAnsi="Arial" w:cs="Arial"/>
          <w:sz w:val="20"/>
          <w:szCs w:val="20"/>
        </w:rPr>
        <w:t>,</w:t>
      </w:r>
      <w:r>
        <w:rPr>
          <w:rFonts w:ascii="Arial" w:hAnsi="Arial" w:cs="Arial"/>
          <w:sz w:val="20"/>
          <w:szCs w:val="20"/>
        </w:rPr>
        <w:t xml:space="preserve"> some</w:t>
      </w:r>
      <w:r w:rsidR="00F00A4D">
        <w:rPr>
          <w:rFonts w:ascii="Arial" w:hAnsi="Arial" w:cs="Arial"/>
          <w:sz w:val="20"/>
          <w:szCs w:val="20"/>
        </w:rPr>
        <w:t xml:space="preserve"> truck manufacturers </w:t>
      </w:r>
      <w:r w:rsidR="00556640">
        <w:rPr>
          <w:rFonts w:ascii="Arial" w:hAnsi="Arial" w:cs="Arial"/>
          <w:sz w:val="20"/>
          <w:szCs w:val="20"/>
        </w:rPr>
        <w:t xml:space="preserve">offer a range of </w:t>
      </w:r>
      <w:r>
        <w:rPr>
          <w:rFonts w:ascii="Arial" w:hAnsi="Arial" w:cs="Arial"/>
          <w:sz w:val="20"/>
          <w:szCs w:val="20"/>
        </w:rPr>
        <w:t xml:space="preserve">additional </w:t>
      </w:r>
      <w:r w:rsidR="00556640">
        <w:rPr>
          <w:rFonts w:ascii="Arial" w:hAnsi="Arial" w:cs="Arial"/>
          <w:sz w:val="20"/>
          <w:szCs w:val="20"/>
        </w:rPr>
        <w:t>safety features</w:t>
      </w:r>
      <w:r w:rsidR="00931BF6">
        <w:rPr>
          <w:rFonts w:ascii="Arial" w:hAnsi="Arial" w:cs="Arial"/>
          <w:sz w:val="20"/>
          <w:szCs w:val="20"/>
        </w:rPr>
        <w:t xml:space="preserve"> in their vehicles</w:t>
      </w:r>
      <w:r w:rsidR="00556640">
        <w:rPr>
          <w:rFonts w:ascii="Arial" w:hAnsi="Arial" w:cs="Arial"/>
          <w:sz w:val="20"/>
          <w:szCs w:val="20"/>
        </w:rPr>
        <w:t xml:space="preserve">. </w:t>
      </w:r>
      <w:r w:rsidR="00F00A4D">
        <w:rPr>
          <w:rFonts w:ascii="Arial" w:hAnsi="Arial" w:cs="Arial"/>
          <w:sz w:val="20"/>
          <w:szCs w:val="20"/>
        </w:rPr>
        <w:t xml:space="preserve">These safety features </w:t>
      </w:r>
      <w:r>
        <w:rPr>
          <w:rFonts w:ascii="Arial" w:hAnsi="Arial" w:cs="Arial"/>
          <w:sz w:val="20"/>
          <w:szCs w:val="20"/>
        </w:rPr>
        <w:t xml:space="preserve">can </w:t>
      </w:r>
      <w:r w:rsidR="00F00A4D">
        <w:rPr>
          <w:rFonts w:ascii="Arial" w:hAnsi="Arial" w:cs="Arial"/>
          <w:sz w:val="20"/>
          <w:szCs w:val="20"/>
        </w:rPr>
        <w:t>match or exceed those f</w:t>
      </w:r>
      <w:r w:rsidR="00556640">
        <w:rPr>
          <w:rFonts w:ascii="Arial" w:hAnsi="Arial" w:cs="Arial"/>
          <w:sz w:val="20"/>
          <w:szCs w:val="20"/>
        </w:rPr>
        <w:t>ound in the most expensive cars</w:t>
      </w:r>
      <w:r w:rsidR="00F00A4D">
        <w:rPr>
          <w:rFonts w:ascii="Arial" w:hAnsi="Arial" w:cs="Arial"/>
          <w:sz w:val="20"/>
          <w:szCs w:val="20"/>
        </w:rPr>
        <w:t xml:space="preserve"> and </w:t>
      </w:r>
      <w:r w:rsidR="00556640">
        <w:rPr>
          <w:rFonts w:ascii="Arial" w:hAnsi="Arial" w:cs="Arial"/>
          <w:sz w:val="20"/>
          <w:szCs w:val="20"/>
        </w:rPr>
        <w:t xml:space="preserve">can </w:t>
      </w:r>
      <w:r w:rsidR="00F00A4D">
        <w:rPr>
          <w:rFonts w:ascii="Arial" w:hAnsi="Arial" w:cs="Arial"/>
          <w:sz w:val="20"/>
          <w:szCs w:val="20"/>
        </w:rPr>
        <w:t>include:</w:t>
      </w:r>
    </w:p>
    <w:p w:rsidR="00F00A4D" w:rsidRPr="00F00A4D" w:rsidRDefault="00F00A4D" w:rsidP="006C4555">
      <w:pPr>
        <w:autoSpaceDE w:val="0"/>
        <w:autoSpaceDN w:val="0"/>
        <w:adjustRightInd w:val="0"/>
        <w:rPr>
          <w:rFonts w:ascii="Arial" w:hAnsi="Arial" w:cs="Arial"/>
          <w:color w:val="000000"/>
          <w:sz w:val="20"/>
          <w:szCs w:val="20"/>
          <w:lang w:eastAsia="en-AU"/>
        </w:rPr>
      </w:pPr>
    </w:p>
    <w:p w:rsidR="00F00A4D" w:rsidRDefault="009E773A" w:rsidP="00AE232A">
      <w:pPr>
        <w:pStyle w:val="ListParagraph"/>
        <w:numPr>
          <w:ilvl w:val="0"/>
          <w:numId w:val="10"/>
        </w:numPr>
        <w:autoSpaceDE w:val="0"/>
        <w:autoSpaceDN w:val="0"/>
        <w:adjustRightInd w:val="0"/>
        <w:spacing w:after="0" w:line="240" w:lineRule="auto"/>
        <w:rPr>
          <w:rFonts w:ascii="Arial" w:hAnsi="Arial" w:cs="Arial"/>
          <w:bCs/>
          <w:color w:val="000000"/>
          <w:sz w:val="20"/>
          <w:szCs w:val="20"/>
          <w:lang w:eastAsia="en-AU"/>
        </w:rPr>
      </w:pPr>
      <w:r>
        <w:rPr>
          <w:rFonts w:ascii="Arial" w:hAnsi="Arial" w:cs="Arial"/>
          <w:b/>
          <w:bCs/>
          <w:color w:val="000000"/>
          <w:sz w:val="20"/>
          <w:szCs w:val="20"/>
          <w:lang w:eastAsia="en-AU"/>
        </w:rPr>
        <w:t>a</w:t>
      </w:r>
      <w:r w:rsidR="00556640" w:rsidRPr="00787BA0">
        <w:rPr>
          <w:rFonts w:ascii="Arial" w:hAnsi="Arial" w:cs="Arial"/>
          <w:b/>
          <w:bCs/>
          <w:color w:val="000000"/>
          <w:sz w:val="20"/>
          <w:szCs w:val="20"/>
          <w:lang w:eastAsia="en-AU"/>
        </w:rPr>
        <w:t>daptive cruise control</w:t>
      </w:r>
      <w:r w:rsidR="00556640" w:rsidRPr="00556640">
        <w:rPr>
          <w:rFonts w:ascii="Arial" w:hAnsi="Arial" w:cs="Arial"/>
          <w:bCs/>
          <w:color w:val="000000"/>
          <w:sz w:val="20"/>
          <w:szCs w:val="20"/>
          <w:lang w:eastAsia="en-AU"/>
        </w:rPr>
        <w:t xml:space="preserve">, </w:t>
      </w:r>
      <w:r w:rsidR="00787BA0">
        <w:rPr>
          <w:rFonts w:ascii="Arial" w:hAnsi="Arial" w:cs="Arial"/>
          <w:bCs/>
          <w:color w:val="000000"/>
          <w:sz w:val="20"/>
          <w:szCs w:val="20"/>
          <w:lang w:eastAsia="en-AU"/>
        </w:rPr>
        <w:t>which slows the</w:t>
      </w:r>
      <w:r w:rsidR="00556640" w:rsidRPr="00556640">
        <w:rPr>
          <w:rFonts w:ascii="Arial" w:hAnsi="Arial" w:cs="Arial"/>
          <w:bCs/>
          <w:color w:val="000000"/>
          <w:sz w:val="20"/>
          <w:szCs w:val="20"/>
          <w:lang w:eastAsia="en-AU"/>
        </w:rPr>
        <w:t xml:space="preserve"> truck automaticall</w:t>
      </w:r>
      <w:r w:rsidR="00787BA0">
        <w:rPr>
          <w:rFonts w:ascii="Arial" w:hAnsi="Arial" w:cs="Arial"/>
          <w:bCs/>
          <w:color w:val="000000"/>
          <w:sz w:val="20"/>
          <w:szCs w:val="20"/>
          <w:lang w:eastAsia="en-AU"/>
        </w:rPr>
        <w:t>y if the vehicle in front slows</w:t>
      </w:r>
    </w:p>
    <w:p w:rsidR="00556640" w:rsidRDefault="009E773A" w:rsidP="00AE232A">
      <w:pPr>
        <w:pStyle w:val="ListParagraph"/>
        <w:numPr>
          <w:ilvl w:val="0"/>
          <w:numId w:val="10"/>
        </w:numPr>
        <w:autoSpaceDE w:val="0"/>
        <w:autoSpaceDN w:val="0"/>
        <w:adjustRightInd w:val="0"/>
        <w:spacing w:after="0" w:line="240" w:lineRule="auto"/>
        <w:rPr>
          <w:rFonts w:ascii="Arial" w:hAnsi="Arial" w:cs="Arial"/>
          <w:bCs/>
          <w:color w:val="000000"/>
          <w:sz w:val="20"/>
          <w:szCs w:val="20"/>
          <w:lang w:eastAsia="en-AU"/>
        </w:rPr>
      </w:pPr>
      <w:r>
        <w:rPr>
          <w:rFonts w:ascii="Arial" w:hAnsi="Arial" w:cs="Arial"/>
          <w:b/>
          <w:bCs/>
          <w:color w:val="000000"/>
          <w:sz w:val="20"/>
          <w:szCs w:val="20"/>
          <w:lang w:eastAsia="en-AU"/>
        </w:rPr>
        <w:t>l</w:t>
      </w:r>
      <w:r w:rsidR="00556640" w:rsidRPr="00787BA0">
        <w:rPr>
          <w:rFonts w:ascii="Arial" w:hAnsi="Arial" w:cs="Arial"/>
          <w:b/>
          <w:bCs/>
          <w:color w:val="000000"/>
          <w:sz w:val="20"/>
          <w:szCs w:val="20"/>
          <w:lang w:eastAsia="en-AU"/>
        </w:rPr>
        <w:t>ane departure warning systems</w:t>
      </w:r>
      <w:r w:rsidR="00556640">
        <w:rPr>
          <w:rFonts w:ascii="Arial" w:hAnsi="Arial" w:cs="Arial"/>
          <w:bCs/>
          <w:color w:val="000000"/>
          <w:sz w:val="20"/>
          <w:szCs w:val="20"/>
          <w:lang w:eastAsia="en-AU"/>
        </w:rPr>
        <w:t>, which warn the driver i</w:t>
      </w:r>
      <w:r w:rsidR="00787BA0">
        <w:rPr>
          <w:rFonts w:ascii="Arial" w:hAnsi="Arial" w:cs="Arial"/>
          <w:bCs/>
          <w:color w:val="000000"/>
          <w:sz w:val="20"/>
          <w:szCs w:val="20"/>
          <w:lang w:eastAsia="en-AU"/>
        </w:rPr>
        <w:t>f the truck veers from its lane</w:t>
      </w:r>
    </w:p>
    <w:p w:rsidR="00556640" w:rsidRDefault="009E773A" w:rsidP="00AE232A">
      <w:pPr>
        <w:pStyle w:val="ListParagraph"/>
        <w:numPr>
          <w:ilvl w:val="0"/>
          <w:numId w:val="10"/>
        </w:numPr>
        <w:autoSpaceDE w:val="0"/>
        <w:autoSpaceDN w:val="0"/>
        <w:adjustRightInd w:val="0"/>
        <w:spacing w:after="0" w:line="240" w:lineRule="auto"/>
        <w:rPr>
          <w:rFonts w:ascii="Arial" w:hAnsi="Arial" w:cs="Arial"/>
          <w:bCs/>
          <w:color w:val="000000"/>
          <w:sz w:val="20"/>
          <w:szCs w:val="20"/>
          <w:lang w:eastAsia="en-AU"/>
        </w:rPr>
      </w:pPr>
      <w:r>
        <w:rPr>
          <w:rFonts w:ascii="Arial" w:hAnsi="Arial" w:cs="Arial"/>
          <w:b/>
          <w:bCs/>
          <w:color w:val="000000"/>
          <w:sz w:val="20"/>
          <w:szCs w:val="20"/>
          <w:lang w:eastAsia="en-AU"/>
        </w:rPr>
        <w:t>e</w:t>
      </w:r>
      <w:r w:rsidR="00556640" w:rsidRPr="00787BA0">
        <w:rPr>
          <w:rFonts w:ascii="Arial" w:hAnsi="Arial" w:cs="Arial"/>
          <w:b/>
          <w:bCs/>
          <w:color w:val="000000"/>
          <w:sz w:val="20"/>
          <w:szCs w:val="20"/>
          <w:lang w:eastAsia="en-AU"/>
        </w:rPr>
        <w:t>lectronic stability control</w:t>
      </w:r>
      <w:r w:rsidR="00787BA0">
        <w:rPr>
          <w:rFonts w:ascii="Arial" w:hAnsi="Arial" w:cs="Arial"/>
          <w:bCs/>
          <w:color w:val="000000"/>
          <w:sz w:val="20"/>
          <w:szCs w:val="20"/>
          <w:lang w:eastAsia="en-AU"/>
        </w:rPr>
        <w:t xml:space="preserve"> to reduce rollover accidents and</w:t>
      </w:r>
    </w:p>
    <w:p w:rsidR="00556640" w:rsidRDefault="009E773A" w:rsidP="00AE232A">
      <w:pPr>
        <w:pStyle w:val="ListParagraph"/>
        <w:numPr>
          <w:ilvl w:val="0"/>
          <w:numId w:val="10"/>
        </w:numPr>
        <w:autoSpaceDE w:val="0"/>
        <w:autoSpaceDN w:val="0"/>
        <w:adjustRightInd w:val="0"/>
        <w:spacing w:after="0" w:line="240" w:lineRule="auto"/>
        <w:rPr>
          <w:rFonts w:ascii="Arial" w:hAnsi="Arial" w:cs="Arial"/>
          <w:bCs/>
          <w:color w:val="000000"/>
          <w:sz w:val="20"/>
          <w:szCs w:val="20"/>
          <w:lang w:eastAsia="en-AU"/>
        </w:rPr>
      </w:pPr>
      <w:r>
        <w:rPr>
          <w:rFonts w:ascii="Arial" w:hAnsi="Arial" w:cs="Arial"/>
          <w:b/>
          <w:bCs/>
          <w:color w:val="000000"/>
          <w:sz w:val="20"/>
          <w:szCs w:val="20"/>
          <w:lang w:eastAsia="en-AU"/>
        </w:rPr>
        <w:t>b</w:t>
      </w:r>
      <w:r w:rsidR="00556640" w:rsidRPr="00787BA0">
        <w:rPr>
          <w:rFonts w:ascii="Arial" w:hAnsi="Arial" w:cs="Arial"/>
          <w:b/>
          <w:bCs/>
          <w:color w:val="000000"/>
          <w:sz w:val="20"/>
          <w:szCs w:val="20"/>
          <w:lang w:eastAsia="en-AU"/>
        </w:rPr>
        <w:t>lind spot rada</w:t>
      </w:r>
      <w:r w:rsidR="00787BA0">
        <w:rPr>
          <w:rFonts w:ascii="Arial" w:hAnsi="Arial" w:cs="Arial"/>
          <w:b/>
          <w:bCs/>
          <w:color w:val="000000"/>
          <w:sz w:val="20"/>
          <w:szCs w:val="20"/>
          <w:lang w:eastAsia="en-AU"/>
        </w:rPr>
        <w:t>r</w:t>
      </w:r>
      <w:r w:rsidR="00556640">
        <w:rPr>
          <w:rFonts w:ascii="Arial" w:hAnsi="Arial" w:cs="Arial"/>
          <w:bCs/>
          <w:color w:val="000000"/>
          <w:sz w:val="20"/>
          <w:szCs w:val="20"/>
          <w:lang w:eastAsia="en-AU"/>
        </w:rPr>
        <w:t>, to warn the driver if there is a car in the truck’s left hand blind spot.</w:t>
      </w:r>
    </w:p>
    <w:p w:rsidR="00556640" w:rsidRPr="00556640" w:rsidRDefault="00556640" w:rsidP="00556640">
      <w:pPr>
        <w:pStyle w:val="ListParagraph"/>
        <w:autoSpaceDE w:val="0"/>
        <w:autoSpaceDN w:val="0"/>
        <w:adjustRightInd w:val="0"/>
        <w:spacing w:after="0" w:line="240" w:lineRule="auto"/>
        <w:rPr>
          <w:rFonts w:ascii="Arial" w:hAnsi="Arial" w:cs="Arial"/>
          <w:bCs/>
          <w:color w:val="000000"/>
          <w:sz w:val="20"/>
          <w:szCs w:val="20"/>
          <w:lang w:eastAsia="en-AU"/>
        </w:rPr>
      </w:pPr>
    </w:p>
    <w:p w:rsidR="00F00A4D" w:rsidRPr="00F00A4D" w:rsidRDefault="00F00A4D" w:rsidP="00556640">
      <w:pPr>
        <w:autoSpaceDE w:val="0"/>
        <w:autoSpaceDN w:val="0"/>
        <w:adjustRightInd w:val="0"/>
        <w:rPr>
          <w:rFonts w:ascii="Arial" w:hAnsi="Arial" w:cs="Arial"/>
          <w:sz w:val="20"/>
          <w:szCs w:val="20"/>
        </w:rPr>
      </w:pPr>
      <w:r>
        <w:rPr>
          <w:rFonts w:ascii="Arial" w:hAnsi="Arial" w:cs="Arial"/>
          <w:color w:val="000000"/>
          <w:sz w:val="20"/>
          <w:szCs w:val="20"/>
          <w:lang w:eastAsia="en-AU"/>
        </w:rPr>
        <w:t xml:space="preserve">These features </w:t>
      </w:r>
      <w:r w:rsidR="00556640">
        <w:rPr>
          <w:rFonts w:ascii="Arial" w:hAnsi="Arial" w:cs="Arial"/>
          <w:color w:val="000000"/>
          <w:sz w:val="20"/>
          <w:szCs w:val="20"/>
          <w:lang w:eastAsia="en-AU"/>
        </w:rPr>
        <w:t xml:space="preserve">cannot be </w:t>
      </w:r>
      <w:r w:rsidRPr="00F00A4D">
        <w:rPr>
          <w:rFonts w:ascii="Arial" w:hAnsi="Arial" w:cs="Arial"/>
          <w:color w:val="000000"/>
          <w:sz w:val="20"/>
          <w:szCs w:val="20"/>
          <w:lang w:eastAsia="en-AU"/>
        </w:rPr>
        <w:t>retrofit</w:t>
      </w:r>
      <w:r w:rsidR="00556640">
        <w:rPr>
          <w:rFonts w:ascii="Arial" w:hAnsi="Arial" w:cs="Arial"/>
          <w:color w:val="000000"/>
          <w:sz w:val="20"/>
          <w:szCs w:val="20"/>
          <w:lang w:eastAsia="en-AU"/>
        </w:rPr>
        <w:t>ted</w:t>
      </w:r>
      <w:r w:rsidRPr="00F00A4D">
        <w:rPr>
          <w:rFonts w:ascii="Arial" w:hAnsi="Arial" w:cs="Arial"/>
          <w:color w:val="000000"/>
          <w:sz w:val="20"/>
          <w:szCs w:val="20"/>
          <w:lang w:eastAsia="en-AU"/>
        </w:rPr>
        <w:t xml:space="preserve"> </w:t>
      </w:r>
      <w:r w:rsidR="00556640">
        <w:rPr>
          <w:rFonts w:ascii="Arial" w:hAnsi="Arial" w:cs="Arial"/>
          <w:color w:val="000000"/>
          <w:sz w:val="20"/>
          <w:szCs w:val="20"/>
          <w:lang w:eastAsia="en-AU"/>
        </w:rPr>
        <w:t>into older model trucks</w:t>
      </w:r>
      <w:r w:rsidR="00787BA0">
        <w:rPr>
          <w:rFonts w:ascii="Arial" w:hAnsi="Arial" w:cs="Arial"/>
          <w:color w:val="000000"/>
          <w:sz w:val="20"/>
          <w:szCs w:val="20"/>
          <w:lang w:eastAsia="en-AU"/>
        </w:rPr>
        <w:t xml:space="preserve"> and are not available on all new trucks. Again, their rollout across the fleet will depend on the rate that trucking operators purchase new equipment.</w:t>
      </w:r>
    </w:p>
    <w:p w:rsidR="00F00A4D" w:rsidRPr="00F00A4D" w:rsidRDefault="00F00A4D" w:rsidP="006C4555">
      <w:pPr>
        <w:rPr>
          <w:rFonts w:ascii="Arial" w:hAnsi="Arial" w:cs="Arial"/>
          <w:sz w:val="20"/>
          <w:szCs w:val="20"/>
        </w:rPr>
      </w:pPr>
    </w:p>
    <w:p w:rsidR="00F00A4D" w:rsidRPr="00F00A4D" w:rsidRDefault="00F00A4D" w:rsidP="006C4555">
      <w:pPr>
        <w:rPr>
          <w:rFonts w:ascii="Arial" w:hAnsi="Arial" w:cs="Arial"/>
          <w:sz w:val="20"/>
          <w:szCs w:val="20"/>
        </w:rPr>
      </w:pPr>
    </w:p>
    <w:p w:rsidR="00816FE6" w:rsidRPr="0098172D" w:rsidRDefault="008154D1" w:rsidP="00C21856">
      <w:pPr>
        <w:keepNext/>
        <w:rPr>
          <w:rFonts w:ascii="Arial" w:hAnsi="Arial" w:cs="Arial"/>
          <w:i/>
          <w:sz w:val="20"/>
          <w:szCs w:val="20"/>
        </w:rPr>
      </w:pPr>
      <w:r w:rsidRPr="0098172D">
        <w:rPr>
          <w:rFonts w:ascii="Arial" w:hAnsi="Arial" w:cs="Arial"/>
          <w:i/>
          <w:sz w:val="20"/>
          <w:szCs w:val="20"/>
        </w:rPr>
        <w:t>Government policy</w:t>
      </w:r>
    </w:p>
    <w:p w:rsidR="008154D1" w:rsidRDefault="008154D1" w:rsidP="00C21856">
      <w:pPr>
        <w:keepNext/>
      </w:pPr>
    </w:p>
    <w:p w:rsidR="004C254F" w:rsidRDefault="0076525E" w:rsidP="00C21856">
      <w:pPr>
        <w:keepNext/>
        <w:rPr>
          <w:rFonts w:ascii="Arial" w:hAnsi="Arial" w:cs="Arial"/>
          <w:sz w:val="20"/>
          <w:szCs w:val="20"/>
        </w:rPr>
      </w:pPr>
      <w:r w:rsidRPr="0076525E">
        <w:rPr>
          <w:rFonts w:ascii="Arial" w:hAnsi="Arial" w:cs="Arial"/>
          <w:sz w:val="20"/>
          <w:szCs w:val="20"/>
        </w:rPr>
        <w:t>The Australian Government’s</w:t>
      </w:r>
      <w:r>
        <w:rPr>
          <w:rFonts w:ascii="Arial" w:hAnsi="Arial" w:cs="Arial"/>
          <w:sz w:val="20"/>
          <w:szCs w:val="20"/>
        </w:rPr>
        <w:t xml:space="preserve"> policy on the rollout of </w:t>
      </w:r>
      <w:r w:rsidR="008C7A48">
        <w:rPr>
          <w:rFonts w:ascii="Arial" w:hAnsi="Arial" w:cs="Arial"/>
          <w:sz w:val="20"/>
          <w:szCs w:val="20"/>
        </w:rPr>
        <w:t xml:space="preserve">additional truck </w:t>
      </w:r>
      <w:r>
        <w:rPr>
          <w:rFonts w:ascii="Arial" w:hAnsi="Arial" w:cs="Arial"/>
          <w:sz w:val="20"/>
          <w:szCs w:val="20"/>
        </w:rPr>
        <w:t xml:space="preserve">safety </w:t>
      </w:r>
      <w:r w:rsidR="009E773A">
        <w:rPr>
          <w:rFonts w:ascii="Arial" w:hAnsi="Arial" w:cs="Arial"/>
          <w:sz w:val="20"/>
          <w:szCs w:val="20"/>
        </w:rPr>
        <w:t>features</w:t>
      </w:r>
      <w:r>
        <w:rPr>
          <w:rFonts w:ascii="Arial" w:hAnsi="Arial" w:cs="Arial"/>
          <w:sz w:val="20"/>
          <w:szCs w:val="20"/>
        </w:rPr>
        <w:t xml:space="preserve"> is set out in the National Road Safety Strategy 2011-2020, released </w:t>
      </w:r>
      <w:r w:rsidR="004C254F">
        <w:rPr>
          <w:rFonts w:ascii="Arial" w:hAnsi="Arial" w:cs="Arial"/>
          <w:sz w:val="20"/>
          <w:szCs w:val="20"/>
        </w:rPr>
        <w:t>in May 2011</w:t>
      </w:r>
      <w:r w:rsidR="0098172D">
        <w:rPr>
          <w:rFonts w:ascii="Arial" w:hAnsi="Arial" w:cs="Arial"/>
          <w:sz w:val="20"/>
          <w:szCs w:val="20"/>
        </w:rPr>
        <w:t>.</w:t>
      </w:r>
      <w:r w:rsidR="004C254F">
        <w:rPr>
          <w:rStyle w:val="FootnoteReference"/>
          <w:szCs w:val="20"/>
        </w:rPr>
        <w:footnoteReference w:id="12"/>
      </w:r>
      <w:r w:rsidR="004C254F">
        <w:rPr>
          <w:rFonts w:ascii="Arial" w:hAnsi="Arial" w:cs="Arial"/>
          <w:sz w:val="20"/>
          <w:szCs w:val="20"/>
        </w:rPr>
        <w:t xml:space="preserve"> </w:t>
      </w:r>
    </w:p>
    <w:p w:rsidR="0076525E" w:rsidRDefault="0076525E" w:rsidP="006C4555">
      <w:pPr>
        <w:rPr>
          <w:rFonts w:ascii="Arial" w:hAnsi="Arial" w:cs="Arial"/>
          <w:sz w:val="20"/>
          <w:szCs w:val="20"/>
        </w:rPr>
      </w:pPr>
    </w:p>
    <w:p w:rsidR="007B634C" w:rsidRDefault="007B634C" w:rsidP="006C4555">
      <w:pPr>
        <w:rPr>
          <w:rFonts w:ascii="Arial" w:hAnsi="Arial" w:cs="Arial"/>
          <w:sz w:val="20"/>
          <w:szCs w:val="20"/>
        </w:rPr>
      </w:pPr>
      <w:r>
        <w:rPr>
          <w:rFonts w:ascii="Arial" w:hAnsi="Arial" w:cs="Arial"/>
          <w:sz w:val="20"/>
          <w:szCs w:val="20"/>
        </w:rPr>
        <w:t xml:space="preserve">The strategy aims to achieve a reduction in the average fleet age in Australia, and a substantial increase in the proportion of heavy vehicles with advanced braking systems and other safety technologies. </w:t>
      </w:r>
    </w:p>
    <w:p w:rsidR="007B634C" w:rsidRDefault="007B634C" w:rsidP="006C4555">
      <w:pPr>
        <w:rPr>
          <w:rFonts w:ascii="Arial" w:hAnsi="Arial" w:cs="Arial"/>
          <w:sz w:val="20"/>
          <w:szCs w:val="20"/>
        </w:rPr>
      </w:pPr>
    </w:p>
    <w:p w:rsidR="0098172D" w:rsidRDefault="007B634C" w:rsidP="006C4555">
      <w:pPr>
        <w:rPr>
          <w:rFonts w:ascii="Arial" w:hAnsi="Arial" w:cs="Arial"/>
          <w:sz w:val="20"/>
          <w:szCs w:val="20"/>
        </w:rPr>
      </w:pPr>
      <w:r>
        <w:rPr>
          <w:rFonts w:ascii="Arial" w:hAnsi="Arial" w:cs="Arial"/>
          <w:sz w:val="20"/>
          <w:szCs w:val="20"/>
        </w:rPr>
        <w:t>In the years to 2014, this is to include mandating ABS/load proportioning brake systems for heavy vehicles and trailers, and considering regulatory impact statements for increased heavy vehicle cabin strength, ESC and lane departure warning systems.</w:t>
      </w:r>
      <w:r w:rsidRPr="007B634C">
        <w:rPr>
          <w:rStyle w:val="FootnoteReference"/>
          <w:szCs w:val="20"/>
        </w:rPr>
        <w:t xml:space="preserve"> </w:t>
      </w:r>
    </w:p>
    <w:p w:rsidR="0098172D" w:rsidRDefault="0098172D" w:rsidP="006C4555">
      <w:pPr>
        <w:rPr>
          <w:rFonts w:ascii="Arial" w:hAnsi="Arial" w:cs="Arial"/>
          <w:sz w:val="20"/>
          <w:szCs w:val="20"/>
        </w:rPr>
      </w:pPr>
    </w:p>
    <w:p w:rsidR="009E773A" w:rsidRDefault="009E773A" w:rsidP="006C4555">
      <w:pPr>
        <w:rPr>
          <w:rFonts w:ascii="Arial" w:hAnsi="Arial" w:cs="Arial"/>
          <w:sz w:val="20"/>
          <w:szCs w:val="20"/>
        </w:rPr>
      </w:pPr>
      <w:r>
        <w:rPr>
          <w:rFonts w:ascii="Arial" w:hAnsi="Arial" w:cs="Arial"/>
          <w:sz w:val="20"/>
          <w:szCs w:val="20"/>
        </w:rPr>
        <w:t xml:space="preserve">The strategy commits the Government to investigate incentives relating to vehicle purchases (including tax based incentives) and </w:t>
      </w:r>
      <w:r w:rsidR="009E78EF">
        <w:rPr>
          <w:rFonts w:ascii="Arial" w:hAnsi="Arial" w:cs="Arial"/>
          <w:sz w:val="20"/>
          <w:szCs w:val="20"/>
        </w:rPr>
        <w:t xml:space="preserve">to </w:t>
      </w:r>
      <w:r>
        <w:rPr>
          <w:rFonts w:ascii="Arial" w:hAnsi="Arial" w:cs="Arial"/>
          <w:sz w:val="20"/>
          <w:szCs w:val="20"/>
        </w:rPr>
        <w:t xml:space="preserve">promote options </w:t>
      </w:r>
      <w:r w:rsidR="009E78EF">
        <w:rPr>
          <w:rFonts w:ascii="Arial" w:hAnsi="Arial" w:cs="Arial"/>
          <w:sz w:val="20"/>
          <w:szCs w:val="20"/>
        </w:rPr>
        <w:t xml:space="preserve">that </w:t>
      </w:r>
      <w:r>
        <w:rPr>
          <w:rFonts w:ascii="Arial" w:hAnsi="Arial" w:cs="Arial"/>
          <w:sz w:val="20"/>
          <w:szCs w:val="20"/>
        </w:rPr>
        <w:t>encourage the purchase of safer vehicles and greater turnover of the vehicle fleet.</w:t>
      </w:r>
      <w:r>
        <w:rPr>
          <w:rStyle w:val="FootnoteReference"/>
          <w:szCs w:val="20"/>
        </w:rPr>
        <w:footnoteReference w:id="13"/>
      </w:r>
    </w:p>
    <w:p w:rsidR="009E773A" w:rsidRDefault="009E773A" w:rsidP="006C4555">
      <w:pPr>
        <w:rPr>
          <w:rFonts w:ascii="Arial" w:hAnsi="Arial" w:cs="Arial"/>
          <w:sz w:val="20"/>
          <w:szCs w:val="20"/>
        </w:rPr>
      </w:pPr>
    </w:p>
    <w:p w:rsidR="0016061B" w:rsidRDefault="0016061B" w:rsidP="006C4555">
      <w:pPr>
        <w:rPr>
          <w:rFonts w:ascii="Arial" w:hAnsi="Arial" w:cs="Arial"/>
          <w:sz w:val="20"/>
          <w:szCs w:val="20"/>
        </w:rPr>
      </w:pPr>
    </w:p>
    <w:p w:rsidR="008154D1" w:rsidRDefault="006C4555" w:rsidP="006E0763">
      <w:pPr>
        <w:pStyle w:val="Heading2"/>
        <w:rPr>
          <w:lang w:val="en-US"/>
        </w:rPr>
      </w:pPr>
      <w:bookmarkStart w:id="14" w:name="_Toc336331471"/>
      <w:r>
        <w:rPr>
          <w:lang w:val="en-US"/>
        </w:rPr>
        <w:lastRenderedPageBreak/>
        <w:t>E</w:t>
      </w:r>
      <w:r w:rsidR="002F11D4">
        <w:rPr>
          <w:lang w:val="en-US"/>
        </w:rPr>
        <w:t>mission</w:t>
      </w:r>
      <w:r w:rsidR="007B634C">
        <w:rPr>
          <w:lang w:val="en-US"/>
        </w:rPr>
        <w:t xml:space="preserve"> standards</w:t>
      </w:r>
      <w:bookmarkEnd w:id="14"/>
    </w:p>
    <w:p w:rsidR="007B634C" w:rsidRDefault="007B634C" w:rsidP="000A4B60">
      <w:pPr>
        <w:pStyle w:val="Standard"/>
        <w:keepNext/>
        <w:rPr>
          <w:rFonts w:ascii="Arial" w:hAnsi="Arial" w:cs="Arial"/>
          <w:b/>
          <w:sz w:val="20"/>
          <w:szCs w:val="20"/>
          <w:lang w:val="en-US"/>
        </w:rPr>
      </w:pPr>
    </w:p>
    <w:p w:rsidR="002F11D4" w:rsidRPr="002F11D4" w:rsidRDefault="002F11D4" w:rsidP="000A4B60">
      <w:pPr>
        <w:pStyle w:val="Standard"/>
        <w:keepNext/>
        <w:rPr>
          <w:rFonts w:ascii="Arial" w:hAnsi="Arial" w:cs="Arial"/>
          <w:i/>
          <w:sz w:val="20"/>
          <w:szCs w:val="20"/>
          <w:lang w:val="en-US"/>
        </w:rPr>
      </w:pPr>
      <w:r w:rsidRPr="002F11D4">
        <w:rPr>
          <w:rFonts w:ascii="Arial" w:hAnsi="Arial" w:cs="Arial"/>
          <w:i/>
          <w:sz w:val="20"/>
          <w:szCs w:val="20"/>
          <w:lang w:val="en-US"/>
        </w:rPr>
        <w:t xml:space="preserve">Impact of </w:t>
      </w:r>
      <w:r w:rsidR="00712529">
        <w:rPr>
          <w:rFonts w:ascii="Arial" w:hAnsi="Arial" w:cs="Arial"/>
          <w:i/>
          <w:sz w:val="20"/>
          <w:szCs w:val="20"/>
          <w:lang w:val="en-US"/>
        </w:rPr>
        <w:t xml:space="preserve">vehicle emissions </w:t>
      </w:r>
      <w:r w:rsidRPr="002F11D4">
        <w:rPr>
          <w:rFonts w:ascii="Arial" w:hAnsi="Arial" w:cs="Arial"/>
          <w:i/>
          <w:sz w:val="20"/>
          <w:szCs w:val="20"/>
          <w:lang w:val="en-US"/>
        </w:rPr>
        <w:t>on health</w:t>
      </w:r>
    </w:p>
    <w:p w:rsidR="002F11D4" w:rsidRDefault="002F11D4" w:rsidP="000A4B60">
      <w:pPr>
        <w:pStyle w:val="Standard"/>
        <w:keepNext/>
        <w:rPr>
          <w:rFonts w:ascii="Arial" w:hAnsi="Arial" w:cs="Arial"/>
          <w:sz w:val="20"/>
          <w:szCs w:val="20"/>
          <w:lang w:val="en-US"/>
        </w:rPr>
      </w:pPr>
    </w:p>
    <w:p w:rsidR="00712529" w:rsidRDefault="002F11D4" w:rsidP="000A4B60">
      <w:pPr>
        <w:pStyle w:val="Standard"/>
        <w:keepNext/>
        <w:rPr>
          <w:rFonts w:ascii="Arial" w:hAnsi="Arial" w:cs="Arial"/>
          <w:sz w:val="20"/>
          <w:szCs w:val="20"/>
          <w:lang w:val="en-US"/>
        </w:rPr>
      </w:pPr>
      <w:r>
        <w:rPr>
          <w:rFonts w:ascii="Arial" w:hAnsi="Arial" w:cs="Arial"/>
          <w:sz w:val="20"/>
          <w:szCs w:val="20"/>
          <w:lang w:val="en-US"/>
        </w:rPr>
        <w:t xml:space="preserve">The impact of </w:t>
      </w:r>
      <w:r w:rsidR="00712529">
        <w:rPr>
          <w:rFonts w:ascii="Arial" w:hAnsi="Arial" w:cs="Arial"/>
          <w:sz w:val="20"/>
          <w:szCs w:val="20"/>
          <w:lang w:val="en-US"/>
        </w:rPr>
        <w:t xml:space="preserve">vehicle </w:t>
      </w:r>
      <w:r>
        <w:rPr>
          <w:rFonts w:ascii="Arial" w:hAnsi="Arial" w:cs="Arial"/>
          <w:sz w:val="20"/>
          <w:szCs w:val="20"/>
          <w:lang w:val="en-US"/>
        </w:rPr>
        <w:t>emissions on h</w:t>
      </w:r>
      <w:r w:rsidR="007A4CEB">
        <w:rPr>
          <w:rFonts w:ascii="Arial" w:hAnsi="Arial" w:cs="Arial"/>
          <w:sz w:val="20"/>
          <w:szCs w:val="20"/>
          <w:lang w:val="en-US"/>
        </w:rPr>
        <w:t xml:space="preserve">ealth has been well established. </w:t>
      </w:r>
      <w:r w:rsidR="002326E5">
        <w:rPr>
          <w:rFonts w:ascii="Arial" w:hAnsi="Arial" w:cs="Arial"/>
          <w:sz w:val="20"/>
          <w:szCs w:val="20"/>
          <w:lang w:val="en-US"/>
        </w:rPr>
        <w:t xml:space="preserve">In 2005, the former </w:t>
      </w:r>
      <w:r w:rsidR="007A4CEB">
        <w:rPr>
          <w:rFonts w:ascii="Arial" w:hAnsi="Arial" w:cs="Arial"/>
          <w:sz w:val="20"/>
          <w:szCs w:val="20"/>
          <w:lang w:val="en-US"/>
        </w:rPr>
        <w:t xml:space="preserve">BTRE examined a series of international studies </w:t>
      </w:r>
      <w:r w:rsidR="002326E5">
        <w:rPr>
          <w:rFonts w:ascii="Arial" w:hAnsi="Arial" w:cs="Arial"/>
          <w:sz w:val="20"/>
          <w:szCs w:val="20"/>
          <w:lang w:val="en-US"/>
        </w:rPr>
        <w:t>and pointed out that</w:t>
      </w:r>
      <w:r w:rsidR="007A4CEB">
        <w:rPr>
          <w:rFonts w:ascii="Arial" w:hAnsi="Arial" w:cs="Arial"/>
          <w:sz w:val="20"/>
          <w:szCs w:val="20"/>
          <w:lang w:val="en-US"/>
        </w:rPr>
        <w:t>:</w:t>
      </w:r>
    </w:p>
    <w:p w:rsidR="00712529" w:rsidRDefault="00712529" w:rsidP="006C4555">
      <w:pPr>
        <w:pStyle w:val="Standard"/>
        <w:rPr>
          <w:rFonts w:ascii="Arial" w:hAnsi="Arial" w:cs="Arial"/>
          <w:sz w:val="20"/>
          <w:szCs w:val="20"/>
          <w:lang w:val="en-US"/>
        </w:rPr>
      </w:pPr>
    </w:p>
    <w:p w:rsidR="00712529" w:rsidRDefault="00712529" w:rsidP="00AE232A">
      <w:pPr>
        <w:pStyle w:val="Standard"/>
        <w:numPr>
          <w:ilvl w:val="0"/>
          <w:numId w:val="9"/>
        </w:numPr>
        <w:rPr>
          <w:rFonts w:ascii="Arial" w:hAnsi="Arial" w:cs="Arial"/>
          <w:sz w:val="20"/>
          <w:szCs w:val="20"/>
          <w:lang w:val="en-US"/>
        </w:rPr>
      </w:pPr>
      <w:r w:rsidRPr="00A5343B">
        <w:rPr>
          <w:rFonts w:ascii="Arial" w:hAnsi="Arial" w:cs="Arial"/>
          <w:b/>
          <w:sz w:val="20"/>
          <w:szCs w:val="20"/>
          <w:lang w:val="en-US"/>
        </w:rPr>
        <w:t>carbon monoxide</w:t>
      </w:r>
      <w:r w:rsidRPr="00712529">
        <w:rPr>
          <w:rFonts w:ascii="Arial" w:hAnsi="Arial" w:cs="Arial"/>
          <w:sz w:val="20"/>
          <w:szCs w:val="20"/>
          <w:lang w:val="en-US"/>
        </w:rPr>
        <w:t xml:space="preserve"> reduces the amount of oxygen carried by the blood</w:t>
      </w:r>
      <w:r>
        <w:rPr>
          <w:rFonts w:ascii="Arial" w:hAnsi="Arial" w:cs="Arial"/>
          <w:sz w:val="20"/>
          <w:szCs w:val="20"/>
          <w:lang w:val="en-US"/>
        </w:rPr>
        <w:t>, and roads with heavy traffic can generate carbon monoxide levels high enough to cause cardiov</w:t>
      </w:r>
      <w:r w:rsidR="009E773A">
        <w:rPr>
          <w:rFonts w:ascii="Arial" w:hAnsi="Arial" w:cs="Arial"/>
          <w:sz w:val="20"/>
          <w:szCs w:val="20"/>
          <w:lang w:val="en-US"/>
        </w:rPr>
        <w:t>ascular and behavioural effects</w:t>
      </w:r>
    </w:p>
    <w:p w:rsidR="00712529" w:rsidRPr="00712529" w:rsidRDefault="00712529" w:rsidP="00AE232A">
      <w:pPr>
        <w:pStyle w:val="ListParagraph"/>
        <w:numPr>
          <w:ilvl w:val="0"/>
          <w:numId w:val="9"/>
        </w:numPr>
        <w:autoSpaceDE w:val="0"/>
        <w:autoSpaceDN w:val="0"/>
        <w:adjustRightInd w:val="0"/>
        <w:spacing w:after="0" w:line="240" w:lineRule="auto"/>
        <w:rPr>
          <w:rFonts w:ascii="Arial" w:hAnsi="Arial" w:cs="Arial"/>
          <w:sz w:val="20"/>
          <w:szCs w:val="20"/>
          <w:lang w:eastAsia="en-AU"/>
        </w:rPr>
      </w:pPr>
      <w:r w:rsidRPr="00A5343B">
        <w:rPr>
          <w:rFonts w:ascii="Arial" w:hAnsi="Arial" w:cs="Arial"/>
          <w:b/>
          <w:sz w:val="20"/>
          <w:szCs w:val="20"/>
          <w:lang w:val="en-US"/>
        </w:rPr>
        <w:t>nitrogen dioxide</w:t>
      </w:r>
      <w:r w:rsidRPr="00712529">
        <w:rPr>
          <w:rFonts w:ascii="Arial" w:hAnsi="Arial" w:cs="Arial"/>
          <w:sz w:val="20"/>
          <w:szCs w:val="20"/>
          <w:lang w:val="en-US"/>
        </w:rPr>
        <w:t xml:space="preserve"> – the cause of the smog </w:t>
      </w:r>
      <w:r w:rsidR="009E773A">
        <w:rPr>
          <w:rFonts w:ascii="Arial" w:hAnsi="Arial" w:cs="Arial"/>
          <w:sz w:val="20"/>
          <w:szCs w:val="20"/>
          <w:lang w:val="en-US"/>
        </w:rPr>
        <w:t>in Australia’s capital cities –</w:t>
      </w:r>
      <w:r w:rsidRPr="00712529">
        <w:rPr>
          <w:rFonts w:ascii="Arial" w:hAnsi="Arial" w:cs="Arial"/>
          <w:sz w:val="20"/>
          <w:szCs w:val="20"/>
          <w:lang w:val="en-US"/>
        </w:rPr>
        <w:t xml:space="preserve"> </w:t>
      </w:r>
      <w:r w:rsidRPr="00712529">
        <w:rPr>
          <w:rFonts w:ascii="Arial" w:hAnsi="Arial" w:cs="Arial"/>
          <w:sz w:val="20"/>
          <w:szCs w:val="20"/>
          <w:lang w:eastAsia="en-AU"/>
        </w:rPr>
        <w:t>may increase susceptibility to infection and worsen</w:t>
      </w:r>
      <w:r w:rsidR="009E773A">
        <w:rPr>
          <w:rFonts w:ascii="Arial" w:hAnsi="Arial" w:cs="Arial"/>
          <w:sz w:val="20"/>
          <w:szCs w:val="20"/>
          <w:lang w:eastAsia="en-AU"/>
        </w:rPr>
        <w:t xml:space="preserve"> asthma symptoms</w:t>
      </w:r>
    </w:p>
    <w:p w:rsidR="00712529" w:rsidRPr="00D266A2" w:rsidRDefault="00712529" w:rsidP="006C4555">
      <w:pPr>
        <w:pStyle w:val="ListParagraph"/>
        <w:numPr>
          <w:ilvl w:val="0"/>
          <w:numId w:val="9"/>
        </w:numPr>
        <w:autoSpaceDE w:val="0"/>
        <w:autoSpaceDN w:val="0"/>
        <w:adjustRightInd w:val="0"/>
        <w:spacing w:after="0" w:line="240" w:lineRule="auto"/>
        <w:rPr>
          <w:rFonts w:ascii="Arial" w:hAnsi="Arial" w:cs="Arial"/>
          <w:sz w:val="20"/>
          <w:szCs w:val="20"/>
          <w:lang w:val="en-US"/>
        </w:rPr>
      </w:pPr>
      <w:r w:rsidRPr="00D266A2">
        <w:rPr>
          <w:rFonts w:ascii="Arial" w:hAnsi="Arial" w:cs="Arial"/>
          <w:b/>
          <w:sz w:val="20"/>
          <w:szCs w:val="20"/>
          <w:lang w:eastAsia="en-AU"/>
        </w:rPr>
        <w:t>particulate matter</w:t>
      </w:r>
      <w:r w:rsidRPr="00D266A2">
        <w:rPr>
          <w:rFonts w:ascii="Arial" w:hAnsi="Arial" w:cs="Arial"/>
          <w:sz w:val="20"/>
          <w:szCs w:val="20"/>
          <w:lang w:eastAsia="en-AU"/>
        </w:rPr>
        <w:t xml:space="preserve"> </w:t>
      </w:r>
      <w:r w:rsidR="00931BF6" w:rsidRPr="00D266A2">
        <w:rPr>
          <w:rFonts w:ascii="Arial" w:hAnsi="Arial" w:cs="Arial"/>
          <w:sz w:val="20"/>
          <w:szCs w:val="20"/>
          <w:lang w:eastAsia="en-AU"/>
        </w:rPr>
        <w:t>has</w:t>
      </w:r>
      <w:r w:rsidRPr="00D266A2">
        <w:rPr>
          <w:rFonts w:ascii="Arial" w:hAnsi="Arial" w:cs="Arial"/>
          <w:sz w:val="20"/>
          <w:szCs w:val="20"/>
          <w:lang w:eastAsia="en-AU"/>
        </w:rPr>
        <w:t xml:space="preserve"> significant health impacts, including asthma and the increased risk of premature mortality, especially in the very young and the elderly.</w:t>
      </w:r>
      <w:r w:rsidR="002326E5">
        <w:rPr>
          <w:rStyle w:val="FootnoteReference"/>
          <w:szCs w:val="20"/>
          <w:lang w:eastAsia="en-AU"/>
        </w:rPr>
        <w:footnoteReference w:id="14"/>
      </w:r>
      <w:r w:rsidR="000A4B60" w:rsidRPr="00D266A2">
        <w:rPr>
          <w:rFonts w:ascii="Arial" w:hAnsi="Arial" w:cs="Arial"/>
          <w:sz w:val="20"/>
          <w:szCs w:val="20"/>
          <w:lang w:eastAsia="en-AU"/>
        </w:rPr>
        <w:t xml:space="preserve"> </w:t>
      </w:r>
    </w:p>
    <w:p w:rsidR="00D266A2" w:rsidRPr="00D266A2" w:rsidRDefault="00D266A2" w:rsidP="00D266A2">
      <w:pPr>
        <w:autoSpaceDE w:val="0"/>
        <w:autoSpaceDN w:val="0"/>
        <w:adjustRightInd w:val="0"/>
        <w:rPr>
          <w:rFonts w:ascii="Arial" w:hAnsi="Arial" w:cs="Arial"/>
          <w:sz w:val="20"/>
          <w:szCs w:val="20"/>
          <w:lang w:val="en-US"/>
        </w:rPr>
      </w:pPr>
    </w:p>
    <w:p w:rsidR="00287A76" w:rsidRDefault="002326E5" w:rsidP="006C4555">
      <w:pPr>
        <w:pStyle w:val="Standard"/>
        <w:rPr>
          <w:rFonts w:ascii="Arial" w:hAnsi="Arial" w:cs="Arial"/>
          <w:sz w:val="20"/>
          <w:szCs w:val="20"/>
          <w:lang w:val="en-US"/>
        </w:rPr>
      </w:pPr>
      <w:r>
        <w:rPr>
          <w:rFonts w:ascii="Arial" w:hAnsi="Arial" w:cs="Arial"/>
          <w:sz w:val="20"/>
          <w:szCs w:val="20"/>
          <w:lang w:val="en-US"/>
        </w:rPr>
        <w:t xml:space="preserve">The </w:t>
      </w:r>
      <w:r w:rsidR="000A4B60">
        <w:rPr>
          <w:rFonts w:ascii="Arial" w:hAnsi="Arial" w:cs="Arial"/>
          <w:sz w:val="20"/>
          <w:szCs w:val="20"/>
          <w:lang w:val="en-US"/>
        </w:rPr>
        <w:t>BTRE</w:t>
      </w:r>
      <w:r>
        <w:rPr>
          <w:rFonts w:ascii="Arial" w:hAnsi="Arial" w:cs="Arial"/>
          <w:sz w:val="20"/>
          <w:szCs w:val="20"/>
          <w:lang w:val="en-US"/>
        </w:rPr>
        <w:t xml:space="preserve"> </w:t>
      </w:r>
      <w:r w:rsidR="00287A76">
        <w:rPr>
          <w:rFonts w:ascii="Arial" w:hAnsi="Arial" w:cs="Arial"/>
          <w:sz w:val="20"/>
          <w:szCs w:val="20"/>
          <w:lang w:val="en-US"/>
        </w:rPr>
        <w:t xml:space="preserve">estimated that motor traffic pollution </w:t>
      </w:r>
      <w:r w:rsidR="000A4B60">
        <w:rPr>
          <w:rFonts w:ascii="Arial" w:hAnsi="Arial" w:cs="Arial"/>
          <w:sz w:val="20"/>
          <w:szCs w:val="20"/>
          <w:lang w:val="en-US"/>
        </w:rPr>
        <w:t>was</w:t>
      </w:r>
      <w:r>
        <w:rPr>
          <w:rFonts w:ascii="Arial" w:hAnsi="Arial" w:cs="Arial"/>
          <w:sz w:val="20"/>
          <w:szCs w:val="20"/>
          <w:lang w:val="en-US"/>
        </w:rPr>
        <w:t xml:space="preserve"> responsible for 900-2</w:t>
      </w:r>
      <w:r w:rsidR="00D26B30">
        <w:rPr>
          <w:rFonts w:ascii="Arial" w:hAnsi="Arial" w:cs="Arial"/>
          <w:sz w:val="20"/>
          <w:szCs w:val="20"/>
          <w:lang w:val="en-US"/>
        </w:rPr>
        <w:t>,</w:t>
      </w:r>
      <w:r>
        <w:rPr>
          <w:rFonts w:ascii="Arial" w:hAnsi="Arial" w:cs="Arial"/>
          <w:sz w:val="20"/>
          <w:szCs w:val="20"/>
          <w:lang w:val="en-US"/>
        </w:rPr>
        <w:t>000 premature deaths each year, 900-4</w:t>
      </w:r>
      <w:r w:rsidR="00D26B30">
        <w:rPr>
          <w:rFonts w:ascii="Arial" w:hAnsi="Arial" w:cs="Arial"/>
          <w:sz w:val="20"/>
          <w:szCs w:val="20"/>
          <w:lang w:val="en-US"/>
        </w:rPr>
        <w:t>,</w:t>
      </w:r>
      <w:r>
        <w:rPr>
          <w:rFonts w:ascii="Arial" w:hAnsi="Arial" w:cs="Arial"/>
          <w:sz w:val="20"/>
          <w:szCs w:val="20"/>
          <w:lang w:val="en-US"/>
        </w:rPr>
        <w:t>500 hospital admissions and 1</w:t>
      </w:r>
      <w:r w:rsidR="00D26B30">
        <w:rPr>
          <w:rFonts w:ascii="Arial" w:hAnsi="Arial" w:cs="Arial"/>
          <w:sz w:val="20"/>
          <w:szCs w:val="20"/>
          <w:lang w:val="en-US"/>
        </w:rPr>
        <w:t>,</w:t>
      </w:r>
      <w:r>
        <w:rPr>
          <w:rFonts w:ascii="Arial" w:hAnsi="Arial" w:cs="Arial"/>
          <w:sz w:val="20"/>
          <w:szCs w:val="20"/>
          <w:lang w:val="en-US"/>
        </w:rPr>
        <w:t>400-2</w:t>
      </w:r>
      <w:r w:rsidR="00D26B30">
        <w:rPr>
          <w:rFonts w:ascii="Arial" w:hAnsi="Arial" w:cs="Arial"/>
          <w:sz w:val="20"/>
          <w:szCs w:val="20"/>
          <w:lang w:val="en-US"/>
        </w:rPr>
        <w:t>,</w:t>
      </w:r>
      <w:r>
        <w:rPr>
          <w:rFonts w:ascii="Arial" w:hAnsi="Arial" w:cs="Arial"/>
          <w:sz w:val="20"/>
          <w:szCs w:val="20"/>
          <w:lang w:val="en-US"/>
        </w:rPr>
        <w:t xml:space="preserve">000 asthma attacks, with a total economic cost of </w:t>
      </w:r>
      <w:r w:rsidR="00287A76">
        <w:rPr>
          <w:rFonts w:ascii="Arial" w:hAnsi="Arial" w:cs="Arial"/>
          <w:sz w:val="20"/>
          <w:szCs w:val="20"/>
          <w:lang w:val="en-US"/>
        </w:rPr>
        <w:t>$2.7 billion</w:t>
      </w:r>
      <w:r w:rsidR="00EE3912">
        <w:rPr>
          <w:rFonts w:ascii="Arial" w:hAnsi="Arial" w:cs="Arial"/>
          <w:sz w:val="20"/>
          <w:szCs w:val="20"/>
          <w:lang w:val="en-US"/>
        </w:rPr>
        <w:t xml:space="preserve"> per year</w:t>
      </w:r>
      <w:r w:rsidR="00287A76">
        <w:rPr>
          <w:rFonts w:ascii="Arial" w:hAnsi="Arial" w:cs="Arial"/>
          <w:sz w:val="20"/>
          <w:szCs w:val="20"/>
          <w:lang w:val="en-US"/>
        </w:rPr>
        <w:t>.</w:t>
      </w:r>
      <w:r>
        <w:rPr>
          <w:rStyle w:val="FootnoteReference"/>
          <w:szCs w:val="20"/>
          <w:lang w:val="en-US"/>
        </w:rPr>
        <w:footnoteReference w:id="15"/>
      </w:r>
    </w:p>
    <w:p w:rsidR="00287A76" w:rsidRDefault="00287A76" w:rsidP="006C4555">
      <w:pPr>
        <w:pStyle w:val="Standard"/>
        <w:rPr>
          <w:rFonts w:ascii="Arial" w:hAnsi="Arial" w:cs="Arial"/>
          <w:sz w:val="20"/>
          <w:szCs w:val="20"/>
          <w:lang w:val="en-US"/>
        </w:rPr>
      </w:pPr>
    </w:p>
    <w:p w:rsidR="00287A76" w:rsidRDefault="00287A76" w:rsidP="006C4555">
      <w:pPr>
        <w:pStyle w:val="Standard"/>
        <w:rPr>
          <w:rFonts w:ascii="Arial" w:hAnsi="Arial" w:cs="Arial"/>
          <w:i/>
          <w:sz w:val="20"/>
          <w:szCs w:val="20"/>
          <w:lang w:val="en-US"/>
        </w:rPr>
      </w:pPr>
    </w:p>
    <w:p w:rsidR="007B634C" w:rsidRDefault="007B634C" w:rsidP="00894558">
      <w:pPr>
        <w:pStyle w:val="Standard"/>
        <w:keepNext/>
        <w:rPr>
          <w:rFonts w:ascii="Arial" w:hAnsi="Arial" w:cs="Arial"/>
          <w:sz w:val="20"/>
          <w:szCs w:val="20"/>
          <w:lang w:val="en-US"/>
        </w:rPr>
      </w:pPr>
      <w:r w:rsidRPr="007B634C">
        <w:rPr>
          <w:rFonts w:ascii="Arial" w:hAnsi="Arial" w:cs="Arial"/>
          <w:i/>
          <w:sz w:val="20"/>
          <w:szCs w:val="20"/>
          <w:lang w:val="en-US"/>
        </w:rPr>
        <w:t>Emission controls implemented through the ADRs</w:t>
      </w:r>
    </w:p>
    <w:p w:rsidR="007B634C" w:rsidRDefault="007B634C" w:rsidP="00894558">
      <w:pPr>
        <w:pStyle w:val="Standard"/>
        <w:keepNext/>
        <w:rPr>
          <w:rFonts w:ascii="Arial" w:hAnsi="Arial" w:cs="Arial"/>
          <w:sz w:val="20"/>
          <w:szCs w:val="20"/>
          <w:lang w:val="en-US"/>
        </w:rPr>
      </w:pPr>
    </w:p>
    <w:p w:rsidR="00E1618D" w:rsidRDefault="00810DF7" w:rsidP="00894558">
      <w:pPr>
        <w:pStyle w:val="Standard"/>
        <w:keepNext/>
        <w:rPr>
          <w:rFonts w:ascii="Arial" w:hAnsi="Arial" w:cs="Arial"/>
          <w:sz w:val="20"/>
          <w:szCs w:val="20"/>
          <w:lang w:val="en-US"/>
        </w:rPr>
      </w:pPr>
      <w:r>
        <w:rPr>
          <w:rFonts w:ascii="Arial" w:hAnsi="Arial" w:cs="Arial"/>
          <w:sz w:val="20"/>
          <w:szCs w:val="20"/>
          <w:lang w:val="en-US"/>
        </w:rPr>
        <w:t xml:space="preserve">To mitigate the health impacts of motor vehicle pollution, a series of </w:t>
      </w:r>
      <w:r w:rsidR="009A04B7">
        <w:rPr>
          <w:rFonts w:ascii="Arial" w:hAnsi="Arial" w:cs="Arial"/>
          <w:sz w:val="20"/>
          <w:szCs w:val="20"/>
          <w:lang w:val="en-US"/>
        </w:rPr>
        <w:t xml:space="preserve">four </w:t>
      </w:r>
      <w:r>
        <w:rPr>
          <w:rFonts w:ascii="Arial" w:hAnsi="Arial" w:cs="Arial"/>
          <w:sz w:val="20"/>
          <w:szCs w:val="20"/>
          <w:lang w:val="en-US"/>
        </w:rPr>
        <w:t xml:space="preserve">ADRs </w:t>
      </w:r>
      <w:r w:rsidR="00D07AB7">
        <w:rPr>
          <w:rFonts w:ascii="Arial" w:hAnsi="Arial" w:cs="Arial"/>
          <w:sz w:val="20"/>
          <w:szCs w:val="20"/>
          <w:lang w:val="en-US"/>
        </w:rPr>
        <w:t>(70/00, 80/00,</w:t>
      </w:r>
      <w:r w:rsidR="009A04B7">
        <w:rPr>
          <w:rFonts w:ascii="Arial" w:hAnsi="Arial" w:cs="Arial"/>
          <w:sz w:val="20"/>
          <w:szCs w:val="20"/>
          <w:lang w:val="en-US"/>
        </w:rPr>
        <w:t xml:space="preserve"> 80/02 and 80/03) </w:t>
      </w:r>
      <w:r>
        <w:rPr>
          <w:rFonts w:ascii="Arial" w:hAnsi="Arial" w:cs="Arial"/>
          <w:sz w:val="20"/>
          <w:szCs w:val="20"/>
          <w:lang w:val="en-US"/>
        </w:rPr>
        <w:t>have imposed increasingly stringent standards on the emissions of carbon monoxide</w:t>
      </w:r>
      <w:r w:rsidR="004E5F08">
        <w:rPr>
          <w:rFonts w:ascii="Arial" w:hAnsi="Arial" w:cs="Arial"/>
          <w:sz w:val="20"/>
          <w:szCs w:val="20"/>
          <w:lang w:val="en-US"/>
        </w:rPr>
        <w:t xml:space="preserve"> (CO)</w:t>
      </w:r>
      <w:r>
        <w:rPr>
          <w:rFonts w:ascii="Arial" w:hAnsi="Arial" w:cs="Arial"/>
          <w:sz w:val="20"/>
          <w:szCs w:val="20"/>
          <w:lang w:val="en-US"/>
        </w:rPr>
        <w:t>, hydrocarbon</w:t>
      </w:r>
      <w:r w:rsidR="004E5F08">
        <w:rPr>
          <w:rFonts w:ascii="Arial" w:hAnsi="Arial" w:cs="Arial"/>
          <w:sz w:val="20"/>
          <w:szCs w:val="20"/>
          <w:lang w:val="en-US"/>
        </w:rPr>
        <w:t>s (HC)</w:t>
      </w:r>
      <w:r>
        <w:rPr>
          <w:rFonts w:ascii="Arial" w:hAnsi="Arial" w:cs="Arial"/>
          <w:sz w:val="20"/>
          <w:szCs w:val="20"/>
          <w:lang w:val="en-US"/>
        </w:rPr>
        <w:t>, nitrogen oxide</w:t>
      </w:r>
      <w:r w:rsidR="005C7654">
        <w:rPr>
          <w:rFonts w:ascii="Arial" w:hAnsi="Arial" w:cs="Arial"/>
          <w:sz w:val="20"/>
          <w:szCs w:val="20"/>
          <w:lang w:val="en-US"/>
        </w:rPr>
        <w:t>s</w:t>
      </w:r>
      <w:r w:rsidR="00460687">
        <w:rPr>
          <w:rFonts w:ascii="Arial" w:hAnsi="Arial" w:cs="Arial"/>
          <w:sz w:val="20"/>
          <w:szCs w:val="20"/>
          <w:lang w:val="en-US"/>
        </w:rPr>
        <w:t xml:space="preserve"> </w:t>
      </w:r>
      <w:r w:rsidR="00250913">
        <w:rPr>
          <w:rFonts w:ascii="Arial" w:hAnsi="Arial" w:cs="Arial"/>
          <w:sz w:val="20"/>
          <w:szCs w:val="20"/>
          <w:lang w:val="en-US"/>
        </w:rPr>
        <w:t>(</w:t>
      </w:r>
      <w:r w:rsidR="00250913" w:rsidRPr="00250913">
        <w:rPr>
          <w:rFonts w:ascii="Arial" w:hAnsi="Arial" w:cs="Arial"/>
          <w:sz w:val="20"/>
          <w:szCs w:val="20"/>
          <w:lang w:val="en-US"/>
        </w:rPr>
        <w:t>NO</w:t>
      </w:r>
      <w:r w:rsidR="00250913" w:rsidRPr="00250913">
        <w:rPr>
          <w:rFonts w:ascii="Arial" w:hAnsi="Arial" w:cs="Arial"/>
          <w:sz w:val="20"/>
          <w:szCs w:val="20"/>
          <w:vertAlign w:val="subscript"/>
          <w:lang w:val="en-US"/>
        </w:rPr>
        <w:t>x</w:t>
      </w:r>
      <w:r w:rsidR="00250913">
        <w:rPr>
          <w:rFonts w:ascii="Arial" w:hAnsi="Arial" w:cs="Arial"/>
          <w:sz w:val="20"/>
          <w:szCs w:val="20"/>
          <w:lang w:val="en-US"/>
        </w:rPr>
        <w:t xml:space="preserve">) </w:t>
      </w:r>
      <w:r w:rsidR="00460687" w:rsidRPr="00250913">
        <w:rPr>
          <w:rFonts w:ascii="Arial" w:hAnsi="Arial" w:cs="Arial"/>
          <w:sz w:val="20"/>
          <w:szCs w:val="20"/>
          <w:lang w:val="en-US"/>
        </w:rPr>
        <w:t>and</w:t>
      </w:r>
      <w:r w:rsidR="00250913">
        <w:rPr>
          <w:rFonts w:ascii="Arial" w:hAnsi="Arial" w:cs="Arial"/>
          <w:sz w:val="20"/>
          <w:szCs w:val="20"/>
          <w:lang w:val="en-US"/>
        </w:rPr>
        <w:t xml:space="preserve"> particulate matter (PM) </w:t>
      </w:r>
      <w:r w:rsidR="00460687">
        <w:rPr>
          <w:rFonts w:ascii="Arial" w:hAnsi="Arial" w:cs="Arial"/>
          <w:sz w:val="20"/>
          <w:szCs w:val="20"/>
          <w:lang w:val="en-US"/>
        </w:rPr>
        <w:t xml:space="preserve">by </w:t>
      </w:r>
      <w:r>
        <w:rPr>
          <w:rFonts w:ascii="Arial" w:hAnsi="Arial" w:cs="Arial"/>
          <w:sz w:val="20"/>
          <w:szCs w:val="20"/>
          <w:lang w:val="en-US"/>
        </w:rPr>
        <w:t>trucks</w:t>
      </w:r>
      <w:r w:rsidR="00460687">
        <w:rPr>
          <w:rFonts w:ascii="Arial" w:hAnsi="Arial" w:cs="Arial"/>
          <w:sz w:val="20"/>
          <w:szCs w:val="20"/>
          <w:lang w:val="en-US"/>
        </w:rPr>
        <w:t xml:space="preserve">. </w:t>
      </w:r>
    </w:p>
    <w:p w:rsidR="000C3D27" w:rsidRDefault="000C3D27" w:rsidP="006C4555">
      <w:pPr>
        <w:pStyle w:val="Standard"/>
        <w:rPr>
          <w:rFonts w:ascii="Arial" w:hAnsi="Arial" w:cs="Arial"/>
          <w:sz w:val="20"/>
          <w:szCs w:val="20"/>
          <w:lang w:val="en-US"/>
        </w:rPr>
      </w:pPr>
    </w:p>
    <w:p w:rsidR="007B634C" w:rsidRDefault="004E5F08" w:rsidP="006C4555">
      <w:pPr>
        <w:pStyle w:val="Standard"/>
        <w:rPr>
          <w:rFonts w:ascii="Arial" w:hAnsi="Arial" w:cs="Arial"/>
          <w:sz w:val="20"/>
          <w:szCs w:val="20"/>
          <w:lang w:val="en-US"/>
        </w:rPr>
      </w:pPr>
      <w:r>
        <w:rPr>
          <w:rFonts w:ascii="Arial" w:hAnsi="Arial" w:cs="Arial"/>
          <w:sz w:val="20"/>
          <w:szCs w:val="20"/>
          <w:lang w:val="en-US"/>
        </w:rPr>
        <w:t>Table 5 sets out</w:t>
      </w:r>
      <w:r w:rsidR="00D93E26">
        <w:rPr>
          <w:rFonts w:ascii="Arial" w:hAnsi="Arial" w:cs="Arial"/>
          <w:sz w:val="20"/>
          <w:szCs w:val="20"/>
          <w:lang w:val="en-US"/>
        </w:rPr>
        <w:t xml:space="preserve"> </w:t>
      </w:r>
      <w:r w:rsidR="005C7654">
        <w:rPr>
          <w:rFonts w:ascii="Arial" w:hAnsi="Arial" w:cs="Arial"/>
          <w:sz w:val="20"/>
          <w:szCs w:val="20"/>
          <w:lang w:val="en-US"/>
        </w:rPr>
        <w:t xml:space="preserve">the </w:t>
      </w:r>
      <w:r>
        <w:rPr>
          <w:rFonts w:ascii="Arial" w:hAnsi="Arial" w:cs="Arial"/>
          <w:sz w:val="20"/>
          <w:szCs w:val="20"/>
          <w:lang w:val="en-US"/>
        </w:rPr>
        <w:t xml:space="preserve">emission </w:t>
      </w:r>
      <w:r w:rsidR="00D93E26">
        <w:rPr>
          <w:rFonts w:ascii="Arial" w:hAnsi="Arial" w:cs="Arial"/>
          <w:sz w:val="20"/>
          <w:szCs w:val="20"/>
          <w:lang w:val="en-US"/>
        </w:rPr>
        <w:t xml:space="preserve">reductions </w:t>
      </w:r>
      <w:r w:rsidR="005C7654">
        <w:rPr>
          <w:rFonts w:ascii="Arial" w:hAnsi="Arial" w:cs="Arial"/>
          <w:sz w:val="20"/>
          <w:szCs w:val="20"/>
          <w:lang w:val="en-US"/>
        </w:rPr>
        <w:t>delivered by these standards.</w:t>
      </w:r>
    </w:p>
    <w:p w:rsidR="00D07AB7" w:rsidRDefault="00D07AB7" w:rsidP="006C4555">
      <w:pPr>
        <w:pStyle w:val="Standard"/>
        <w:rPr>
          <w:rFonts w:ascii="Arial" w:hAnsi="Arial" w:cs="Arial"/>
          <w:sz w:val="20"/>
          <w:szCs w:val="20"/>
          <w:lang w:val="en-US"/>
        </w:rPr>
      </w:pPr>
    </w:p>
    <w:p w:rsidR="000E3EE3" w:rsidRDefault="000E3EE3" w:rsidP="004E5F08">
      <w:pPr>
        <w:pStyle w:val="Standard"/>
        <w:rPr>
          <w:rFonts w:ascii="Arial" w:hAnsi="Arial" w:cs="Arial"/>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2"/>
        <w:gridCol w:w="1642"/>
        <w:gridCol w:w="1642"/>
        <w:gridCol w:w="1642"/>
        <w:gridCol w:w="1643"/>
        <w:gridCol w:w="1643"/>
      </w:tblGrid>
      <w:tr w:rsidR="004E5F08" w:rsidTr="00E60314">
        <w:tc>
          <w:tcPr>
            <w:tcW w:w="9854" w:type="dxa"/>
            <w:gridSpan w:val="6"/>
            <w:tcBorders>
              <w:bottom w:val="single" w:sz="4" w:space="0" w:color="auto"/>
            </w:tcBorders>
          </w:tcPr>
          <w:p w:rsidR="004E5F08" w:rsidRPr="004E5F08" w:rsidRDefault="004E5F08" w:rsidP="004E5F08">
            <w:pPr>
              <w:pStyle w:val="Standard"/>
              <w:rPr>
                <w:rFonts w:ascii="Arial" w:hAnsi="Arial" w:cs="Arial"/>
                <w:b/>
                <w:sz w:val="18"/>
                <w:szCs w:val="18"/>
                <w:lang w:val="en-US"/>
              </w:rPr>
            </w:pPr>
            <w:r>
              <w:rPr>
                <w:rFonts w:ascii="Arial" w:hAnsi="Arial" w:cs="Arial"/>
                <w:b/>
                <w:sz w:val="18"/>
                <w:szCs w:val="18"/>
                <w:lang w:val="en-US"/>
              </w:rPr>
              <w:t>Table 5: Emission reductions delivered through the ADR system</w:t>
            </w:r>
          </w:p>
        </w:tc>
      </w:tr>
      <w:tr w:rsidR="004E5F08" w:rsidTr="004E5F08">
        <w:tc>
          <w:tcPr>
            <w:tcW w:w="1642" w:type="dxa"/>
            <w:tcBorders>
              <w:top w:val="single" w:sz="4" w:space="0" w:color="auto"/>
            </w:tcBorders>
          </w:tcPr>
          <w:p w:rsidR="004E5F08" w:rsidRPr="004E5F08" w:rsidRDefault="004E5F08" w:rsidP="006C4555">
            <w:pPr>
              <w:pStyle w:val="Standard"/>
              <w:rPr>
                <w:rFonts w:ascii="Arial" w:hAnsi="Arial" w:cs="Arial"/>
                <w:b/>
                <w:sz w:val="18"/>
                <w:szCs w:val="18"/>
                <w:lang w:val="en-US"/>
              </w:rPr>
            </w:pPr>
          </w:p>
        </w:tc>
        <w:tc>
          <w:tcPr>
            <w:tcW w:w="1642" w:type="dxa"/>
            <w:tcBorders>
              <w:top w:val="single" w:sz="4" w:space="0" w:color="auto"/>
            </w:tcBorders>
          </w:tcPr>
          <w:p w:rsidR="004E5F08" w:rsidRPr="004E5F08" w:rsidRDefault="004E5F08" w:rsidP="006C4555">
            <w:pPr>
              <w:pStyle w:val="Standard"/>
              <w:rPr>
                <w:rFonts w:ascii="Arial" w:hAnsi="Arial" w:cs="Arial"/>
                <w:b/>
                <w:sz w:val="18"/>
                <w:szCs w:val="18"/>
                <w:lang w:val="en-US"/>
              </w:rPr>
            </w:pPr>
          </w:p>
        </w:tc>
        <w:tc>
          <w:tcPr>
            <w:tcW w:w="6570" w:type="dxa"/>
            <w:gridSpan w:val="4"/>
            <w:tcBorders>
              <w:top w:val="single" w:sz="4" w:space="0" w:color="auto"/>
            </w:tcBorders>
          </w:tcPr>
          <w:p w:rsidR="004E5F08" w:rsidRPr="004E5F08" w:rsidRDefault="004E5F08" w:rsidP="004E5F08">
            <w:pPr>
              <w:pStyle w:val="Standard"/>
              <w:jc w:val="center"/>
              <w:rPr>
                <w:rFonts w:ascii="Arial" w:hAnsi="Arial" w:cs="Arial"/>
                <w:b/>
                <w:sz w:val="18"/>
                <w:szCs w:val="18"/>
                <w:lang w:val="en-US"/>
              </w:rPr>
            </w:pPr>
            <w:r>
              <w:rPr>
                <w:rFonts w:ascii="Arial" w:hAnsi="Arial" w:cs="Arial"/>
                <w:b/>
                <w:sz w:val="18"/>
                <w:szCs w:val="18"/>
                <w:lang w:val="en-US"/>
              </w:rPr>
              <w:t xml:space="preserve">Per cent </w:t>
            </w:r>
            <w:r w:rsidRPr="004E5F08">
              <w:rPr>
                <w:rFonts w:ascii="Arial" w:hAnsi="Arial" w:cs="Arial"/>
                <w:b/>
                <w:sz w:val="18"/>
                <w:szCs w:val="18"/>
                <w:lang w:val="en-US"/>
              </w:rPr>
              <w:t>reduction compared to ADR 70/00</w:t>
            </w:r>
          </w:p>
        </w:tc>
      </w:tr>
      <w:tr w:rsidR="004E5F08" w:rsidTr="004E5F08">
        <w:tc>
          <w:tcPr>
            <w:tcW w:w="1642" w:type="dxa"/>
          </w:tcPr>
          <w:p w:rsidR="004E5F08" w:rsidRPr="004E5F08" w:rsidRDefault="004E5F08" w:rsidP="006C4555">
            <w:pPr>
              <w:pStyle w:val="Standard"/>
              <w:rPr>
                <w:rFonts w:ascii="Arial" w:hAnsi="Arial" w:cs="Arial"/>
                <w:b/>
                <w:sz w:val="18"/>
                <w:szCs w:val="18"/>
                <w:lang w:val="en-US"/>
              </w:rPr>
            </w:pPr>
            <w:r w:rsidRPr="004E5F08">
              <w:rPr>
                <w:rFonts w:ascii="Arial" w:hAnsi="Arial" w:cs="Arial"/>
                <w:b/>
                <w:sz w:val="18"/>
                <w:szCs w:val="18"/>
                <w:lang w:val="en-US"/>
              </w:rPr>
              <w:t>Standard</w:t>
            </w:r>
          </w:p>
        </w:tc>
        <w:tc>
          <w:tcPr>
            <w:tcW w:w="1642" w:type="dxa"/>
          </w:tcPr>
          <w:p w:rsidR="004E5F08" w:rsidRPr="004E5F08" w:rsidRDefault="004E5F08" w:rsidP="006C4555">
            <w:pPr>
              <w:pStyle w:val="Standard"/>
              <w:rPr>
                <w:rFonts w:ascii="Arial" w:hAnsi="Arial" w:cs="Arial"/>
                <w:b/>
                <w:sz w:val="18"/>
                <w:szCs w:val="18"/>
                <w:lang w:val="en-US"/>
              </w:rPr>
            </w:pPr>
            <w:r w:rsidRPr="004E5F08">
              <w:rPr>
                <w:rFonts w:ascii="Arial" w:hAnsi="Arial" w:cs="Arial"/>
                <w:b/>
                <w:sz w:val="18"/>
                <w:szCs w:val="18"/>
                <w:lang w:val="en-US"/>
              </w:rPr>
              <w:t>Year of effect*</w:t>
            </w:r>
          </w:p>
        </w:tc>
        <w:tc>
          <w:tcPr>
            <w:tcW w:w="1642" w:type="dxa"/>
          </w:tcPr>
          <w:p w:rsidR="004E5F08" w:rsidRPr="004E5F08" w:rsidRDefault="004E5F08" w:rsidP="004E5F08">
            <w:pPr>
              <w:pStyle w:val="Standard"/>
              <w:jc w:val="center"/>
              <w:rPr>
                <w:rFonts w:ascii="Arial" w:hAnsi="Arial" w:cs="Arial"/>
                <w:b/>
                <w:sz w:val="18"/>
                <w:szCs w:val="18"/>
                <w:lang w:val="en-US"/>
              </w:rPr>
            </w:pPr>
            <w:r w:rsidRPr="004E5F08">
              <w:rPr>
                <w:rFonts w:ascii="Arial" w:hAnsi="Arial" w:cs="Arial"/>
                <w:b/>
                <w:sz w:val="18"/>
                <w:szCs w:val="18"/>
                <w:lang w:val="en-US"/>
              </w:rPr>
              <w:t>CO</w:t>
            </w:r>
          </w:p>
        </w:tc>
        <w:tc>
          <w:tcPr>
            <w:tcW w:w="1642" w:type="dxa"/>
          </w:tcPr>
          <w:p w:rsidR="004E5F08" w:rsidRPr="004E5F08" w:rsidRDefault="004E5F08" w:rsidP="004E5F08">
            <w:pPr>
              <w:pStyle w:val="Standard"/>
              <w:jc w:val="center"/>
              <w:rPr>
                <w:rFonts w:ascii="Arial" w:hAnsi="Arial" w:cs="Arial"/>
                <w:b/>
                <w:sz w:val="18"/>
                <w:szCs w:val="18"/>
                <w:lang w:val="en-US"/>
              </w:rPr>
            </w:pPr>
            <w:r w:rsidRPr="004E5F08">
              <w:rPr>
                <w:rFonts w:ascii="Arial" w:hAnsi="Arial" w:cs="Arial"/>
                <w:b/>
                <w:sz w:val="18"/>
                <w:szCs w:val="18"/>
                <w:lang w:val="en-US"/>
              </w:rPr>
              <w:t>HC</w:t>
            </w:r>
          </w:p>
        </w:tc>
        <w:tc>
          <w:tcPr>
            <w:tcW w:w="1643" w:type="dxa"/>
          </w:tcPr>
          <w:p w:rsidR="004E5F08" w:rsidRPr="004E5F08" w:rsidRDefault="004E5F08" w:rsidP="004E5F08">
            <w:pPr>
              <w:pStyle w:val="Standard"/>
              <w:jc w:val="center"/>
              <w:rPr>
                <w:rFonts w:ascii="Arial" w:hAnsi="Arial" w:cs="Arial"/>
                <w:b/>
                <w:sz w:val="18"/>
                <w:szCs w:val="18"/>
                <w:lang w:val="en-US"/>
              </w:rPr>
            </w:pPr>
            <w:r w:rsidRPr="004E5F08">
              <w:rPr>
                <w:rFonts w:ascii="Arial" w:hAnsi="Arial" w:cs="Arial"/>
                <w:b/>
                <w:sz w:val="18"/>
                <w:szCs w:val="18"/>
                <w:lang w:val="en-US"/>
              </w:rPr>
              <w:t>NOx</w:t>
            </w:r>
          </w:p>
        </w:tc>
        <w:tc>
          <w:tcPr>
            <w:tcW w:w="1643" w:type="dxa"/>
          </w:tcPr>
          <w:p w:rsidR="004E5F08" w:rsidRPr="004E5F08" w:rsidRDefault="004E5F08" w:rsidP="004E5F08">
            <w:pPr>
              <w:pStyle w:val="Standard"/>
              <w:jc w:val="center"/>
              <w:rPr>
                <w:rFonts w:ascii="Arial" w:hAnsi="Arial" w:cs="Arial"/>
                <w:b/>
                <w:sz w:val="18"/>
                <w:szCs w:val="18"/>
                <w:lang w:val="en-US"/>
              </w:rPr>
            </w:pPr>
            <w:r w:rsidRPr="004E5F08">
              <w:rPr>
                <w:rFonts w:ascii="Arial" w:hAnsi="Arial" w:cs="Arial"/>
                <w:b/>
                <w:sz w:val="18"/>
                <w:szCs w:val="18"/>
                <w:lang w:val="en-US"/>
              </w:rPr>
              <w:t>PM</w:t>
            </w:r>
          </w:p>
        </w:tc>
      </w:tr>
      <w:tr w:rsidR="004E5F08" w:rsidTr="004E5F08">
        <w:tc>
          <w:tcPr>
            <w:tcW w:w="1642" w:type="dxa"/>
          </w:tcPr>
          <w:p w:rsidR="004E5F08" w:rsidRPr="004E5F08" w:rsidRDefault="004E5F08" w:rsidP="006C4555">
            <w:pPr>
              <w:pStyle w:val="Standard"/>
              <w:rPr>
                <w:rFonts w:ascii="Arial" w:hAnsi="Arial" w:cs="Arial"/>
                <w:sz w:val="18"/>
                <w:szCs w:val="18"/>
                <w:lang w:val="en-US"/>
              </w:rPr>
            </w:pPr>
            <w:r w:rsidRPr="004E5F08">
              <w:rPr>
                <w:rFonts w:ascii="Arial" w:hAnsi="Arial" w:cs="Arial"/>
                <w:sz w:val="18"/>
                <w:szCs w:val="18"/>
                <w:lang w:val="en-US"/>
              </w:rPr>
              <w:t>70/00</w:t>
            </w:r>
          </w:p>
        </w:tc>
        <w:tc>
          <w:tcPr>
            <w:tcW w:w="1642" w:type="dxa"/>
          </w:tcPr>
          <w:p w:rsidR="004E5F08" w:rsidRPr="004E5F08" w:rsidRDefault="004E5F08" w:rsidP="006C4555">
            <w:pPr>
              <w:pStyle w:val="Standard"/>
              <w:rPr>
                <w:rFonts w:ascii="Arial" w:hAnsi="Arial" w:cs="Arial"/>
                <w:sz w:val="18"/>
                <w:szCs w:val="18"/>
                <w:lang w:val="en-US"/>
              </w:rPr>
            </w:pPr>
            <w:r w:rsidRPr="004E5F08">
              <w:rPr>
                <w:rFonts w:ascii="Arial" w:hAnsi="Arial" w:cs="Arial"/>
                <w:sz w:val="18"/>
                <w:szCs w:val="18"/>
                <w:lang w:val="en-US"/>
              </w:rPr>
              <w:t>1995/1996</w:t>
            </w:r>
          </w:p>
        </w:tc>
        <w:tc>
          <w:tcPr>
            <w:tcW w:w="1642" w:type="dxa"/>
          </w:tcPr>
          <w:p w:rsidR="004E5F08" w:rsidRPr="004E5F08" w:rsidRDefault="004E5F08" w:rsidP="004E5F08">
            <w:pPr>
              <w:pStyle w:val="Standard"/>
              <w:jc w:val="center"/>
              <w:rPr>
                <w:rFonts w:ascii="Arial" w:hAnsi="Arial" w:cs="Arial"/>
                <w:sz w:val="18"/>
                <w:szCs w:val="18"/>
                <w:lang w:val="en-US"/>
              </w:rPr>
            </w:pPr>
          </w:p>
        </w:tc>
        <w:tc>
          <w:tcPr>
            <w:tcW w:w="1642" w:type="dxa"/>
          </w:tcPr>
          <w:p w:rsidR="004E5F08" w:rsidRPr="004E5F08" w:rsidRDefault="004E5F08" w:rsidP="004E5F08">
            <w:pPr>
              <w:pStyle w:val="Standard"/>
              <w:jc w:val="center"/>
              <w:rPr>
                <w:rFonts w:ascii="Arial" w:hAnsi="Arial" w:cs="Arial"/>
                <w:sz w:val="18"/>
                <w:szCs w:val="18"/>
                <w:lang w:val="en-US"/>
              </w:rPr>
            </w:pPr>
          </w:p>
        </w:tc>
        <w:tc>
          <w:tcPr>
            <w:tcW w:w="1643" w:type="dxa"/>
          </w:tcPr>
          <w:p w:rsidR="004E5F08" w:rsidRPr="004E5F08" w:rsidRDefault="004E5F08" w:rsidP="004E5F08">
            <w:pPr>
              <w:pStyle w:val="Standard"/>
              <w:jc w:val="center"/>
              <w:rPr>
                <w:rFonts w:ascii="Arial" w:hAnsi="Arial" w:cs="Arial"/>
                <w:sz w:val="18"/>
                <w:szCs w:val="18"/>
                <w:lang w:val="en-US"/>
              </w:rPr>
            </w:pPr>
          </w:p>
        </w:tc>
        <w:tc>
          <w:tcPr>
            <w:tcW w:w="1643" w:type="dxa"/>
          </w:tcPr>
          <w:p w:rsidR="004E5F08" w:rsidRPr="004E5F08" w:rsidRDefault="004E5F08" w:rsidP="004E5F08">
            <w:pPr>
              <w:pStyle w:val="Standard"/>
              <w:jc w:val="center"/>
              <w:rPr>
                <w:rFonts w:ascii="Arial" w:hAnsi="Arial" w:cs="Arial"/>
                <w:sz w:val="18"/>
                <w:szCs w:val="18"/>
                <w:lang w:val="en-US"/>
              </w:rPr>
            </w:pPr>
          </w:p>
        </w:tc>
      </w:tr>
      <w:tr w:rsidR="004E5F08" w:rsidTr="004E5F08">
        <w:tc>
          <w:tcPr>
            <w:tcW w:w="1642" w:type="dxa"/>
          </w:tcPr>
          <w:p w:rsidR="004E5F08" w:rsidRPr="004E5F08" w:rsidRDefault="004E5F08" w:rsidP="006C4555">
            <w:pPr>
              <w:pStyle w:val="Standard"/>
              <w:rPr>
                <w:rFonts w:ascii="Arial" w:hAnsi="Arial" w:cs="Arial"/>
                <w:sz w:val="18"/>
                <w:szCs w:val="18"/>
                <w:lang w:val="en-US"/>
              </w:rPr>
            </w:pPr>
            <w:r w:rsidRPr="004E5F08">
              <w:rPr>
                <w:rFonts w:ascii="Arial" w:hAnsi="Arial" w:cs="Arial"/>
                <w:sz w:val="18"/>
                <w:szCs w:val="18"/>
                <w:lang w:val="en-US"/>
              </w:rPr>
              <w:t>80/00</w:t>
            </w:r>
          </w:p>
        </w:tc>
        <w:tc>
          <w:tcPr>
            <w:tcW w:w="1642" w:type="dxa"/>
          </w:tcPr>
          <w:p w:rsidR="004E5F08" w:rsidRPr="004E5F08" w:rsidRDefault="004E5F08" w:rsidP="006C4555">
            <w:pPr>
              <w:pStyle w:val="Standard"/>
              <w:rPr>
                <w:rFonts w:ascii="Arial" w:hAnsi="Arial" w:cs="Arial"/>
                <w:sz w:val="18"/>
                <w:szCs w:val="18"/>
                <w:lang w:val="en-US"/>
              </w:rPr>
            </w:pPr>
            <w:r w:rsidRPr="004E5F08">
              <w:rPr>
                <w:rFonts w:ascii="Arial" w:hAnsi="Arial" w:cs="Arial"/>
                <w:sz w:val="18"/>
                <w:szCs w:val="18"/>
                <w:lang w:val="en-US"/>
              </w:rPr>
              <w:t>2002/2003</w:t>
            </w:r>
          </w:p>
        </w:tc>
        <w:tc>
          <w:tcPr>
            <w:tcW w:w="1642" w:type="dxa"/>
          </w:tcPr>
          <w:p w:rsidR="004E5F08" w:rsidRPr="004E5F08" w:rsidRDefault="004E5F08" w:rsidP="004E5F08">
            <w:pPr>
              <w:pStyle w:val="Standard"/>
              <w:jc w:val="center"/>
              <w:rPr>
                <w:rFonts w:ascii="Arial" w:hAnsi="Arial" w:cs="Arial"/>
                <w:sz w:val="18"/>
                <w:szCs w:val="18"/>
                <w:lang w:val="en-US"/>
              </w:rPr>
            </w:pPr>
          </w:p>
        </w:tc>
        <w:tc>
          <w:tcPr>
            <w:tcW w:w="1642" w:type="dxa"/>
          </w:tcPr>
          <w:p w:rsidR="004E5F08" w:rsidRPr="004E5F08" w:rsidRDefault="004E5F08" w:rsidP="004E5F08">
            <w:pPr>
              <w:pStyle w:val="Standard"/>
              <w:jc w:val="center"/>
              <w:rPr>
                <w:rFonts w:ascii="Arial" w:hAnsi="Arial" w:cs="Arial"/>
                <w:sz w:val="18"/>
                <w:szCs w:val="18"/>
                <w:lang w:val="en-US"/>
              </w:rPr>
            </w:pPr>
            <w:r w:rsidRPr="004E5F08">
              <w:rPr>
                <w:rFonts w:ascii="Arial" w:hAnsi="Arial" w:cs="Arial"/>
                <w:sz w:val="18"/>
                <w:szCs w:val="18"/>
                <w:lang w:val="en-US"/>
              </w:rPr>
              <w:t>-29</w:t>
            </w:r>
          </w:p>
        </w:tc>
        <w:tc>
          <w:tcPr>
            <w:tcW w:w="1643" w:type="dxa"/>
          </w:tcPr>
          <w:p w:rsidR="004E5F08" w:rsidRPr="004E5F08" w:rsidRDefault="004E5F08" w:rsidP="004E5F08">
            <w:pPr>
              <w:pStyle w:val="Standard"/>
              <w:jc w:val="center"/>
              <w:rPr>
                <w:rFonts w:ascii="Arial" w:hAnsi="Arial" w:cs="Arial"/>
                <w:sz w:val="18"/>
                <w:szCs w:val="18"/>
                <w:lang w:val="en-US"/>
              </w:rPr>
            </w:pPr>
            <w:r w:rsidRPr="004E5F08">
              <w:rPr>
                <w:rFonts w:ascii="Arial" w:hAnsi="Arial" w:cs="Arial"/>
                <w:sz w:val="18"/>
                <w:szCs w:val="18"/>
                <w:lang w:val="en-US"/>
              </w:rPr>
              <w:t>-38</w:t>
            </w:r>
          </w:p>
        </w:tc>
        <w:tc>
          <w:tcPr>
            <w:tcW w:w="1643" w:type="dxa"/>
          </w:tcPr>
          <w:p w:rsidR="004E5F08" w:rsidRPr="004E5F08" w:rsidRDefault="004E5F08" w:rsidP="004E5F08">
            <w:pPr>
              <w:pStyle w:val="Standard"/>
              <w:jc w:val="center"/>
              <w:rPr>
                <w:rFonts w:ascii="Arial" w:hAnsi="Arial" w:cs="Arial"/>
                <w:sz w:val="18"/>
                <w:szCs w:val="18"/>
                <w:lang w:val="en-US"/>
              </w:rPr>
            </w:pPr>
            <w:r w:rsidRPr="004E5F08">
              <w:rPr>
                <w:rFonts w:ascii="Arial" w:hAnsi="Arial" w:cs="Arial"/>
                <w:sz w:val="18"/>
                <w:szCs w:val="18"/>
                <w:lang w:val="en-US"/>
              </w:rPr>
              <w:t>-56</w:t>
            </w:r>
          </w:p>
        </w:tc>
      </w:tr>
      <w:tr w:rsidR="004E5F08" w:rsidTr="004E5F08">
        <w:tc>
          <w:tcPr>
            <w:tcW w:w="1642" w:type="dxa"/>
          </w:tcPr>
          <w:p w:rsidR="004E5F08" w:rsidRPr="004E5F08" w:rsidRDefault="004E5F08" w:rsidP="006C4555">
            <w:pPr>
              <w:pStyle w:val="Standard"/>
              <w:rPr>
                <w:rFonts w:ascii="Arial" w:hAnsi="Arial" w:cs="Arial"/>
                <w:sz w:val="18"/>
                <w:szCs w:val="18"/>
                <w:lang w:val="en-US"/>
              </w:rPr>
            </w:pPr>
            <w:r w:rsidRPr="004E5F08">
              <w:rPr>
                <w:rFonts w:ascii="Arial" w:hAnsi="Arial" w:cs="Arial"/>
                <w:sz w:val="18"/>
                <w:szCs w:val="18"/>
                <w:lang w:val="en-US"/>
              </w:rPr>
              <w:t>80/02</w:t>
            </w:r>
          </w:p>
        </w:tc>
        <w:tc>
          <w:tcPr>
            <w:tcW w:w="1642" w:type="dxa"/>
          </w:tcPr>
          <w:p w:rsidR="004E5F08" w:rsidRPr="004E5F08" w:rsidRDefault="004E5F08" w:rsidP="006C4555">
            <w:pPr>
              <w:pStyle w:val="Standard"/>
              <w:rPr>
                <w:rFonts w:ascii="Arial" w:hAnsi="Arial" w:cs="Arial"/>
                <w:sz w:val="18"/>
                <w:szCs w:val="18"/>
                <w:lang w:val="en-US"/>
              </w:rPr>
            </w:pPr>
            <w:r w:rsidRPr="004E5F08">
              <w:rPr>
                <w:rFonts w:ascii="Arial" w:hAnsi="Arial" w:cs="Arial"/>
                <w:sz w:val="18"/>
                <w:szCs w:val="18"/>
                <w:lang w:val="en-US"/>
              </w:rPr>
              <w:t>2007/2008</w:t>
            </w:r>
          </w:p>
        </w:tc>
        <w:tc>
          <w:tcPr>
            <w:tcW w:w="1642" w:type="dxa"/>
          </w:tcPr>
          <w:p w:rsidR="004E5F08" w:rsidRPr="004E5F08" w:rsidRDefault="004E5F08" w:rsidP="004E5F08">
            <w:pPr>
              <w:pStyle w:val="Standard"/>
              <w:jc w:val="center"/>
              <w:rPr>
                <w:rFonts w:ascii="Arial" w:hAnsi="Arial" w:cs="Arial"/>
                <w:sz w:val="18"/>
                <w:szCs w:val="18"/>
                <w:lang w:val="en-US"/>
              </w:rPr>
            </w:pPr>
            <w:r w:rsidRPr="004E5F08">
              <w:rPr>
                <w:rFonts w:ascii="Arial" w:hAnsi="Arial" w:cs="Arial"/>
                <w:sz w:val="18"/>
                <w:szCs w:val="18"/>
                <w:lang w:val="en-US"/>
              </w:rPr>
              <w:t>-11</w:t>
            </w:r>
          </w:p>
        </w:tc>
        <w:tc>
          <w:tcPr>
            <w:tcW w:w="1642" w:type="dxa"/>
          </w:tcPr>
          <w:p w:rsidR="004E5F08" w:rsidRPr="004E5F08" w:rsidRDefault="004E5F08" w:rsidP="004E5F08">
            <w:pPr>
              <w:pStyle w:val="Standard"/>
              <w:jc w:val="center"/>
              <w:rPr>
                <w:rFonts w:ascii="Arial" w:hAnsi="Arial" w:cs="Arial"/>
                <w:sz w:val="18"/>
                <w:szCs w:val="18"/>
                <w:lang w:val="en-US"/>
              </w:rPr>
            </w:pPr>
            <w:r w:rsidRPr="004E5F08">
              <w:rPr>
                <w:rFonts w:ascii="Arial" w:hAnsi="Arial" w:cs="Arial"/>
                <w:sz w:val="18"/>
                <w:szCs w:val="18"/>
                <w:lang w:val="en-US"/>
              </w:rPr>
              <w:t>-50</w:t>
            </w:r>
          </w:p>
        </w:tc>
        <w:tc>
          <w:tcPr>
            <w:tcW w:w="1643" w:type="dxa"/>
          </w:tcPr>
          <w:p w:rsidR="004E5F08" w:rsidRPr="004E5F08" w:rsidRDefault="004E5F08" w:rsidP="004E5F08">
            <w:pPr>
              <w:pStyle w:val="Standard"/>
              <w:jc w:val="center"/>
              <w:rPr>
                <w:rFonts w:ascii="Arial" w:hAnsi="Arial" w:cs="Arial"/>
                <w:sz w:val="18"/>
                <w:szCs w:val="18"/>
                <w:lang w:val="en-US"/>
              </w:rPr>
            </w:pPr>
            <w:r w:rsidRPr="004E5F08">
              <w:rPr>
                <w:rFonts w:ascii="Arial" w:hAnsi="Arial" w:cs="Arial"/>
                <w:sz w:val="18"/>
                <w:szCs w:val="18"/>
                <w:lang w:val="en-US"/>
              </w:rPr>
              <w:t>-56</w:t>
            </w:r>
          </w:p>
        </w:tc>
        <w:tc>
          <w:tcPr>
            <w:tcW w:w="1643" w:type="dxa"/>
          </w:tcPr>
          <w:p w:rsidR="004E5F08" w:rsidRPr="004E5F08" w:rsidRDefault="004E5F08" w:rsidP="004E5F08">
            <w:pPr>
              <w:pStyle w:val="Standard"/>
              <w:jc w:val="center"/>
              <w:rPr>
                <w:rFonts w:ascii="Arial" w:hAnsi="Arial" w:cs="Arial"/>
                <w:sz w:val="18"/>
                <w:szCs w:val="18"/>
                <w:lang w:val="en-US"/>
              </w:rPr>
            </w:pPr>
            <w:r w:rsidRPr="004E5F08">
              <w:rPr>
                <w:rFonts w:ascii="Arial" w:hAnsi="Arial" w:cs="Arial"/>
                <w:sz w:val="18"/>
                <w:szCs w:val="18"/>
                <w:lang w:val="en-US"/>
              </w:rPr>
              <w:t>-92</w:t>
            </w:r>
          </w:p>
        </w:tc>
      </w:tr>
      <w:tr w:rsidR="004E5F08" w:rsidTr="004E5F08">
        <w:tc>
          <w:tcPr>
            <w:tcW w:w="1642" w:type="dxa"/>
            <w:tcBorders>
              <w:bottom w:val="single" w:sz="4" w:space="0" w:color="auto"/>
            </w:tcBorders>
          </w:tcPr>
          <w:p w:rsidR="004E5F08" w:rsidRPr="004E5F08" w:rsidRDefault="004E5F08" w:rsidP="006C4555">
            <w:pPr>
              <w:pStyle w:val="Standard"/>
              <w:rPr>
                <w:rFonts w:ascii="Arial" w:hAnsi="Arial" w:cs="Arial"/>
                <w:sz w:val="18"/>
                <w:szCs w:val="18"/>
                <w:lang w:val="en-US"/>
              </w:rPr>
            </w:pPr>
            <w:r w:rsidRPr="004E5F08">
              <w:rPr>
                <w:rFonts w:ascii="Arial" w:hAnsi="Arial" w:cs="Arial"/>
                <w:sz w:val="18"/>
                <w:szCs w:val="18"/>
                <w:lang w:val="en-US"/>
              </w:rPr>
              <w:t>80/03</w:t>
            </w:r>
          </w:p>
        </w:tc>
        <w:tc>
          <w:tcPr>
            <w:tcW w:w="1642" w:type="dxa"/>
            <w:tcBorders>
              <w:bottom w:val="single" w:sz="4" w:space="0" w:color="auto"/>
            </w:tcBorders>
          </w:tcPr>
          <w:p w:rsidR="004E5F08" w:rsidRPr="004E5F08" w:rsidRDefault="004E5F08" w:rsidP="006C4555">
            <w:pPr>
              <w:pStyle w:val="Standard"/>
              <w:rPr>
                <w:rFonts w:ascii="Arial" w:hAnsi="Arial" w:cs="Arial"/>
                <w:sz w:val="18"/>
                <w:szCs w:val="18"/>
                <w:lang w:val="en-US"/>
              </w:rPr>
            </w:pPr>
            <w:r w:rsidRPr="004E5F08">
              <w:rPr>
                <w:rFonts w:ascii="Arial" w:hAnsi="Arial" w:cs="Arial"/>
                <w:sz w:val="18"/>
                <w:szCs w:val="18"/>
                <w:lang w:val="en-US"/>
              </w:rPr>
              <w:t>2010/2011</w:t>
            </w:r>
          </w:p>
        </w:tc>
        <w:tc>
          <w:tcPr>
            <w:tcW w:w="1642" w:type="dxa"/>
            <w:tcBorders>
              <w:bottom w:val="single" w:sz="4" w:space="0" w:color="auto"/>
            </w:tcBorders>
          </w:tcPr>
          <w:p w:rsidR="004E5F08" w:rsidRPr="004E5F08" w:rsidRDefault="004E5F08" w:rsidP="004E5F08">
            <w:pPr>
              <w:pStyle w:val="Standard"/>
              <w:jc w:val="center"/>
              <w:rPr>
                <w:rFonts w:ascii="Arial" w:hAnsi="Arial" w:cs="Arial"/>
                <w:sz w:val="18"/>
                <w:szCs w:val="18"/>
                <w:lang w:val="en-US"/>
              </w:rPr>
            </w:pPr>
            <w:r w:rsidRPr="004E5F08">
              <w:rPr>
                <w:rFonts w:ascii="Arial" w:hAnsi="Arial" w:cs="Arial"/>
                <w:sz w:val="18"/>
                <w:szCs w:val="18"/>
                <w:lang w:val="en-US"/>
              </w:rPr>
              <w:t>-11</w:t>
            </w:r>
          </w:p>
        </w:tc>
        <w:tc>
          <w:tcPr>
            <w:tcW w:w="1642" w:type="dxa"/>
            <w:tcBorders>
              <w:bottom w:val="single" w:sz="4" w:space="0" w:color="auto"/>
            </w:tcBorders>
          </w:tcPr>
          <w:p w:rsidR="004E5F08" w:rsidRPr="004E5F08" w:rsidRDefault="004E5F08" w:rsidP="004E5F08">
            <w:pPr>
              <w:pStyle w:val="Standard"/>
              <w:jc w:val="center"/>
              <w:rPr>
                <w:rFonts w:ascii="Arial" w:hAnsi="Arial" w:cs="Arial"/>
                <w:sz w:val="18"/>
                <w:szCs w:val="18"/>
                <w:lang w:val="en-US"/>
              </w:rPr>
            </w:pPr>
            <w:r w:rsidRPr="004E5F08">
              <w:rPr>
                <w:rFonts w:ascii="Arial" w:hAnsi="Arial" w:cs="Arial"/>
                <w:sz w:val="18"/>
                <w:szCs w:val="18"/>
                <w:lang w:val="en-US"/>
              </w:rPr>
              <w:t>-50</w:t>
            </w:r>
          </w:p>
        </w:tc>
        <w:tc>
          <w:tcPr>
            <w:tcW w:w="1643" w:type="dxa"/>
            <w:tcBorders>
              <w:bottom w:val="single" w:sz="4" w:space="0" w:color="auto"/>
            </w:tcBorders>
          </w:tcPr>
          <w:p w:rsidR="004E5F08" w:rsidRPr="004E5F08" w:rsidRDefault="004E5F08" w:rsidP="004E5F08">
            <w:pPr>
              <w:pStyle w:val="Standard"/>
              <w:jc w:val="center"/>
              <w:rPr>
                <w:rFonts w:ascii="Arial" w:hAnsi="Arial" w:cs="Arial"/>
                <w:sz w:val="18"/>
                <w:szCs w:val="18"/>
                <w:lang w:val="en-US"/>
              </w:rPr>
            </w:pPr>
            <w:r w:rsidRPr="004E5F08">
              <w:rPr>
                <w:rFonts w:ascii="Arial" w:hAnsi="Arial" w:cs="Arial"/>
                <w:sz w:val="18"/>
                <w:szCs w:val="18"/>
                <w:lang w:val="en-US"/>
              </w:rPr>
              <w:t>-75</w:t>
            </w:r>
          </w:p>
        </w:tc>
        <w:tc>
          <w:tcPr>
            <w:tcW w:w="1643" w:type="dxa"/>
            <w:tcBorders>
              <w:bottom w:val="single" w:sz="4" w:space="0" w:color="auto"/>
            </w:tcBorders>
          </w:tcPr>
          <w:p w:rsidR="004E5F08" w:rsidRPr="004E5F08" w:rsidRDefault="004E5F08" w:rsidP="004E5F08">
            <w:pPr>
              <w:pStyle w:val="Standard"/>
              <w:jc w:val="center"/>
              <w:rPr>
                <w:rFonts w:ascii="Arial" w:hAnsi="Arial" w:cs="Arial"/>
                <w:sz w:val="18"/>
                <w:szCs w:val="18"/>
                <w:lang w:val="en-US"/>
              </w:rPr>
            </w:pPr>
            <w:r w:rsidRPr="004E5F08">
              <w:rPr>
                <w:rFonts w:ascii="Arial" w:hAnsi="Arial" w:cs="Arial"/>
                <w:sz w:val="18"/>
                <w:szCs w:val="18"/>
                <w:lang w:val="en-US"/>
              </w:rPr>
              <w:t>-92</w:t>
            </w:r>
          </w:p>
        </w:tc>
      </w:tr>
      <w:tr w:rsidR="004E5F08" w:rsidTr="004E5F08">
        <w:tc>
          <w:tcPr>
            <w:tcW w:w="9854" w:type="dxa"/>
            <w:gridSpan w:val="6"/>
            <w:tcBorders>
              <w:top w:val="single" w:sz="4" w:space="0" w:color="auto"/>
            </w:tcBorders>
          </w:tcPr>
          <w:p w:rsidR="004E5F08" w:rsidRDefault="004E5F08" w:rsidP="004E5F08">
            <w:pPr>
              <w:pStyle w:val="Standard"/>
              <w:spacing w:before="100"/>
              <w:rPr>
                <w:rFonts w:ascii="Arial" w:hAnsi="Arial" w:cs="Arial"/>
                <w:sz w:val="18"/>
                <w:szCs w:val="18"/>
                <w:lang w:val="en-US"/>
              </w:rPr>
            </w:pPr>
            <w:r w:rsidRPr="004E5F08">
              <w:rPr>
                <w:rFonts w:ascii="Arial" w:hAnsi="Arial" w:cs="Arial"/>
                <w:sz w:val="18"/>
                <w:szCs w:val="18"/>
                <w:lang w:val="en-US"/>
              </w:rPr>
              <w:t>*The first year shows when the standard applied to new model vehicles; the second year shows when it applied to all new vehicles.</w:t>
            </w:r>
          </w:p>
          <w:p w:rsidR="004E5F08" w:rsidRPr="004E5F08" w:rsidRDefault="004E5F08" w:rsidP="004E5F08">
            <w:pPr>
              <w:pStyle w:val="Standard"/>
              <w:rPr>
                <w:rFonts w:ascii="Arial" w:hAnsi="Arial" w:cs="Arial"/>
                <w:sz w:val="18"/>
                <w:szCs w:val="18"/>
                <w:lang w:val="en-US"/>
              </w:rPr>
            </w:pPr>
            <w:r w:rsidRPr="004E5F08">
              <w:rPr>
                <w:rFonts w:ascii="Arial" w:hAnsi="Arial" w:cs="Arial"/>
                <w:sz w:val="18"/>
                <w:szCs w:val="18"/>
                <w:lang w:val="en-US"/>
              </w:rPr>
              <w:t>Source: Department of Infrastructure and Transport</w:t>
            </w:r>
          </w:p>
        </w:tc>
      </w:tr>
    </w:tbl>
    <w:p w:rsidR="004E5F08" w:rsidRDefault="004E5F08" w:rsidP="006C4555">
      <w:pPr>
        <w:pStyle w:val="Standard"/>
        <w:rPr>
          <w:rFonts w:ascii="Arial" w:hAnsi="Arial" w:cs="Arial"/>
          <w:sz w:val="20"/>
          <w:szCs w:val="20"/>
          <w:lang w:val="en-US"/>
        </w:rPr>
      </w:pPr>
    </w:p>
    <w:p w:rsidR="00D93E26" w:rsidRDefault="00D93E26" w:rsidP="006C4555">
      <w:pPr>
        <w:pStyle w:val="Standard"/>
        <w:rPr>
          <w:rFonts w:ascii="Arial" w:hAnsi="Arial" w:cs="Arial"/>
          <w:sz w:val="20"/>
          <w:szCs w:val="20"/>
          <w:lang w:val="en-US"/>
        </w:rPr>
      </w:pPr>
    </w:p>
    <w:p w:rsidR="00D266A2" w:rsidRDefault="00931BF6" w:rsidP="006C4555">
      <w:pPr>
        <w:pStyle w:val="Standard"/>
        <w:rPr>
          <w:rFonts w:ascii="Arial" w:hAnsi="Arial" w:cs="Arial"/>
          <w:sz w:val="20"/>
          <w:szCs w:val="20"/>
          <w:lang w:val="en-US"/>
        </w:rPr>
      </w:pPr>
      <w:r>
        <w:rPr>
          <w:rFonts w:ascii="Arial" w:hAnsi="Arial" w:cs="Arial"/>
          <w:sz w:val="20"/>
          <w:szCs w:val="20"/>
          <w:lang w:val="en-US"/>
        </w:rPr>
        <w:t>Complying with these rules has involved an enormous investment by trucking operators</w:t>
      </w:r>
      <w:r w:rsidR="00D266A2">
        <w:rPr>
          <w:rFonts w:ascii="Arial" w:hAnsi="Arial" w:cs="Arial"/>
          <w:sz w:val="20"/>
          <w:szCs w:val="20"/>
          <w:lang w:val="en-US"/>
        </w:rPr>
        <w:t xml:space="preserve"> as they purchase new equipment. It also involves ongoing business expenses. For example, trucks that </w:t>
      </w:r>
      <w:r w:rsidR="002C5337">
        <w:rPr>
          <w:rFonts w:ascii="Arial" w:hAnsi="Arial" w:cs="Arial"/>
          <w:sz w:val="20"/>
          <w:szCs w:val="20"/>
          <w:lang w:val="en-US"/>
        </w:rPr>
        <w:t xml:space="preserve">use </w:t>
      </w:r>
      <w:r w:rsidR="00D266A2">
        <w:rPr>
          <w:rFonts w:ascii="Arial" w:hAnsi="Arial" w:cs="Arial"/>
          <w:sz w:val="20"/>
          <w:szCs w:val="20"/>
          <w:lang w:val="en-US"/>
        </w:rPr>
        <w:t xml:space="preserve">selective catalytic reduction (SCR) technology require the use of </w:t>
      </w:r>
      <w:r w:rsidR="005F408C">
        <w:rPr>
          <w:rFonts w:ascii="Arial" w:hAnsi="Arial" w:cs="Arial"/>
          <w:sz w:val="20"/>
          <w:szCs w:val="20"/>
          <w:lang w:val="en-US"/>
        </w:rPr>
        <w:t>a</w:t>
      </w:r>
      <w:r w:rsidR="004E5F08">
        <w:rPr>
          <w:rFonts w:ascii="Arial" w:hAnsi="Arial" w:cs="Arial"/>
          <w:sz w:val="20"/>
          <w:szCs w:val="20"/>
          <w:lang w:val="en-US"/>
        </w:rPr>
        <w:t xml:space="preserve"> </w:t>
      </w:r>
      <w:r w:rsidR="00D266A2">
        <w:rPr>
          <w:rFonts w:ascii="Arial" w:hAnsi="Arial" w:cs="Arial"/>
          <w:sz w:val="20"/>
          <w:szCs w:val="20"/>
          <w:lang w:val="en-US"/>
        </w:rPr>
        <w:t>urea additive, AdBlue. AdBlue costs well over a dollar a litre, and SCR trucks use about 5 litres of AdBlue for every 100 litres of diesel.</w:t>
      </w:r>
    </w:p>
    <w:p w:rsidR="00931BF6" w:rsidRDefault="00D266A2" w:rsidP="006C4555">
      <w:pPr>
        <w:pStyle w:val="Standard"/>
        <w:rPr>
          <w:rFonts w:ascii="Arial" w:hAnsi="Arial" w:cs="Arial"/>
          <w:sz w:val="20"/>
          <w:szCs w:val="20"/>
          <w:lang w:val="en-US"/>
        </w:rPr>
      </w:pPr>
      <w:r>
        <w:rPr>
          <w:rFonts w:ascii="Arial" w:hAnsi="Arial" w:cs="Arial"/>
          <w:sz w:val="20"/>
          <w:szCs w:val="20"/>
          <w:lang w:val="en-US"/>
        </w:rPr>
        <w:t xml:space="preserve"> </w:t>
      </w:r>
    </w:p>
    <w:p w:rsidR="002C5337" w:rsidRDefault="00460687" w:rsidP="006C4555">
      <w:pPr>
        <w:pStyle w:val="Standard"/>
        <w:rPr>
          <w:rFonts w:ascii="Arial" w:hAnsi="Arial" w:cs="Arial"/>
          <w:sz w:val="20"/>
          <w:szCs w:val="20"/>
          <w:lang w:val="en-US"/>
        </w:rPr>
      </w:pPr>
      <w:r>
        <w:rPr>
          <w:rFonts w:ascii="Arial" w:hAnsi="Arial" w:cs="Arial"/>
          <w:sz w:val="20"/>
          <w:szCs w:val="20"/>
          <w:lang w:val="en-US"/>
        </w:rPr>
        <w:t xml:space="preserve">As with </w:t>
      </w:r>
      <w:r w:rsidR="002C5337">
        <w:rPr>
          <w:rFonts w:ascii="Arial" w:hAnsi="Arial" w:cs="Arial"/>
          <w:sz w:val="20"/>
          <w:szCs w:val="20"/>
          <w:lang w:val="en-US"/>
        </w:rPr>
        <w:t xml:space="preserve">the </w:t>
      </w:r>
      <w:r>
        <w:rPr>
          <w:rFonts w:ascii="Arial" w:hAnsi="Arial" w:cs="Arial"/>
          <w:sz w:val="20"/>
          <w:szCs w:val="20"/>
          <w:lang w:val="en-US"/>
        </w:rPr>
        <w:t xml:space="preserve">safety rules, these ADRs only apply to new </w:t>
      </w:r>
      <w:r w:rsidR="004E5F08">
        <w:rPr>
          <w:rFonts w:ascii="Arial" w:hAnsi="Arial" w:cs="Arial"/>
          <w:sz w:val="20"/>
          <w:szCs w:val="20"/>
          <w:lang w:val="en-US"/>
        </w:rPr>
        <w:t xml:space="preserve">and imported </w:t>
      </w:r>
      <w:r>
        <w:rPr>
          <w:rFonts w:ascii="Arial" w:hAnsi="Arial" w:cs="Arial"/>
          <w:sz w:val="20"/>
          <w:szCs w:val="20"/>
          <w:lang w:val="en-US"/>
        </w:rPr>
        <w:t xml:space="preserve">second hand trucks. </w:t>
      </w:r>
      <w:r w:rsidR="004E5F08">
        <w:rPr>
          <w:rFonts w:ascii="Arial" w:hAnsi="Arial" w:cs="Arial"/>
          <w:sz w:val="20"/>
          <w:szCs w:val="20"/>
          <w:lang w:val="en-US"/>
        </w:rPr>
        <w:t xml:space="preserve">They do not apply retrospectively to older vehicles, </w:t>
      </w:r>
      <w:r w:rsidR="004A1636">
        <w:rPr>
          <w:rFonts w:ascii="Arial" w:hAnsi="Arial" w:cs="Arial"/>
          <w:sz w:val="20"/>
          <w:szCs w:val="20"/>
          <w:lang w:val="en-US"/>
        </w:rPr>
        <w:t>with the result, again, that the rollout of these standards depends on the rate that businesses purchase new trucks.</w:t>
      </w:r>
    </w:p>
    <w:p w:rsidR="004A1636" w:rsidRDefault="004A1636" w:rsidP="006C4555">
      <w:pPr>
        <w:pStyle w:val="Standard"/>
        <w:rPr>
          <w:rFonts w:ascii="Arial" w:hAnsi="Arial" w:cs="Arial"/>
          <w:sz w:val="20"/>
          <w:szCs w:val="20"/>
          <w:lang w:val="en-US"/>
        </w:rPr>
      </w:pPr>
    </w:p>
    <w:p w:rsidR="004A1636" w:rsidRDefault="004A1636" w:rsidP="006C4555">
      <w:pPr>
        <w:pStyle w:val="Standard"/>
        <w:rPr>
          <w:rFonts w:ascii="Arial" w:hAnsi="Arial" w:cs="Arial"/>
          <w:sz w:val="20"/>
          <w:szCs w:val="20"/>
          <w:lang w:val="en-US"/>
        </w:rPr>
      </w:pPr>
      <w:r>
        <w:rPr>
          <w:rFonts w:ascii="Arial" w:hAnsi="Arial" w:cs="Arial"/>
          <w:sz w:val="20"/>
          <w:szCs w:val="20"/>
          <w:lang w:val="en-US"/>
        </w:rPr>
        <w:t>Figure 6 highlights the scale of the task to bring the whole of the truck fleet up to even the oldest of the environmental standards.</w:t>
      </w:r>
    </w:p>
    <w:p w:rsidR="00DB543D" w:rsidRDefault="00DB543D" w:rsidP="006C4555">
      <w:pPr>
        <w:pStyle w:val="Standard"/>
        <w:rPr>
          <w:rFonts w:ascii="Arial" w:hAnsi="Arial" w:cs="Arial"/>
          <w:sz w:val="20"/>
          <w:szCs w:val="20"/>
          <w:lang w:val="en-US"/>
        </w:rPr>
      </w:pPr>
    </w:p>
    <w:p w:rsidR="002C5337" w:rsidRDefault="002C5337" w:rsidP="006C4555">
      <w:pPr>
        <w:pStyle w:val="Standard"/>
        <w:rPr>
          <w:rFonts w:ascii="Arial" w:hAnsi="Arial" w:cs="Arial"/>
          <w:sz w:val="20"/>
          <w:szCs w:val="20"/>
          <w:lang w:val="en-US"/>
        </w:rPr>
      </w:pPr>
    </w:p>
    <w:p w:rsidR="00DB543D" w:rsidRDefault="00DB543D" w:rsidP="00F76A0D">
      <w:pPr>
        <w:pStyle w:val="Caption"/>
        <w:keepNext/>
        <w:keepLines/>
        <w:ind w:left="1440"/>
        <w:rPr>
          <w:sz w:val="18"/>
        </w:rPr>
      </w:pPr>
      <w:r w:rsidRPr="00DB543D">
        <w:rPr>
          <w:sz w:val="18"/>
        </w:rPr>
        <w:lastRenderedPageBreak/>
        <w:t xml:space="preserve">Figure </w:t>
      </w:r>
      <w:r w:rsidR="00F90BA9">
        <w:rPr>
          <w:sz w:val="18"/>
        </w:rPr>
        <w:t>5</w:t>
      </w:r>
      <w:r w:rsidRPr="00DB543D">
        <w:rPr>
          <w:sz w:val="18"/>
        </w:rPr>
        <w:t xml:space="preserve">: Australian truck fleet: </w:t>
      </w:r>
      <w:r>
        <w:rPr>
          <w:sz w:val="18"/>
        </w:rPr>
        <w:t>trucks subject to</w:t>
      </w:r>
      <w:r w:rsidRPr="00DB543D">
        <w:rPr>
          <w:sz w:val="18"/>
        </w:rPr>
        <w:t xml:space="preserve"> </w:t>
      </w:r>
      <w:r>
        <w:rPr>
          <w:sz w:val="18"/>
        </w:rPr>
        <w:t>emission standards</w:t>
      </w:r>
    </w:p>
    <w:p w:rsidR="00DB543D" w:rsidRPr="00DB543D" w:rsidRDefault="00DB543D" w:rsidP="00F76A0D">
      <w:pPr>
        <w:keepNext/>
        <w:keepLines/>
      </w:pPr>
    </w:p>
    <w:p w:rsidR="002C5337" w:rsidRDefault="00DB543D" w:rsidP="00F76A0D">
      <w:pPr>
        <w:pStyle w:val="Standard"/>
        <w:keepNext/>
        <w:keepLines/>
        <w:jc w:val="center"/>
        <w:rPr>
          <w:rFonts w:ascii="Arial" w:hAnsi="Arial" w:cs="Arial"/>
          <w:sz w:val="20"/>
          <w:szCs w:val="20"/>
          <w:lang w:val="en-US"/>
        </w:rPr>
      </w:pPr>
      <w:r w:rsidRPr="00DB543D">
        <w:rPr>
          <w:rFonts w:ascii="Arial" w:hAnsi="Arial" w:cs="Arial"/>
          <w:noProof/>
          <w:sz w:val="20"/>
          <w:szCs w:val="20"/>
          <w:lang w:eastAsia="en-AU" w:bidi="ar-SA"/>
        </w:rPr>
        <w:drawing>
          <wp:inline distT="0" distB="0" distL="0" distR="0">
            <wp:extent cx="45720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543D" w:rsidRDefault="00DB543D" w:rsidP="00F76A0D">
      <w:pPr>
        <w:pStyle w:val="Standard"/>
        <w:keepNext/>
        <w:keepLines/>
        <w:rPr>
          <w:rFonts w:ascii="Arial" w:hAnsi="Arial" w:cs="Arial"/>
          <w:sz w:val="20"/>
          <w:szCs w:val="20"/>
          <w:lang w:val="en-US"/>
        </w:rPr>
      </w:pPr>
    </w:p>
    <w:p w:rsidR="00DB543D" w:rsidRPr="00DB543D" w:rsidRDefault="00DB543D" w:rsidP="00F76A0D">
      <w:pPr>
        <w:pStyle w:val="Standard"/>
        <w:keepNext/>
        <w:keepLines/>
        <w:rPr>
          <w:rFonts w:ascii="Arial" w:hAnsi="Arial" w:cs="Arial"/>
          <w:sz w:val="18"/>
          <w:szCs w:val="18"/>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18"/>
          <w:szCs w:val="18"/>
          <w:lang w:val="en-US"/>
        </w:rPr>
        <w:t>Source: ABS 2012, datacubes.</w:t>
      </w:r>
    </w:p>
    <w:p w:rsidR="00460687" w:rsidRDefault="002C5337" w:rsidP="00F76A0D">
      <w:pPr>
        <w:pStyle w:val="Standard"/>
        <w:keepNext/>
        <w:keepLines/>
        <w:rPr>
          <w:rFonts w:ascii="Arial" w:hAnsi="Arial" w:cs="Arial"/>
          <w:sz w:val="20"/>
          <w:szCs w:val="20"/>
          <w:lang w:val="en-US"/>
        </w:rPr>
      </w:pPr>
      <w:r>
        <w:rPr>
          <w:rFonts w:ascii="Arial" w:hAnsi="Arial" w:cs="Arial"/>
          <w:sz w:val="20"/>
          <w:szCs w:val="20"/>
          <w:lang w:val="en-US"/>
        </w:rPr>
        <w:t xml:space="preserve"> </w:t>
      </w:r>
    </w:p>
    <w:p w:rsidR="00F76A0D" w:rsidRDefault="00F76A0D" w:rsidP="00810DF7">
      <w:pPr>
        <w:pStyle w:val="Standard"/>
        <w:keepNext/>
        <w:rPr>
          <w:rFonts w:ascii="Arial" w:hAnsi="Arial" w:cs="Arial"/>
          <w:i/>
          <w:sz w:val="20"/>
          <w:szCs w:val="20"/>
          <w:lang w:val="en-US"/>
        </w:rPr>
      </w:pPr>
    </w:p>
    <w:p w:rsidR="006C4555" w:rsidRDefault="006C4555" w:rsidP="00810DF7">
      <w:pPr>
        <w:pStyle w:val="Standard"/>
        <w:keepNext/>
        <w:rPr>
          <w:rFonts w:ascii="Arial" w:hAnsi="Arial" w:cs="Arial"/>
          <w:i/>
          <w:sz w:val="20"/>
          <w:szCs w:val="20"/>
          <w:lang w:val="en-US"/>
        </w:rPr>
      </w:pPr>
      <w:r w:rsidRPr="006C4555">
        <w:rPr>
          <w:rFonts w:ascii="Arial" w:hAnsi="Arial" w:cs="Arial"/>
          <w:i/>
          <w:sz w:val="20"/>
          <w:szCs w:val="20"/>
          <w:lang w:val="en-US"/>
        </w:rPr>
        <w:t>Government policy</w:t>
      </w:r>
    </w:p>
    <w:p w:rsidR="006C4555" w:rsidRDefault="006C4555" w:rsidP="00810DF7">
      <w:pPr>
        <w:pStyle w:val="Standard"/>
        <w:keepNext/>
        <w:rPr>
          <w:rFonts w:ascii="Arial" w:hAnsi="Arial" w:cs="Arial"/>
          <w:i/>
          <w:sz w:val="20"/>
          <w:szCs w:val="20"/>
          <w:lang w:val="en-US"/>
        </w:rPr>
      </w:pPr>
    </w:p>
    <w:p w:rsidR="006C4555" w:rsidRDefault="009A04B7" w:rsidP="00810DF7">
      <w:pPr>
        <w:pStyle w:val="Standard"/>
        <w:keepNext/>
        <w:rPr>
          <w:rFonts w:ascii="Arial" w:hAnsi="Arial" w:cs="Arial"/>
          <w:sz w:val="20"/>
          <w:szCs w:val="20"/>
          <w:lang w:val="en-US"/>
        </w:rPr>
      </w:pPr>
      <w:r>
        <w:rPr>
          <w:rFonts w:ascii="Arial" w:hAnsi="Arial" w:cs="Arial"/>
          <w:sz w:val="20"/>
          <w:szCs w:val="20"/>
          <w:lang w:val="en-US"/>
        </w:rPr>
        <w:t>The Australian Government is considering introducing a new ADR, ADR 80/04, based on the Euro VI design standard. The new ADR would impose even more stringent standards on truck emissions. A draft RIS is expected to be released in the first half of 2013.</w:t>
      </w:r>
      <w:r w:rsidR="006F3654">
        <w:rPr>
          <w:rStyle w:val="FootnoteReference"/>
          <w:szCs w:val="20"/>
          <w:lang w:val="en-US"/>
        </w:rPr>
        <w:footnoteReference w:id="16"/>
      </w:r>
    </w:p>
    <w:p w:rsidR="009A04B7" w:rsidRDefault="009A04B7" w:rsidP="00810DF7">
      <w:pPr>
        <w:pStyle w:val="Standard"/>
        <w:keepNext/>
        <w:rPr>
          <w:rFonts w:ascii="Arial" w:hAnsi="Arial" w:cs="Arial"/>
          <w:sz w:val="20"/>
          <w:szCs w:val="20"/>
          <w:lang w:val="en-US"/>
        </w:rPr>
      </w:pPr>
    </w:p>
    <w:p w:rsidR="009A04B7" w:rsidRDefault="00D07AB7" w:rsidP="00810DF7">
      <w:pPr>
        <w:pStyle w:val="Standard"/>
        <w:keepNext/>
        <w:rPr>
          <w:rFonts w:ascii="Arial" w:hAnsi="Arial" w:cs="Arial"/>
          <w:sz w:val="20"/>
          <w:szCs w:val="20"/>
          <w:lang w:val="en-US"/>
        </w:rPr>
      </w:pPr>
      <w:r>
        <w:rPr>
          <w:rFonts w:ascii="Arial" w:hAnsi="Arial" w:cs="Arial"/>
          <w:sz w:val="20"/>
          <w:szCs w:val="20"/>
          <w:lang w:val="en-US"/>
        </w:rPr>
        <w:t>T</w:t>
      </w:r>
      <w:r w:rsidR="009A04B7">
        <w:rPr>
          <w:rFonts w:ascii="Arial" w:hAnsi="Arial" w:cs="Arial"/>
          <w:sz w:val="20"/>
          <w:szCs w:val="20"/>
          <w:lang w:val="en-US"/>
        </w:rPr>
        <w:t>he new ADR would only apply to new trucks</w:t>
      </w:r>
      <w:r>
        <w:rPr>
          <w:rFonts w:ascii="Arial" w:hAnsi="Arial" w:cs="Arial"/>
          <w:sz w:val="20"/>
          <w:szCs w:val="20"/>
          <w:lang w:val="en-US"/>
        </w:rPr>
        <w:t>,</w:t>
      </w:r>
      <w:r w:rsidR="009A04B7">
        <w:rPr>
          <w:rFonts w:ascii="Arial" w:hAnsi="Arial" w:cs="Arial"/>
          <w:sz w:val="20"/>
          <w:szCs w:val="20"/>
          <w:lang w:val="en-US"/>
        </w:rPr>
        <w:t xml:space="preserve"> not the trucks currently in service.</w:t>
      </w:r>
    </w:p>
    <w:p w:rsidR="006C4555" w:rsidRDefault="006C4555" w:rsidP="006C4555">
      <w:pPr>
        <w:pStyle w:val="Standard"/>
        <w:rPr>
          <w:rFonts w:ascii="Arial" w:hAnsi="Arial" w:cs="Arial"/>
          <w:sz w:val="20"/>
          <w:szCs w:val="20"/>
          <w:lang w:val="en-US"/>
        </w:rPr>
      </w:pPr>
    </w:p>
    <w:p w:rsidR="006C4555" w:rsidRDefault="006C4555" w:rsidP="006C4555">
      <w:pPr>
        <w:pStyle w:val="Standard"/>
        <w:rPr>
          <w:rFonts w:ascii="Arial" w:hAnsi="Arial" w:cs="Arial"/>
          <w:sz w:val="20"/>
          <w:szCs w:val="20"/>
          <w:lang w:val="en-US"/>
        </w:rPr>
      </w:pPr>
    </w:p>
    <w:p w:rsidR="00D07AB7" w:rsidRPr="006E0763" w:rsidRDefault="00D07AB7" w:rsidP="006E0763">
      <w:pPr>
        <w:pStyle w:val="Heading1"/>
        <w:rPr>
          <w:sz w:val="22"/>
          <w:szCs w:val="22"/>
        </w:rPr>
      </w:pPr>
      <w:bookmarkStart w:id="15" w:name="_Toc336331472"/>
      <w:r w:rsidRPr="006E0763">
        <w:rPr>
          <w:sz w:val="22"/>
          <w:szCs w:val="22"/>
        </w:rPr>
        <w:t>Conclusion</w:t>
      </w:r>
      <w:bookmarkEnd w:id="15"/>
    </w:p>
    <w:p w:rsidR="006C4555" w:rsidRDefault="006C4555" w:rsidP="006C4555">
      <w:pPr>
        <w:pStyle w:val="Standard"/>
        <w:rPr>
          <w:rFonts w:ascii="Arial" w:hAnsi="Arial" w:cs="Arial"/>
          <w:b/>
          <w:sz w:val="20"/>
          <w:szCs w:val="20"/>
          <w:lang w:val="en-US"/>
        </w:rPr>
      </w:pPr>
    </w:p>
    <w:p w:rsidR="00534B56" w:rsidRDefault="00534B56" w:rsidP="00534B56">
      <w:pPr>
        <w:rPr>
          <w:rFonts w:ascii="Arial" w:hAnsi="Arial" w:cs="Arial"/>
          <w:sz w:val="20"/>
          <w:szCs w:val="20"/>
        </w:rPr>
      </w:pPr>
      <w:r>
        <w:rPr>
          <w:rFonts w:ascii="Arial" w:hAnsi="Arial" w:cs="Arial"/>
          <w:sz w:val="20"/>
          <w:szCs w:val="20"/>
        </w:rPr>
        <w:t>In its discussion paper, the BTWG noted there may well be circumstances where a departure from a uniform tax base can be justified on economic grounds (such as encouraging activities that give rise to positive social benefits).</w:t>
      </w:r>
    </w:p>
    <w:p w:rsidR="00534B56" w:rsidRDefault="00534B56" w:rsidP="00534B56">
      <w:pPr>
        <w:rPr>
          <w:rFonts w:ascii="Arial" w:hAnsi="Arial" w:cs="Arial"/>
          <w:sz w:val="20"/>
          <w:szCs w:val="20"/>
        </w:rPr>
      </w:pPr>
    </w:p>
    <w:p w:rsidR="00C21856" w:rsidRDefault="00534B56" w:rsidP="00534B56">
      <w:pPr>
        <w:rPr>
          <w:rFonts w:ascii="Arial" w:hAnsi="Arial" w:cs="Arial"/>
          <w:sz w:val="20"/>
          <w:szCs w:val="20"/>
        </w:rPr>
      </w:pPr>
      <w:r>
        <w:rPr>
          <w:rFonts w:ascii="Arial" w:hAnsi="Arial" w:cs="Arial"/>
          <w:sz w:val="20"/>
          <w:szCs w:val="20"/>
        </w:rPr>
        <w:t>This submission shows that removing the statutory effective life cap</w:t>
      </w:r>
      <w:r w:rsidR="00C21856">
        <w:rPr>
          <w:rFonts w:ascii="Arial" w:hAnsi="Arial" w:cs="Arial"/>
          <w:sz w:val="20"/>
          <w:szCs w:val="20"/>
        </w:rPr>
        <w:t>s</w:t>
      </w:r>
      <w:r>
        <w:rPr>
          <w:rFonts w:ascii="Arial" w:hAnsi="Arial" w:cs="Arial"/>
          <w:sz w:val="20"/>
          <w:szCs w:val="20"/>
        </w:rPr>
        <w:t xml:space="preserve"> on trucks </w:t>
      </w:r>
      <w:r w:rsidR="00C21856">
        <w:rPr>
          <w:rFonts w:ascii="Arial" w:hAnsi="Arial" w:cs="Arial"/>
          <w:sz w:val="20"/>
          <w:szCs w:val="20"/>
        </w:rPr>
        <w:t xml:space="preserve">and trailers, as proposed in option B.6, </w:t>
      </w:r>
      <w:r>
        <w:rPr>
          <w:rFonts w:ascii="Arial" w:hAnsi="Arial" w:cs="Arial"/>
          <w:sz w:val="20"/>
          <w:szCs w:val="20"/>
        </w:rPr>
        <w:t xml:space="preserve">would impose a cash flow burden on operators </w:t>
      </w:r>
      <w:r w:rsidR="00C21856">
        <w:rPr>
          <w:rFonts w:ascii="Arial" w:hAnsi="Arial" w:cs="Arial"/>
          <w:sz w:val="20"/>
          <w:szCs w:val="20"/>
        </w:rPr>
        <w:t>despite the proposed cut in the company tax rate.</w:t>
      </w:r>
    </w:p>
    <w:p w:rsidR="00C21856" w:rsidRDefault="00C21856" w:rsidP="00534B56">
      <w:pPr>
        <w:rPr>
          <w:rFonts w:ascii="Arial" w:hAnsi="Arial" w:cs="Arial"/>
          <w:sz w:val="20"/>
          <w:szCs w:val="20"/>
        </w:rPr>
      </w:pPr>
    </w:p>
    <w:p w:rsidR="00C21856" w:rsidRDefault="00427964" w:rsidP="00534B56">
      <w:pPr>
        <w:rPr>
          <w:rFonts w:ascii="Arial" w:hAnsi="Arial" w:cs="Arial"/>
          <w:sz w:val="20"/>
          <w:szCs w:val="20"/>
        </w:rPr>
      </w:pPr>
      <w:r>
        <w:rPr>
          <w:rFonts w:ascii="Arial" w:hAnsi="Arial" w:cs="Arial"/>
          <w:sz w:val="20"/>
          <w:szCs w:val="20"/>
        </w:rPr>
        <w:t>T</w:t>
      </w:r>
      <w:r w:rsidR="00C21856">
        <w:rPr>
          <w:rFonts w:ascii="Arial" w:hAnsi="Arial" w:cs="Arial"/>
          <w:sz w:val="20"/>
          <w:szCs w:val="20"/>
        </w:rPr>
        <w:t>he cash flow burden would amount to $4,163 per year for each indicative</w:t>
      </w:r>
      <w:r w:rsidR="00534B56">
        <w:rPr>
          <w:rFonts w:ascii="Arial" w:hAnsi="Arial" w:cs="Arial"/>
          <w:sz w:val="20"/>
          <w:szCs w:val="20"/>
        </w:rPr>
        <w:t xml:space="preserve"> prime mover</w:t>
      </w:r>
      <w:r w:rsidR="00D26B30">
        <w:rPr>
          <w:rFonts w:ascii="Arial" w:hAnsi="Arial" w:cs="Arial"/>
          <w:sz w:val="20"/>
          <w:szCs w:val="20"/>
        </w:rPr>
        <w:t xml:space="preserve"> depreciated using the prime cost method</w:t>
      </w:r>
      <w:r w:rsidR="00C21856">
        <w:rPr>
          <w:rFonts w:ascii="Arial" w:hAnsi="Arial" w:cs="Arial"/>
          <w:sz w:val="20"/>
          <w:szCs w:val="20"/>
        </w:rPr>
        <w:t>.</w:t>
      </w:r>
    </w:p>
    <w:p w:rsidR="005223B3" w:rsidRDefault="005223B3" w:rsidP="00534B56">
      <w:pPr>
        <w:rPr>
          <w:rFonts w:ascii="Arial" w:hAnsi="Arial" w:cs="Arial"/>
          <w:sz w:val="20"/>
          <w:szCs w:val="20"/>
        </w:rPr>
      </w:pPr>
    </w:p>
    <w:p w:rsidR="00534B56" w:rsidRDefault="00E15707" w:rsidP="00534B56">
      <w:pPr>
        <w:rPr>
          <w:rFonts w:ascii="Arial" w:hAnsi="Arial" w:cs="Arial"/>
          <w:sz w:val="20"/>
          <w:szCs w:val="20"/>
        </w:rPr>
      </w:pPr>
      <w:r>
        <w:rPr>
          <w:rFonts w:ascii="Arial" w:hAnsi="Arial" w:cs="Arial"/>
          <w:sz w:val="20"/>
          <w:szCs w:val="20"/>
        </w:rPr>
        <w:t>For any given capital expenditure</w:t>
      </w:r>
      <w:r w:rsidR="00C21856">
        <w:rPr>
          <w:rFonts w:ascii="Arial" w:hAnsi="Arial" w:cs="Arial"/>
          <w:sz w:val="20"/>
          <w:szCs w:val="20"/>
        </w:rPr>
        <w:t xml:space="preserve"> program, the cash flow gap</w:t>
      </w:r>
      <w:r w:rsidR="00534B56">
        <w:rPr>
          <w:rFonts w:ascii="Arial" w:hAnsi="Arial" w:cs="Arial"/>
          <w:sz w:val="20"/>
          <w:szCs w:val="20"/>
        </w:rPr>
        <w:t xml:space="preserve"> would reduce </w:t>
      </w:r>
      <w:r w:rsidR="00C21856">
        <w:rPr>
          <w:rFonts w:ascii="Arial" w:hAnsi="Arial" w:cs="Arial"/>
          <w:sz w:val="20"/>
          <w:szCs w:val="20"/>
        </w:rPr>
        <w:t xml:space="preserve">operators’ </w:t>
      </w:r>
      <w:r w:rsidR="00534B56">
        <w:rPr>
          <w:rFonts w:ascii="Arial" w:hAnsi="Arial" w:cs="Arial"/>
          <w:sz w:val="20"/>
          <w:szCs w:val="20"/>
        </w:rPr>
        <w:t>ability to purchase new trucks and renew their fleets with the latest equipment.</w:t>
      </w:r>
    </w:p>
    <w:p w:rsidR="00534B56" w:rsidRDefault="00534B56" w:rsidP="006C4555">
      <w:pPr>
        <w:pStyle w:val="Standard"/>
        <w:rPr>
          <w:rFonts w:ascii="Arial" w:hAnsi="Arial" w:cs="Arial"/>
          <w:b/>
          <w:sz w:val="20"/>
          <w:szCs w:val="20"/>
          <w:lang w:val="en-US"/>
        </w:rPr>
      </w:pPr>
    </w:p>
    <w:p w:rsidR="00D26B30" w:rsidRDefault="00D26B30" w:rsidP="00D26B30">
      <w:pPr>
        <w:pStyle w:val="Standard"/>
        <w:rPr>
          <w:rFonts w:ascii="Arial" w:hAnsi="Arial" w:cs="Arial"/>
          <w:sz w:val="20"/>
          <w:szCs w:val="20"/>
          <w:lang w:val="en-US"/>
        </w:rPr>
      </w:pPr>
      <w:r>
        <w:rPr>
          <w:rFonts w:ascii="Arial" w:hAnsi="Arial" w:cs="Arial"/>
          <w:sz w:val="20"/>
          <w:szCs w:val="20"/>
          <w:lang w:val="en-US"/>
        </w:rPr>
        <w:t>Vehicle safety and emission standards are imposed on new and imported second hand trucks, not on all trucks in service. As a result, slowing the rate of new truck purchases would slow the rate that safety and environmental standards are rolled out across Australia’s truck fleet.</w:t>
      </w:r>
    </w:p>
    <w:p w:rsidR="00D26B30" w:rsidRDefault="00D26B30" w:rsidP="00D26B30">
      <w:pPr>
        <w:pStyle w:val="Standard"/>
        <w:rPr>
          <w:rFonts w:ascii="Arial" w:hAnsi="Arial" w:cs="Arial"/>
          <w:sz w:val="20"/>
          <w:szCs w:val="20"/>
          <w:lang w:val="en-US"/>
        </w:rPr>
      </w:pPr>
    </w:p>
    <w:p w:rsidR="00D26B30" w:rsidRDefault="00D26B30" w:rsidP="00D26B30">
      <w:pPr>
        <w:pStyle w:val="Standard"/>
        <w:rPr>
          <w:rFonts w:ascii="Arial" w:hAnsi="Arial" w:cs="Arial"/>
          <w:sz w:val="20"/>
          <w:szCs w:val="20"/>
          <w:lang w:val="en-US"/>
        </w:rPr>
      </w:pPr>
      <w:r>
        <w:rPr>
          <w:rFonts w:ascii="Arial" w:hAnsi="Arial" w:cs="Arial"/>
          <w:sz w:val="20"/>
          <w:szCs w:val="20"/>
          <w:lang w:val="en-US"/>
        </w:rPr>
        <w:t>These standards aim to reduce the $17.85 billion yearly cost of road accidents and the $2.7 billion yearly cost of motor vehicle pollution. Slowing the rollout would delay their economic benefits, and would also conflict with existing Government policy.</w:t>
      </w:r>
    </w:p>
    <w:p w:rsidR="006C4555" w:rsidRDefault="006C4555" w:rsidP="006C4555">
      <w:pPr>
        <w:pStyle w:val="Standard"/>
        <w:rPr>
          <w:rFonts w:ascii="Arial" w:hAnsi="Arial" w:cs="Arial"/>
          <w:sz w:val="20"/>
          <w:szCs w:val="20"/>
          <w:lang w:val="en-US"/>
        </w:rPr>
      </w:pPr>
    </w:p>
    <w:p w:rsidR="00534B56" w:rsidRDefault="00D26B30" w:rsidP="006C4555">
      <w:pPr>
        <w:pStyle w:val="Standard"/>
        <w:rPr>
          <w:rFonts w:ascii="Arial" w:hAnsi="Arial" w:cs="Arial"/>
          <w:sz w:val="20"/>
          <w:szCs w:val="20"/>
          <w:lang w:val="en-US"/>
        </w:rPr>
      </w:pPr>
      <w:r>
        <w:rPr>
          <w:rFonts w:ascii="Arial" w:hAnsi="Arial" w:cs="Arial"/>
          <w:sz w:val="20"/>
          <w:szCs w:val="20"/>
          <w:lang w:val="en-US"/>
        </w:rPr>
        <w:t xml:space="preserve">There are, in short, </w:t>
      </w:r>
      <w:r w:rsidR="00D8184D">
        <w:rPr>
          <w:rFonts w:ascii="Arial" w:hAnsi="Arial" w:cs="Arial"/>
          <w:sz w:val="20"/>
          <w:szCs w:val="20"/>
          <w:lang w:val="en-US"/>
        </w:rPr>
        <w:t>strong</w:t>
      </w:r>
      <w:r>
        <w:rPr>
          <w:rFonts w:ascii="Arial" w:hAnsi="Arial" w:cs="Arial"/>
          <w:sz w:val="20"/>
          <w:szCs w:val="20"/>
          <w:lang w:val="en-US"/>
        </w:rPr>
        <w:t xml:space="preserve"> reasons to retain the existing statutory caps on the effective lives of trucks and trailers.</w:t>
      </w:r>
    </w:p>
    <w:p w:rsidR="0050093F" w:rsidRDefault="00534B56" w:rsidP="006C4555">
      <w:pPr>
        <w:pStyle w:val="Standard"/>
        <w:rPr>
          <w:rFonts w:ascii="Arial" w:hAnsi="Arial" w:cs="Arial"/>
          <w:sz w:val="20"/>
          <w:szCs w:val="20"/>
          <w:lang w:val="en-US"/>
        </w:rPr>
      </w:pPr>
      <w:r>
        <w:rPr>
          <w:rFonts w:ascii="Arial" w:hAnsi="Arial" w:cs="Arial"/>
          <w:sz w:val="20"/>
          <w:szCs w:val="20"/>
          <w:lang w:val="en-US"/>
        </w:rPr>
        <w:t xml:space="preserve"> </w:t>
      </w:r>
    </w:p>
    <w:p w:rsidR="00D26B30" w:rsidRDefault="00D26B30" w:rsidP="00D26B30">
      <w:pPr>
        <w:pStyle w:val="Standard"/>
        <w:ind w:right="567"/>
        <w:rPr>
          <w:rFonts w:ascii="Arial" w:hAnsi="Arial" w:cs="Arial"/>
          <w:b/>
          <w:sz w:val="20"/>
          <w:szCs w:val="20"/>
          <w:lang w:val="en-US"/>
        </w:rPr>
      </w:pPr>
      <w:r w:rsidRPr="006C4555">
        <w:rPr>
          <w:rFonts w:ascii="Arial" w:hAnsi="Arial" w:cs="Arial"/>
          <w:b/>
          <w:sz w:val="20"/>
          <w:szCs w:val="20"/>
          <w:lang w:val="en-US"/>
        </w:rPr>
        <w:lastRenderedPageBreak/>
        <w:t xml:space="preserve">The </w:t>
      </w:r>
      <w:r>
        <w:rPr>
          <w:rFonts w:ascii="Arial" w:hAnsi="Arial" w:cs="Arial"/>
          <w:b/>
          <w:sz w:val="20"/>
          <w:szCs w:val="20"/>
          <w:lang w:val="en-US"/>
        </w:rPr>
        <w:t xml:space="preserve">ATA accordingly recommends that: </w:t>
      </w:r>
    </w:p>
    <w:p w:rsidR="00D26B30" w:rsidRDefault="00D26B30" w:rsidP="00D26B30">
      <w:pPr>
        <w:pStyle w:val="Standard"/>
        <w:ind w:left="567" w:right="567"/>
        <w:rPr>
          <w:rFonts w:ascii="Arial" w:hAnsi="Arial" w:cs="Arial"/>
          <w:b/>
          <w:sz w:val="20"/>
          <w:szCs w:val="20"/>
          <w:lang w:val="en-US"/>
        </w:rPr>
      </w:pPr>
    </w:p>
    <w:p w:rsidR="00D26B30" w:rsidRDefault="00D26B30" w:rsidP="00D26B30">
      <w:pPr>
        <w:pStyle w:val="Standard"/>
        <w:numPr>
          <w:ilvl w:val="0"/>
          <w:numId w:val="16"/>
        </w:numPr>
        <w:ind w:right="567"/>
        <w:rPr>
          <w:rFonts w:ascii="Arial" w:hAnsi="Arial" w:cs="Arial"/>
          <w:b/>
          <w:sz w:val="20"/>
          <w:szCs w:val="20"/>
          <w:lang w:val="en-US"/>
        </w:rPr>
      </w:pPr>
      <w:r>
        <w:rPr>
          <w:rFonts w:ascii="Arial" w:hAnsi="Arial" w:cs="Arial"/>
          <w:b/>
          <w:sz w:val="20"/>
          <w:szCs w:val="20"/>
          <w:lang w:val="en-US"/>
        </w:rPr>
        <w:t xml:space="preserve">the </w:t>
      </w:r>
      <w:r w:rsidRPr="006C4555">
        <w:rPr>
          <w:rFonts w:ascii="Arial" w:hAnsi="Arial" w:cs="Arial"/>
          <w:b/>
          <w:sz w:val="20"/>
          <w:szCs w:val="20"/>
          <w:lang w:val="en-US"/>
        </w:rPr>
        <w:t xml:space="preserve">BTWG should </w:t>
      </w:r>
      <w:r>
        <w:rPr>
          <w:rFonts w:ascii="Arial" w:hAnsi="Arial" w:cs="Arial"/>
          <w:b/>
          <w:sz w:val="20"/>
          <w:szCs w:val="20"/>
          <w:lang w:val="en-US"/>
        </w:rPr>
        <w:t>continue looking at options to reduce the company tax rate to 25 per cent but</w:t>
      </w:r>
    </w:p>
    <w:p w:rsidR="00D26B30" w:rsidRDefault="00D26B30" w:rsidP="00D26B30">
      <w:pPr>
        <w:pStyle w:val="Standard"/>
        <w:ind w:left="720" w:right="567"/>
        <w:rPr>
          <w:rFonts w:ascii="Arial" w:hAnsi="Arial" w:cs="Arial"/>
          <w:b/>
          <w:sz w:val="20"/>
          <w:szCs w:val="20"/>
          <w:lang w:val="en-US"/>
        </w:rPr>
      </w:pPr>
    </w:p>
    <w:p w:rsidR="00D26B30" w:rsidRDefault="00D26B30" w:rsidP="00D26B30">
      <w:pPr>
        <w:pStyle w:val="Standard"/>
        <w:numPr>
          <w:ilvl w:val="0"/>
          <w:numId w:val="16"/>
        </w:numPr>
        <w:ind w:right="567"/>
        <w:rPr>
          <w:rFonts w:ascii="Arial" w:hAnsi="Arial" w:cs="Arial"/>
          <w:b/>
          <w:sz w:val="20"/>
          <w:szCs w:val="20"/>
          <w:lang w:val="en-US"/>
        </w:rPr>
      </w:pPr>
      <w:r>
        <w:rPr>
          <w:rFonts w:ascii="Arial" w:hAnsi="Arial" w:cs="Arial"/>
          <w:b/>
          <w:sz w:val="20"/>
          <w:szCs w:val="20"/>
          <w:lang w:val="en-US"/>
        </w:rPr>
        <w:t xml:space="preserve">it should </w:t>
      </w:r>
      <w:r w:rsidRPr="006C4555">
        <w:rPr>
          <w:rFonts w:ascii="Arial" w:hAnsi="Arial" w:cs="Arial"/>
          <w:b/>
          <w:sz w:val="20"/>
          <w:szCs w:val="20"/>
          <w:lang w:val="en-US"/>
        </w:rPr>
        <w:t xml:space="preserve">not </w:t>
      </w:r>
      <w:r>
        <w:rPr>
          <w:rFonts w:ascii="Arial" w:hAnsi="Arial" w:cs="Arial"/>
          <w:b/>
          <w:sz w:val="20"/>
          <w:szCs w:val="20"/>
          <w:lang w:val="en-US"/>
        </w:rPr>
        <w:t>further consider removing the statutory effective life caps on trucks and trailers, because:</w:t>
      </w:r>
    </w:p>
    <w:p w:rsidR="00D26B30" w:rsidRDefault="00D26B30" w:rsidP="00D26B30">
      <w:pPr>
        <w:pStyle w:val="Standard"/>
        <w:ind w:right="567"/>
        <w:rPr>
          <w:rFonts w:ascii="Arial" w:hAnsi="Arial" w:cs="Arial"/>
          <w:b/>
          <w:sz w:val="20"/>
          <w:szCs w:val="20"/>
          <w:lang w:val="en-US"/>
        </w:rPr>
      </w:pPr>
    </w:p>
    <w:p w:rsidR="00D26B30" w:rsidRDefault="00D26B30" w:rsidP="00D26B30">
      <w:pPr>
        <w:pStyle w:val="Standard"/>
        <w:numPr>
          <w:ilvl w:val="0"/>
          <w:numId w:val="21"/>
        </w:numPr>
        <w:ind w:left="1440" w:right="567"/>
        <w:rPr>
          <w:rFonts w:ascii="Arial" w:hAnsi="Arial" w:cs="Arial"/>
          <w:b/>
          <w:sz w:val="20"/>
          <w:szCs w:val="20"/>
          <w:lang w:val="en-US"/>
        </w:rPr>
      </w:pPr>
      <w:r>
        <w:rPr>
          <w:rFonts w:ascii="Arial" w:hAnsi="Arial" w:cs="Arial"/>
          <w:b/>
          <w:sz w:val="20"/>
          <w:szCs w:val="20"/>
          <w:lang w:val="en-US"/>
        </w:rPr>
        <w:t>the option would impose an additional cash flow burden on trucking businesses, which would reduce their ability to renew their fleets</w:t>
      </w:r>
    </w:p>
    <w:p w:rsidR="00D26B30" w:rsidRDefault="00D26B30" w:rsidP="00D26B30">
      <w:pPr>
        <w:pStyle w:val="Standard"/>
        <w:ind w:left="1440" w:right="567"/>
        <w:rPr>
          <w:rFonts w:ascii="Arial" w:hAnsi="Arial" w:cs="Arial"/>
          <w:b/>
          <w:sz w:val="20"/>
          <w:szCs w:val="20"/>
          <w:lang w:val="en-US"/>
        </w:rPr>
      </w:pPr>
    </w:p>
    <w:p w:rsidR="00D26B30" w:rsidRDefault="00D26B30" w:rsidP="00D26B30">
      <w:pPr>
        <w:pStyle w:val="Standard"/>
        <w:numPr>
          <w:ilvl w:val="0"/>
          <w:numId w:val="17"/>
        </w:numPr>
        <w:ind w:left="1440" w:right="567"/>
        <w:rPr>
          <w:rFonts w:ascii="Arial" w:hAnsi="Arial" w:cs="Arial"/>
          <w:b/>
          <w:sz w:val="20"/>
          <w:szCs w:val="20"/>
          <w:lang w:val="en-US"/>
        </w:rPr>
      </w:pPr>
      <w:r w:rsidRPr="00AE232A">
        <w:rPr>
          <w:rFonts w:ascii="Arial" w:hAnsi="Arial" w:cs="Arial"/>
          <w:b/>
          <w:sz w:val="20"/>
          <w:szCs w:val="20"/>
          <w:lang w:val="en-US"/>
        </w:rPr>
        <w:t xml:space="preserve">it would slow the rollout of safety and environmental standards that aim to mitigate </w:t>
      </w:r>
      <w:r>
        <w:rPr>
          <w:rFonts w:ascii="Arial" w:hAnsi="Arial" w:cs="Arial"/>
          <w:b/>
          <w:sz w:val="20"/>
          <w:szCs w:val="20"/>
          <w:lang w:val="en-US"/>
        </w:rPr>
        <w:t>the $17.85</w:t>
      </w:r>
      <w:r w:rsidRPr="00AE232A">
        <w:rPr>
          <w:rFonts w:ascii="Arial" w:hAnsi="Arial" w:cs="Arial"/>
          <w:b/>
          <w:sz w:val="20"/>
          <w:szCs w:val="20"/>
          <w:lang w:val="en-US"/>
        </w:rPr>
        <w:t xml:space="preserve"> billion </w:t>
      </w:r>
      <w:r>
        <w:rPr>
          <w:rFonts w:ascii="Arial" w:hAnsi="Arial" w:cs="Arial"/>
          <w:b/>
          <w:sz w:val="20"/>
          <w:szCs w:val="20"/>
          <w:lang w:val="en-US"/>
        </w:rPr>
        <w:t xml:space="preserve">yearly </w:t>
      </w:r>
      <w:r w:rsidRPr="00AE232A">
        <w:rPr>
          <w:rFonts w:ascii="Arial" w:hAnsi="Arial" w:cs="Arial"/>
          <w:b/>
          <w:sz w:val="20"/>
          <w:szCs w:val="20"/>
          <w:lang w:val="en-US"/>
        </w:rPr>
        <w:t xml:space="preserve">cost of road accidents and the $2.7 billion </w:t>
      </w:r>
      <w:r>
        <w:rPr>
          <w:rFonts w:ascii="Arial" w:hAnsi="Arial" w:cs="Arial"/>
          <w:b/>
          <w:sz w:val="20"/>
          <w:szCs w:val="20"/>
          <w:lang w:val="en-US"/>
        </w:rPr>
        <w:t xml:space="preserve">yearly </w:t>
      </w:r>
      <w:r w:rsidRPr="00AE232A">
        <w:rPr>
          <w:rFonts w:ascii="Arial" w:hAnsi="Arial" w:cs="Arial"/>
          <w:b/>
          <w:sz w:val="20"/>
          <w:szCs w:val="20"/>
          <w:lang w:val="en-US"/>
        </w:rPr>
        <w:t>cost of motor vehicle pollution</w:t>
      </w:r>
    </w:p>
    <w:p w:rsidR="00D26B30" w:rsidRDefault="00D26B30" w:rsidP="00D26B30">
      <w:pPr>
        <w:pStyle w:val="Standard"/>
        <w:ind w:left="1440" w:right="567"/>
        <w:rPr>
          <w:rFonts w:ascii="Arial" w:hAnsi="Arial" w:cs="Arial"/>
          <w:b/>
          <w:sz w:val="20"/>
          <w:szCs w:val="20"/>
          <w:lang w:val="en-US"/>
        </w:rPr>
      </w:pPr>
    </w:p>
    <w:p w:rsidR="00D26B30" w:rsidRDefault="00D26B30" w:rsidP="00D26B30">
      <w:pPr>
        <w:pStyle w:val="Standard"/>
        <w:numPr>
          <w:ilvl w:val="0"/>
          <w:numId w:val="17"/>
        </w:numPr>
        <w:ind w:left="1440" w:right="567"/>
        <w:rPr>
          <w:rFonts w:ascii="Arial" w:hAnsi="Arial" w:cs="Arial"/>
          <w:b/>
          <w:sz w:val="20"/>
          <w:szCs w:val="20"/>
          <w:lang w:val="en-US"/>
        </w:rPr>
      </w:pPr>
      <w:r>
        <w:rPr>
          <w:rFonts w:ascii="Arial" w:hAnsi="Arial" w:cs="Arial"/>
          <w:b/>
          <w:sz w:val="20"/>
          <w:szCs w:val="20"/>
          <w:lang w:val="en-US"/>
        </w:rPr>
        <w:t>it would conflict with the Government’s existing road safety and air pollution policies and</w:t>
      </w:r>
    </w:p>
    <w:p w:rsidR="00D26B30" w:rsidRDefault="00D26B30" w:rsidP="00D26B30">
      <w:pPr>
        <w:pStyle w:val="Standard"/>
        <w:ind w:left="1440" w:right="567"/>
        <w:rPr>
          <w:rFonts w:ascii="Arial" w:hAnsi="Arial" w:cs="Arial"/>
          <w:b/>
          <w:sz w:val="20"/>
          <w:szCs w:val="20"/>
          <w:lang w:val="en-US"/>
        </w:rPr>
      </w:pPr>
    </w:p>
    <w:p w:rsidR="00D26B30" w:rsidRPr="00EF5282" w:rsidRDefault="00D26B30" w:rsidP="00D26B30">
      <w:pPr>
        <w:pStyle w:val="Standard"/>
        <w:numPr>
          <w:ilvl w:val="0"/>
          <w:numId w:val="17"/>
        </w:numPr>
        <w:ind w:left="1440" w:right="567"/>
        <w:rPr>
          <w:rFonts w:ascii="Arial" w:hAnsi="Arial" w:cs="Arial"/>
          <w:b/>
          <w:sz w:val="20"/>
          <w:szCs w:val="20"/>
          <w:lang w:val="en-US"/>
        </w:rPr>
        <w:sectPr w:rsidR="00D26B30" w:rsidRPr="00EF5282" w:rsidSect="008133EB">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134" w:header="703" w:footer="408" w:gutter="0"/>
          <w:cols w:space="708"/>
          <w:docGrid w:linePitch="360"/>
        </w:sectPr>
      </w:pPr>
      <w:r>
        <w:rPr>
          <w:rFonts w:ascii="Arial" w:hAnsi="Arial" w:cs="Arial"/>
          <w:b/>
          <w:sz w:val="20"/>
          <w:szCs w:val="20"/>
          <w:lang w:val="en-US"/>
        </w:rPr>
        <w:t>despite all these problems, it would only generate 0.8 per cent of the savings needed to offset the proposed company tax cut.</w:t>
      </w:r>
      <w:r w:rsidRPr="00EF5282">
        <w:rPr>
          <w:rFonts w:ascii="Arial" w:hAnsi="Arial" w:cs="Arial"/>
          <w:b/>
          <w:sz w:val="20"/>
          <w:szCs w:val="20"/>
          <w:lang w:val="en-US"/>
        </w:rPr>
        <w:t xml:space="preserve"> </w:t>
      </w:r>
    </w:p>
    <w:p w:rsidR="00733D89" w:rsidRPr="000B2A69" w:rsidRDefault="000B2A69" w:rsidP="006E0763">
      <w:pPr>
        <w:pStyle w:val="Heading1"/>
        <w:numPr>
          <w:ilvl w:val="0"/>
          <w:numId w:val="0"/>
        </w:numPr>
        <w:ind w:left="360" w:hanging="360"/>
        <w:rPr>
          <w:sz w:val="22"/>
          <w:szCs w:val="22"/>
        </w:rPr>
      </w:pPr>
      <w:bookmarkStart w:id="16" w:name="_Toc336331473"/>
      <w:r w:rsidRPr="000B2A69">
        <w:rPr>
          <w:sz w:val="22"/>
          <w:szCs w:val="22"/>
        </w:rPr>
        <w:lastRenderedPageBreak/>
        <w:t>Attachment A: effective life of trucks questionnaire</w:t>
      </w:r>
      <w:bookmarkEnd w:id="16"/>
    </w:p>
    <w:p w:rsidR="00733D89" w:rsidRDefault="00733D89" w:rsidP="00733D89">
      <w:pPr>
        <w:rPr>
          <w:rFonts w:ascii="Arial" w:hAnsi="Arial" w:cs="Arial"/>
          <w:b/>
          <w:sz w:val="24"/>
          <w:szCs w:val="24"/>
        </w:rPr>
      </w:pPr>
    </w:p>
    <w:p w:rsidR="000B2A69" w:rsidRDefault="000B2A69" w:rsidP="00733D89">
      <w:pPr>
        <w:rPr>
          <w:rFonts w:ascii="Arial" w:hAnsi="Arial"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9"/>
        <w:gridCol w:w="2994"/>
      </w:tblGrid>
      <w:tr w:rsidR="00733D89" w:rsidTr="00733D89">
        <w:trPr>
          <w:jc w:val="center"/>
        </w:trPr>
        <w:tc>
          <w:tcPr>
            <w:tcW w:w="3319" w:type="dxa"/>
          </w:tcPr>
          <w:p w:rsidR="00733D89" w:rsidRDefault="00733D89" w:rsidP="00733D89">
            <w:pPr>
              <w:pStyle w:val="Header"/>
            </w:pPr>
            <w:r w:rsidRPr="00701509">
              <w:rPr>
                <w:noProof/>
                <w:lang w:eastAsia="en-AU"/>
              </w:rPr>
              <w:drawing>
                <wp:inline distT="0" distB="0" distL="0" distR="0">
                  <wp:extent cx="1951355" cy="846455"/>
                  <wp:effectExtent l="19050" t="0" r="0" b="0"/>
                  <wp:docPr id="5"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29">
                            <a:biLevel thresh="50000"/>
                          </a:blip>
                          <a:srcRect/>
                          <a:stretch>
                            <a:fillRect/>
                          </a:stretch>
                        </pic:blipFill>
                        <pic:spPr bwMode="auto">
                          <a:xfrm>
                            <a:off x="0" y="0"/>
                            <a:ext cx="1951355" cy="846455"/>
                          </a:xfrm>
                          <a:prstGeom prst="rect">
                            <a:avLst/>
                          </a:prstGeom>
                          <a:noFill/>
                          <a:ln w="9525">
                            <a:noFill/>
                            <a:miter lim="800000"/>
                            <a:headEnd/>
                            <a:tailEnd/>
                          </a:ln>
                        </pic:spPr>
                      </pic:pic>
                    </a:graphicData>
                  </a:graphic>
                </wp:inline>
              </w:drawing>
            </w:r>
          </w:p>
        </w:tc>
        <w:tc>
          <w:tcPr>
            <w:tcW w:w="2994" w:type="dxa"/>
          </w:tcPr>
          <w:p w:rsidR="00733D89" w:rsidRDefault="00733D89" w:rsidP="00733D89">
            <w:pPr>
              <w:pStyle w:val="Header"/>
              <w:jc w:val="center"/>
            </w:pPr>
            <w:r>
              <w:t>INSERT ASSOCIATION LOGO HERE</w:t>
            </w:r>
          </w:p>
        </w:tc>
      </w:tr>
    </w:tbl>
    <w:p w:rsidR="00733D89" w:rsidRDefault="00733D89" w:rsidP="00733D89">
      <w:pPr>
        <w:jc w:val="center"/>
        <w:rPr>
          <w:rFonts w:ascii="Arial" w:hAnsi="Arial" w:cs="Arial"/>
          <w:b/>
          <w:sz w:val="24"/>
          <w:szCs w:val="24"/>
        </w:rPr>
      </w:pPr>
    </w:p>
    <w:p w:rsidR="00733D89" w:rsidRPr="00F50158" w:rsidRDefault="00733D89" w:rsidP="00733D89">
      <w:pPr>
        <w:jc w:val="center"/>
        <w:rPr>
          <w:rFonts w:ascii="Arial" w:hAnsi="Arial" w:cs="Arial"/>
          <w:b/>
          <w:sz w:val="24"/>
          <w:szCs w:val="24"/>
        </w:rPr>
      </w:pPr>
      <w:r w:rsidRPr="00F50158">
        <w:rPr>
          <w:rFonts w:ascii="Arial" w:hAnsi="Arial" w:cs="Arial"/>
          <w:b/>
          <w:sz w:val="24"/>
          <w:szCs w:val="24"/>
        </w:rPr>
        <w:t>EFFECTIVE LIFE OF TRUCKS REFERENCE GROUP</w:t>
      </w:r>
    </w:p>
    <w:p w:rsidR="00733D89" w:rsidRDefault="00733D89" w:rsidP="00733D89">
      <w:pPr>
        <w:rPr>
          <w:rFonts w:ascii="Arial" w:hAnsi="Arial" w:cs="Arial"/>
        </w:rPr>
      </w:pPr>
    </w:p>
    <w:p w:rsidR="00733D89" w:rsidRDefault="00733D89" w:rsidP="00733D89">
      <w:pPr>
        <w:rPr>
          <w:rFonts w:ascii="Arial" w:hAnsi="Arial" w:cs="Arial"/>
        </w:rPr>
      </w:pPr>
      <w:r w:rsidRPr="00F50158">
        <w:rPr>
          <w:rFonts w:ascii="Arial" w:hAnsi="Arial" w:cs="Arial"/>
        </w:rPr>
        <w:t xml:space="preserve">The Australian Government’s Business Tax Working Group (BTWG) has raised, as an option, removing the statutory caps on the effective lives of trucks and trailers. If this was implemented: </w:t>
      </w:r>
    </w:p>
    <w:p w:rsidR="00733D89" w:rsidRPr="00F50158" w:rsidRDefault="00733D89" w:rsidP="00733D89">
      <w:pPr>
        <w:rPr>
          <w:rFonts w:ascii="Arial" w:hAnsi="Arial" w:cs="Arial"/>
        </w:rPr>
      </w:pPr>
    </w:p>
    <w:p w:rsidR="00733D89" w:rsidRPr="00F50158" w:rsidRDefault="00733D89" w:rsidP="00AE232A">
      <w:pPr>
        <w:pStyle w:val="ListParagraph"/>
        <w:numPr>
          <w:ilvl w:val="0"/>
          <w:numId w:val="11"/>
        </w:numPr>
        <w:spacing w:after="0" w:line="240" w:lineRule="auto"/>
        <w:rPr>
          <w:rFonts w:ascii="Arial" w:hAnsi="Arial" w:cs="Arial"/>
        </w:rPr>
      </w:pPr>
      <w:r w:rsidRPr="00F50158">
        <w:rPr>
          <w:rFonts w:ascii="Arial" w:hAnsi="Arial" w:cs="Arial"/>
        </w:rPr>
        <w:t>the effective life of a prime mover or rigid truck would increase from 7½ years to 15 years for depreciation purposes.</w:t>
      </w:r>
    </w:p>
    <w:p w:rsidR="00733D89" w:rsidRPr="00F50158" w:rsidRDefault="00733D89" w:rsidP="00AE232A">
      <w:pPr>
        <w:pStyle w:val="ListParagraph"/>
        <w:numPr>
          <w:ilvl w:val="0"/>
          <w:numId w:val="11"/>
        </w:numPr>
        <w:spacing w:after="0" w:line="240" w:lineRule="auto"/>
        <w:rPr>
          <w:rFonts w:ascii="Arial" w:hAnsi="Arial" w:cs="Arial"/>
        </w:rPr>
      </w:pPr>
      <w:r w:rsidRPr="00F50158">
        <w:rPr>
          <w:rFonts w:ascii="Arial" w:hAnsi="Arial" w:cs="Arial"/>
        </w:rPr>
        <w:t xml:space="preserve">the effective life of a trailer would increase from 10 years to 15 years. </w:t>
      </w:r>
    </w:p>
    <w:p w:rsidR="00733D89" w:rsidRDefault="00733D89" w:rsidP="00733D89">
      <w:pPr>
        <w:rPr>
          <w:rFonts w:ascii="Arial" w:hAnsi="Arial" w:cs="Arial"/>
        </w:rPr>
      </w:pPr>
    </w:p>
    <w:p w:rsidR="00733D89" w:rsidRPr="00F50158" w:rsidRDefault="00733D89" w:rsidP="00733D89">
      <w:pPr>
        <w:rPr>
          <w:rFonts w:ascii="Arial" w:hAnsi="Arial" w:cs="Arial"/>
        </w:rPr>
      </w:pPr>
      <w:r>
        <w:rPr>
          <w:rFonts w:ascii="Arial" w:hAnsi="Arial" w:cs="Arial"/>
        </w:rPr>
        <w:t>We</w:t>
      </w:r>
      <w:r w:rsidRPr="00F50158">
        <w:rPr>
          <w:rFonts w:ascii="Arial" w:hAnsi="Arial" w:cs="Arial"/>
        </w:rPr>
        <w:t xml:space="preserve"> would like to get your input to help develop the industry’s submission in response to this option. </w:t>
      </w:r>
    </w:p>
    <w:p w:rsidR="00733D89" w:rsidRDefault="00733D89" w:rsidP="00733D89">
      <w:pPr>
        <w:rPr>
          <w:rFonts w:ascii="Arial" w:hAnsi="Arial" w:cs="Arial"/>
        </w:rPr>
      </w:pPr>
    </w:p>
    <w:p w:rsidR="00733D89" w:rsidRPr="00F50158" w:rsidRDefault="00733D89" w:rsidP="00733D89">
      <w:pPr>
        <w:rPr>
          <w:rFonts w:ascii="Arial" w:hAnsi="Arial" w:cs="Arial"/>
        </w:rPr>
      </w:pPr>
      <w:r w:rsidRPr="00F50158">
        <w:rPr>
          <w:rFonts w:ascii="Arial" w:hAnsi="Arial" w:cs="Arial"/>
        </w:rPr>
        <w:t xml:space="preserve">This would involve asking your chief financial officer, finance manager or accountant to prepare responses to some technical questions. We may need to discuss your responses on the phone, and would also like you to review a draft of the submission, once prepared. </w:t>
      </w:r>
    </w:p>
    <w:p w:rsidR="00733D89" w:rsidRDefault="00733D89" w:rsidP="00733D89">
      <w:pPr>
        <w:rPr>
          <w:rFonts w:ascii="Arial" w:hAnsi="Arial" w:cs="Arial"/>
        </w:rPr>
      </w:pPr>
    </w:p>
    <w:p w:rsidR="00733D89" w:rsidRPr="00F50158" w:rsidRDefault="00733D89" w:rsidP="00733D89">
      <w:pPr>
        <w:rPr>
          <w:rFonts w:ascii="Arial" w:hAnsi="Arial" w:cs="Arial"/>
        </w:rPr>
      </w:pPr>
      <w:r w:rsidRPr="00F50158">
        <w:rPr>
          <w:rFonts w:ascii="Arial" w:hAnsi="Arial" w:cs="Arial"/>
        </w:rPr>
        <w:t xml:space="preserve">Your time commitment would be small, </w:t>
      </w:r>
      <w:r>
        <w:rPr>
          <w:rFonts w:ascii="Arial" w:hAnsi="Arial" w:cs="Arial"/>
        </w:rPr>
        <w:t>but vital. W</w:t>
      </w:r>
      <w:r w:rsidRPr="00F50158">
        <w:rPr>
          <w:rFonts w:ascii="Arial" w:hAnsi="Arial" w:cs="Arial"/>
        </w:rPr>
        <w:t>e need your help to prepare the best argument we can against this option.</w:t>
      </w:r>
    </w:p>
    <w:p w:rsidR="00733D89" w:rsidRDefault="00733D89" w:rsidP="00733D89">
      <w:pPr>
        <w:rPr>
          <w:rFonts w:ascii="Arial" w:hAnsi="Arial" w:cs="Arial"/>
        </w:rPr>
      </w:pPr>
    </w:p>
    <w:p w:rsidR="00733D89" w:rsidRPr="00F50158" w:rsidRDefault="00733D89" w:rsidP="00733D89">
      <w:pPr>
        <w:rPr>
          <w:rFonts w:ascii="Arial" w:hAnsi="Arial" w:cs="Arial"/>
        </w:rPr>
      </w:pPr>
      <w:r w:rsidRPr="00F50158">
        <w:rPr>
          <w:rFonts w:ascii="Arial" w:hAnsi="Arial" w:cs="Arial"/>
        </w:rPr>
        <w:t>If you would like to participate, would you please provide responses to the following questions and send them to Sarah Harber (</w:t>
      </w:r>
      <w:hyperlink r:id="rId30" w:history="1">
        <w:r w:rsidRPr="00F50158">
          <w:rPr>
            <w:rStyle w:val="Hyperlink"/>
            <w:rFonts w:ascii="Arial" w:hAnsi="Arial" w:cs="Arial"/>
          </w:rPr>
          <w:t>sarah.harber@truck.net.au</w:t>
        </w:r>
      </w:hyperlink>
      <w:r w:rsidRPr="00F50158">
        <w:rPr>
          <w:rFonts w:ascii="Arial" w:hAnsi="Arial" w:cs="Arial"/>
        </w:rPr>
        <w:t xml:space="preserve">) by </w:t>
      </w:r>
      <w:r w:rsidRPr="002835AE">
        <w:rPr>
          <w:rFonts w:ascii="Arial" w:hAnsi="Arial" w:cs="Arial"/>
          <w:b/>
        </w:rPr>
        <w:t>Wednesday 12 September</w:t>
      </w:r>
      <w:r w:rsidRPr="00F50158">
        <w:rPr>
          <w:rFonts w:ascii="Arial" w:hAnsi="Arial" w:cs="Arial"/>
        </w:rPr>
        <w:t xml:space="preserve">? </w:t>
      </w:r>
    </w:p>
    <w:p w:rsidR="00733D89" w:rsidRDefault="00733D89" w:rsidP="00733D89">
      <w:pPr>
        <w:rPr>
          <w:rFonts w:ascii="Arial" w:hAnsi="Arial" w:cs="Arial"/>
        </w:rPr>
      </w:pPr>
    </w:p>
    <w:p w:rsidR="00733D89" w:rsidRPr="00F50158" w:rsidRDefault="00733D89" w:rsidP="00733D89">
      <w:pPr>
        <w:rPr>
          <w:rFonts w:ascii="Arial" w:hAnsi="Arial" w:cs="Arial"/>
        </w:rPr>
      </w:pPr>
      <w:r w:rsidRPr="00F50158">
        <w:rPr>
          <w:rFonts w:ascii="Arial" w:hAnsi="Arial" w:cs="Arial"/>
        </w:rPr>
        <w:t xml:space="preserve">All </w:t>
      </w:r>
      <w:r>
        <w:rPr>
          <w:rFonts w:ascii="Arial" w:hAnsi="Arial" w:cs="Arial"/>
        </w:rPr>
        <w:t xml:space="preserve">responses </w:t>
      </w:r>
      <w:r w:rsidRPr="00F50158">
        <w:rPr>
          <w:rFonts w:ascii="Arial" w:hAnsi="Arial" w:cs="Arial"/>
        </w:rPr>
        <w:t>will be treated in confidence, and rounded and de-identified before they are used.</w:t>
      </w:r>
    </w:p>
    <w:p w:rsidR="00733D89" w:rsidRDefault="00733D89" w:rsidP="00733D89">
      <w:pPr>
        <w:rPr>
          <w:rFonts w:ascii="Arial" w:hAnsi="Arial" w:cs="Arial"/>
        </w:rPr>
      </w:pPr>
    </w:p>
    <w:p w:rsidR="00733D89" w:rsidRPr="00F50158" w:rsidRDefault="00733D89" w:rsidP="00733D89">
      <w:pPr>
        <w:rPr>
          <w:rFonts w:ascii="Arial" w:hAnsi="Arial" w:cs="Arial"/>
        </w:rPr>
      </w:pPr>
      <w:r w:rsidRPr="00F50158">
        <w:rPr>
          <w:rFonts w:ascii="Arial" w:hAnsi="Arial" w:cs="Arial"/>
        </w:rPr>
        <w:t xml:space="preserve">Please contact Bill McKinley or Sarah Harber on (02) 6253 6900 if you have any questions. </w:t>
      </w:r>
    </w:p>
    <w:p w:rsidR="00733D89" w:rsidRDefault="00733D89" w:rsidP="00733D89">
      <w:pPr>
        <w:rPr>
          <w:rFonts w:ascii="Arial" w:hAnsi="Arial" w:cs="Arial"/>
          <w:b/>
        </w:rPr>
      </w:pPr>
    </w:p>
    <w:p w:rsidR="00733D89" w:rsidRPr="00861FFD" w:rsidRDefault="00733D89" w:rsidP="00733D89">
      <w:pPr>
        <w:rPr>
          <w:rFonts w:ascii="Arial" w:hAnsi="Arial" w:cs="Arial"/>
          <w:b/>
        </w:rPr>
      </w:pPr>
      <w:r w:rsidRPr="00861FFD">
        <w:rPr>
          <w:rFonts w:ascii="Arial" w:hAnsi="Arial" w:cs="Arial"/>
          <w:b/>
        </w:rPr>
        <w:t xml:space="preserve">Current accounting policies </w:t>
      </w:r>
    </w:p>
    <w:p w:rsidR="00733D89" w:rsidRPr="00F50158" w:rsidRDefault="00733D89" w:rsidP="00AE232A">
      <w:pPr>
        <w:pStyle w:val="ListParagraph"/>
        <w:numPr>
          <w:ilvl w:val="0"/>
          <w:numId w:val="12"/>
        </w:numPr>
        <w:rPr>
          <w:rFonts w:ascii="Arial" w:hAnsi="Arial" w:cs="Arial"/>
        </w:rPr>
      </w:pPr>
      <w:r w:rsidRPr="00F50158">
        <w:rPr>
          <w:rFonts w:ascii="Arial" w:hAnsi="Arial" w:cs="Arial"/>
        </w:rPr>
        <w:t xml:space="preserve">Do you self-assess the effective lives of your vehicles for depreciation purposes, or do you use the safe harbour of the statutory effective life caps? </w:t>
      </w:r>
    </w:p>
    <w:p w:rsidR="00733D89" w:rsidRDefault="00733D89" w:rsidP="00733D89">
      <w:pPr>
        <w:pBdr>
          <w:top w:val="single" w:sz="4" w:space="1" w:color="auto"/>
          <w:left w:val="single" w:sz="4" w:space="4" w:color="auto"/>
          <w:bottom w:val="single" w:sz="4" w:space="1" w:color="auto"/>
          <w:right w:val="single" w:sz="4" w:space="4" w:color="auto"/>
        </w:pBdr>
        <w:rPr>
          <w:rFonts w:ascii="Arial" w:hAnsi="Arial" w:cs="Arial"/>
          <w:sz w:val="18"/>
          <w:szCs w:val="18"/>
        </w:rPr>
      </w:pPr>
      <w:r w:rsidRPr="00F50158">
        <w:rPr>
          <w:rFonts w:ascii="Arial" w:hAnsi="Arial" w:cs="Arial"/>
          <w:sz w:val="18"/>
          <w:szCs w:val="18"/>
        </w:rPr>
        <w:t>Response:</w:t>
      </w:r>
    </w:p>
    <w:p w:rsidR="00733D89" w:rsidRDefault="00733D89" w:rsidP="00733D89">
      <w:pPr>
        <w:pBdr>
          <w:top w:val="single" w:sz="4" w:space="1" w:color="auto"/>
          <w:left w:val="single" w:sz="4" w:space="4" w:color="auto"/>
          <w:bottom w:val="single" w:sz="4" w:space="1" w:color="auto"/>
          <w:right w:val="single" w:sz="4" w:space="4" w:color="auto"/>
        </w:pBdr>
        <w:rPr>
          <w:rFonts w:ascii="Arial" w:hAnsi="Arial" w:cs="Arial"/>
        </w:rPr>
      </w:pPr>
    </w:p>
    <w:p w:rsidR="00733D89" w:rsidRDefault="00733D89" w:rsidP="00733D89">
      <w:pPr>
        <w:pBdr>
          <w:top w:val="single" w:sz="4" w:space="1" w:color="auto"/>
          <w:left w:val="single" w:sz="4" w:space="4" w:color="auto"/>
          <w:bottom w:val="single" w:sz="4" w:space="1" w:color="auto"/>
          <w:right w:val="single" w:sz="4" w:space="4" w:color="auto"/>
        </w:pBdr>
        <w:rPr>
          <w:rFonts w:ascii="Arial" w:hAnsi="Arial" w:cs="Arial"/>
        </w:rPr>
      </w:pPr>
    </w:p>
    <w:p w:rsidR="00733D89" w:rsidRDefault="00733D89" w:rsidP="00733D89">
      <w:pPr>
        <w:pStyle w:val="ListParagraph"/>
        <w:ind w:left="360"/>
        <w:rPr>
          <w:rFonts w:ascii="Arial" w:hAnsi="Arial" w:cs="Arial"/>
        </w:rPr>
      </w:pPr>
    </w:p>
    <w:p w:rsidR="00733D89" w:rsidRDefault="00733D89" w:rsidP="00AE232A">
      <w:pPr>
        <w:pStyle w:val="ListParagraph"/>
        <w:numPr>
          <w:ilvl w:val="0"/>
          <w:numId w:val="12"/>
        </w:numPr>
        <w:rPr>
          <w:rFonts w:ascii="Arial" w:hAnsi="Arial" w:cs="Arial"/>
        </w:rPr>
      </w:pPr>
      <w:r w:rsidRPr="00861FFD">
        <w:rPr>
          <w:rFonts w:ascii="Arial" w:hAnsi="Arial" w:cs="Arial"/>
        </w:rPr>
        <w:t>If you do self-assess the effective life of your vehicles</w:t>
      </w:r>
      <w:r>
        <w:rPr>
          <w:rFonts w:ascii="Arial" w:hAnsi="Arial" w:cs="Arial"/>
        </w:rPr>
        <w:t>,</w:t>
      </w:r>
      <w:r w:rsidRPr="00861FFD">
        <w:rPr>
          <w:rFonts w:ascii="Arial" w:hAnsi="Arial" w:cs="Arial"/>
        </w:rPr>
        <w:t xml:space="preserve"> what is your write down rate e.g. 10% per year?</w:t>
      </w:r>
    </w:p>
    <w:p w:rsidR="00733D89" w:rsidRDefault="00733D89" w:rsidP="00733D89">
      <w:pPr>
        <w:pStyle w:val="ListParagraph"/>
        <w:ind w:left="36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ind w:left="0"/>
        <w:rPr>
          <w:rFonts w:ascii="Arial" w:hAnsi="Arial" w:cs="Arial"/>
          <w:sz w:val="18"/>
          <w:szCs w:val="18"/>
        </w:rPr>
      </w:pPr>
      <w:r w:rsidRPr="00F50158">
        <w:rPr>
          <w:rFonts w:ascii="Arial" w:hAnsi="Arial" w:cs="Arial"/>
          <w:sz w:val="18"/>
          <w:szCs w:val="18"/>
        </w:rPr>
        <w:t>Response:</w:t>
      </w:r>
    </w:p>
    <w:p w:rsidR="00733D89" w:rsidRDefault="00733D89" w:rsidP="00733D89">
      <w:pPr>
        <w:pStyle w:val="ListParagraph"/>
        <w:pBdr>
          <w:top w:val="single" w:sz="4" w:space="1" w:color="auto"/>
          <w:left w:val="single" w:sz="4" w:space="4" w:color="auto"/>
          <w:bottom w:val="single" w:sz="4" w:space="1" w:color="auto"/>
          <w:right w:val="single" w:sz="4" w:space="4" w:color="auto"/>
        </w:pBdr>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ind w:left="0"/>
        <w:rPr>
          <w:rFonts w:ascii="Arial" w:hAnsi="Arial" w:cs="Arial"/>
        </w:rPr>
      </w:pPr>
    </w:p>
    <w:p w:rsidR="00733D89" w:rsidRDefault="00733D89" w:rsidP="00733D89">
      <w:pPr>
        <w:pStyle w:val="ListParagraph"/>
        <w:ind w:left="360"/>
        <w:rPr>
          <w:rFonts w:ascii="Arial" w:hAnsi="Arial" w:cs="Arial"/>
        </w:rPr>
      </w:pPr>
    </w:p>
    <w:p w:rsidR="00733D89" w:rsidRPr="00861FFD" w:rsidRDefault="00733D89" w:rsidP="00733D89">
      <w:pPr>
        <w:pStyle w:val="ListParagraph"/>
        <w:ind w:left="360"/>
        <w:rPr>
          <w:rFonts w:ascii="Arial" w:hAnsi="Arial" w:cs="Arial"/>
        </w:rPr>
      </w:pPr>
    </w:p>
    <w:p w:rsidR="00733D89" w:rsidRPr="00861FFD" w:rsidRDefault="00733D89" w:rsidP="00AE232A">
      <w:pPr>
        <w:pStyle w:val="ListParagraph"/>
        <w:keepNext/>
        <w:numPr>
          <w:ilvl w:val="0"/>
          <w:numId w:val="12"/>
        </w:numPr>
        <w:rPr>
          <w:rFonts w:ascii="Arial" w:hAnsi="Arial" w:cs="Arial"/>
        </w:rPr>
      </w:pPr>
      <w:r w:rsidRPr="00861FFD">
        <w:rPr>
          <w:rFonts w:ascii="Arial" w:hAnsi="Arial" w:cs="Arial"/>
        </w:rPr>
        <w:t xml:space="preserve">Do you have different depreciation rates for different classes of vehicles of equipment? </w:t>
      </w:r>
    </w:p>
    <w:p w:rsidR="00733D89" w:rsidRDefault="00733D89" w:rsidP="00733D89">
      <w:pPr>
        <w:pStyle w:val="ListParagraph"/>
        <w:keepNext/>
        <w:ind w:left="360"/>
        <w:rPr>
          <w:rFonts w:ascii="Arial" w:hAnsi="Arial" w:cs="Arial"/>
        </w:rPr>
      </w:pPr>
    </w:p>
    <w:p w:rsidR="00733D89" w:rsidRPr="00F50158" w:rsidRDefault="00733D89" w:rsidP="00733D89">
      <w:pPr>
        <w:pStyle w:val="ListParagraph"/>
        <w:keepNext/>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F50158">
        <w:rPr>
          <w:rFonts w:ascii="Arial" w:hAnsi="Arial" w:cs="Arial"/>
          <w:sz w:val="18"/>
          <w:szCs w:val="18"/>
        </w:rPr>
        <w:t>Response:</w:t>
      </w:r>
    </w:p>
    <w:p w:rsidR="00733D89"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Default="00733D89" w:rsidP="00733D89">
      <w:pPr>
        <w:pStyle w:val="ListParagraph"/>
        <w:ind w:left="360"/>
        <w:rPr>
          <w:rFonts w:ascii="Arial" w:hAnsi="Arial" w:cs="Arial"/>
        </w:rPr>
      </w:pPr>
    </w:p>
    <w:p w:rsidR="00733D89" w:rsidRDefault="00733D89" w:rsidP="00AE232A">
      <w:pPr>
        <w:pStyle w:val="ListParagraph"/>
        <w:keepNext/>
        <w:numPr>
          <w:ilvl w:val="0"/>
          <w:numId w:val="12"/>
        </w:numPr>
        <w:rPr>
          <w:rFonts w:ascii="Arial" w:hAnsi="Arial" w:cs="Arial"/>
        </w:rPr>
      </w:pPr>
      <w:r w:rsidRPr="00861FFD">
        <w:rPr>
          <w:rFonts w:ascii="Arial" w:hAnsi="Arial" w:cs="Arial"/>
        </w:rPr>
        <w:t xml:space="preserve">Are you in the simplified tax system? </w:t>
      </w:r>
    </w:p>
    <w:p w:rsidR="00733D89" w:rsidRPr="00B126BA" w:rsidRDefault="00733D89" w:rsidP="00733D89">
      <w:pPr>
        <w:keepNext/>
        <w:pBdr>
          <w:top w:val="single" w:sz="4" w:space="1" w:color="auto"/>
          <w:left w:val="single" w:sz="4" w:space="4" w:color="auto"/>
          <w:bottom w:val="single" w:sz="4" w:space="1" w:color="auto"/>
          <w:right w:val="single" w:sz="4" w:space="4" w:color="auto"/>
        </w:pBdr>
        <w:rPr>
          <w:rFonts w:ascii="Arial" w:hAnsi="Arial" w:cs="Arial"/>
          <w:sz w:val="18"/>
          <w:szCs w:val="18"/>
        </w:rPr>
      </w:pPr>
      <w:r w:rsidRPr="00B126BA">
        <w:rPr>
          <w:rFonts w:ascii="Arial" w:hAnsi="Arial" w:cs="Arial"/>
          <w:sz w:val="18"/>
          <w:szCs w:val="18"/>
        </w:rPr>
        <w:t>Response:</w:t>
      </w:r>
    </w:p>
    <w:p w:rsidR="00733D89"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Default="00733D89" w:rsidP="00733D89">
      <w:pPr>
        <w:pStyle w:val="ListParagraph"/>
        <w:ind w:left="360"/>
        <w:rPr>
          <w:rFonts w:ascii="Arial" w:hAnsi="Arial" w:cs="Arial"/>
        </w:rPr>
      </w:pPr>
    </w:p>
    <w:p w:rsidR="00733D89" w:rsidRDefault="00733D89" w:rsidP="00AE232A">
      <w:pPr>
        <w:pStyle w:val="ListParagraph"/>
        <w:numPr>
          <w:ilvl w:val="0"/>
          <w:numId w:val="12"/>
        </w:numPr>
        <w:rPr>
          <w:rFonts w:ascii="Arial" w:hAnsi="Arial" w:cs="Arial"/>
        </w:rPr>
      </w:pPr>
      <w:r w:rsidRPr="00861FFD">
        <w:rPr>
          <w:rFonts w:ascii="Arial" w:hAnsi="Arial" w:cs="Arial"/>
        </w:rPr>
        <w:t xml:space="preserve">Do you use the prime cost or diminishing value method for depreciating your vehicles? </w:t>
      </w:r>
    </w:p>
    <w:p w:rsidR="00733D89" w:rsidRPr="00861FFD" w:rsidRDefault="00733D89" w:rsidP="00733D89">
      <w:pPr>
        <w:pStyle w:val="ListParagraph"/>
        <w:ind w:left="360"/>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Bdr>
          <w:top w:val="single" w:sz="4" w:space="1" w:color="auto"/>
          <w:left w:val="single" w:sz="4" w:space="4" w:color="auto"/>
          <w:bottom w:val="single" w:sz="4" w:space="1" w:color="auto"/>
          <w:right w:val="single" w:sz="4" w:space="4" w:color="auto"/>
        </w:pBdr>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Default="00733D89" w:rsidP="00733D89">
      <w:pPr>
        <w:rPr>
          <w:rFonts w:ascii="Arial" w:hAnsi="Arial" w:cs="Arial"/>
          <w:b/>
        </w:rPr>
      </w:pPr>
    </w:p>
    <w:p w:rsidR="00733D89" w:rsidRPr="00861FFD" w:rsidRDefault="00733D89" w:rsidP="00733D89">
      <w:pPr>
        <w:rPr>
          <w:rFonts w:ascii="Arial" w:hAnsi="Arial" w:cs="Arial"/>
          <w:b/>
        </w:rPr>
      </w:pPr>
      <w:r w:rsidRPr="00861FFD">
        <w:rPr>
          <w:rFonts w:ascii="Arial" w:hAnsi="Arial" w:cs="Arial"/>
          <w:b/>
        </w:rPr>
        <w:t>Capital expenditure plans</w:t>
      </w:r>
    </w:p>
    <w:p w:rsidR="00733D89" w:rsidRPr="00B126BA" w:rsidRDefault="00733D89" w:rsidP="00AE232A">
      <w:pPr>
        <w:pStyle w:val="ListParagraph"/>
        <w:numPr>
          <w:ilvl w:val="0"/>
          <w:numId w:val="12"/>
        </w:numPr>
        <w:rPr>
          <w:rFonts w:ascii="Arial" w:hAnsi="Arial" w:cs="Arial"/>
        </w:rPr>
      </w:pPr>
      <w:r w:rsidRPr="00B126BA">
        <w:rPr>
          <w:rFonts w:ascii="Arial" w:hAnsi="Arial" w:cs="Arial"/>
        </w:rPr>
        <w:t xml:space="preserve">What is your planned capital expenditure on </w:t>
      </w:r>
      <w:r>
        <w:rPr>
          <w:rFonts w:ascii="Arial" w:hAnsi="Arial" w:cs="Arial"/>
        </w:rPr>
        <w:t xml:space="preserve">new </w:t>
      </w:r>
      <w:r w:rsidRPr="00B126BA">
        <w:rPr>
          <w:rFonts w:ascii="Arial" w:hAnsi="Arial" w:cs="Arial"/>
        </w:rPr>
        <w:t xml:space="preserve">trucks in 2013-14, 2014-15 and </w:t>
      </w:r>
      <w:r>
        <w:rPr>
          <w:rFonts w:ascii="Arial" w:hAnsi="Arial" w:cs="Arial"/>
        </w:rPr>
        <w:br/>
      </w:r>
      <w:r w:rsidRPr="00B126BA">
        <w:rPr>
          <w:rFonts w:ascii="Arial" w:hAnsi="Arial" w:cs="Arial"/>
        </w:rPr>
        <w:t>2015-16?</w:t>
      </w:r>
    </w:p>
    <w:p w:rsidR="00733D89" w:rsidRDefault="00733D89" w:rsidP="00733D89">
      <w:pPr>
        <w:pStyle w:val="ListParagraph"/>
        <w:ind w:left="0"/>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Bdr>
          <w:top w:val="single" w:sz="4" w:space="1" w:color="auto"/>
          <w:left w:val="single" w:sz="4" w:space="4" w:color="auto"/>
          <w:bottom w:val="single" w:sz="4" w:space="1" w:color="auto"/>
          <w:right w:val="single" w:sz="4" w:space="4" w:color="auto"/>
        </w:pBdr>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861FFD" w:rsidRDefault="00733D89" w:rsidP="00733D89">
      <w:pPr>
        <w:pStyle w:val="ListParagraph"/>
        <w:ind w:left="0"/>
        <w:rPr>
          <w:rFonts w:ascii="Arial" w:hAnsi="Arial" w:cs="Arial"/>
        </w:rPr>
      </w:pPr>
    </w:p>
    <w:p w:rsidR="00733D89" w:rsidRDefault="00733D89" w:rsidP="00AE232A">
      <w:pPr>
        <w:pStyle w:val="ListParagraph"/>
        <w:numPr>
          <w:ilvl w:val="0"/>
          <w:numId w:val="12"/>
        </w:numPr>
        <w:spacing w:after="0" w:line="240" w:lineRule="auto"/>
        <w:rPr>
          <w:rFonts w:ascii="Arial" w:hAnsi="Arial" w:cs="Arial"/>
        </w:rPr>
      </w:pPr>
      <w:r w:rsidRPr="00B126BA">
        <w:rPr>
          <w:rFonts w:ascii="Arial" w:hAnsi="Arial" w:cs="Arial"/>
        </w:rPr>
        <w:t>How many new trucks do you plan to purchase in 2013-14, 2014-15</w:t>
      </w:r>
      <w:r>
        <w:rPr>
          <w:rFonts w:ascii="Arial" w:hAnsi="Arial" w:cs="Arial"/>
        </w:rPr>
        <w:t xml:space="preserve"> and 2015-16?</w:t>
      </w:r>
    </w:p>
    <w:p w:rsidR="00733D89" w:rsidRPr="00B126BA" w:rsidRDefault="00733D89" w:rsidP="00733D89">
      <w:pPr>
        <w:pStyle w:val="ListParagraph"/>
        <w:spacing w:after="0" w:line="240" w:lineRule="auto"/>
        <w:ind w:left="360"/>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B126BA" w:rsidRDefault="00733D89" w:rsidP="00733D89">
      <w:pPr>
        <w:rPr>
          <w:rFonts w:ascii="Arial" w:hAnsi="Arial" w:cs="Arial"/>
        </w:rPr>
      </w:pPr>
    </w:p>
    <w:p w:rsidR="00733D89" w:rsidRPr="007630FC" w:rsidRDefault="00733D89" w:rsidP="00AE232A">
      <w:pPr>
        <w:pStyle w:val="ListParagraph"/>
        <w:numPr>
          <w:ilvl w:val="0"/>
          <w:numId w:val="12"/>
        </w:numPr>
        <w:spacing w:after="0" w:line="240" w:lineRule="auto"/>
        <w:rPr>
          <w:rFonts w:ascii="Arial" w:hAnsi="Arial" w:cs="Arial"/>
        </w:rPr>
      </w:pPr>
      <w:r w:rsidRPr="007630FC">
        <w:rPr>
          <w:rFonts w:ascii="Arial" w:hAnsi="Arial" w:cs="Arial"/>
        </w:rPr>
        <w:t xml:space="preserve">What is your planned capital expenditure on new trailers in 2013-14, 2014-15 and </w:t>
      </w:r>
      <w:r>
        <w:rPr>
          <w:rFonts w:ascii="Arial" w:hAnsi="Arial" w:cs="Arial"/>
        </w:rPr>
        <w:br/>
      </w:r>
      <w:r w:rsidRPr="007630FC">
        <w:rPr>
          <w:rFonts w:ascii="Arial" w:hAnsi="Arial" w:cs="Arial"/>
        </w:rPr>
        <w:t>2015-16?</w:t>
      </w:r>
    </w:p>
    <w:p w:rsidR="00733D89" w:rsidRDefault="00733D89" w:rsidP="00733D89">
      <w:pPr>
        <w:pStyle w:val="ListParagraph"/>
        <w:spacing w:after="0" w:line="240" w:lineRule="auto"/>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861FFD" w:rsidRDefault="00733D89" w:rsidP="00733D89">
      <w:pPr>
        <w:pStyle w:val="ListParagraph"/>
        <w:spacing w:after="0" w:line="240" w:lineRule="auto"/>
        <w:ind w:left="0"/>
        <w:rPr>
          <w:rFonts w:ascii="Arial" w:hAnsi="Arial" w:cs="Arial"/>
        </w:rPr>
      </w:pPr>
    </w:p>
    <w:p w:rsidR="00733D89" w:rsidRPr="007630FC" w:rsidRDefault="00733D89" w:rsidP="00AE232A">
      <w:pPr>
        <w:pStyle w:val="ListParagraph"/>
        <w:numPr>
          <w:ilvl w:val="0"/>
          <w:numId w:val="12"/>
        </w:numPr>
        <w:spacing w:after="0" w:line="240" w:lineRule="auto"/>
        <w:rPr>
          <w:rFonts w:ascii="Arial" w:hAnsi="Arial" w:cs="Arial"/>
        </w:rPr>
      </w:pPr>
      <w:r w:rsidRPr="007630FC">
        <w:rPr>
          <w:rFonts w:ascii="Arial" w:hAnsi="Arial" w:cs="Arial"/>
        </w:rPr>
        <w:t>How many new trailers do you plan to purchase in 2013-14, 2014-15</w:t>
      </w:r>
      <w:r>
        <w:rPr>
          <w:rFonts w:ascii="Arial" w:hAnsi="Arial" w:cs="Arial"/>
        </w:rPr>
        <w:t xml:space="preserve"> and 2015-16?</w:t>
      </w:r>
    </w:p>
    <w:p w:rsidR="00733D89" w:rsidRPr="007630FC" w:rsidRDefault="00733D89" w:rsidP="00733D89">
      <w:pPr>
        <w:ind w:left="360"/>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861FFD" w:rsidRDefault="00733D89" w:rsidP="00733D89">
      <w:pPr>
        <w:pStyle w:val="ListParagraph"/>
        <w:spacing w:after="0" w:line="240" w:lineRule="auto"/>
        <w:ind w:left="0"/>
        <w:rPr>
          <w:rFonts w:ascii="Arial" w:hAnsi="Arial" w:cs="Arial"/>
        </w:rPr>
      </w:pPr>
    </w:p>
    <w:p w:rsidR="00733D89" w:rsidRPr="007630FC" w:rsidRDefault="00733D89" w:rsidP="00AE232A">
      <w:pPr>
        <w:pStyle w:val="ListParagraph"/>
        <w:numPr>
          <w:ilvl w:val="0"/>
          <w:numId w:val="12"/>
        </w:numPr>
        <w:spacing w:after="0" w:line="240" w:lineRule="auto"/>
        <w:rPr>
          <w:rFonts w:ascii="Arial" w:hAnsi="Arial" w:cs="Arial"/>
        </w:rPr>
      </w:pPr>
      <w:r>
        <w:rPr>
          <w:rFonts w:ascii="Arial" w:hAnsi="Arial" w:cs="Arial"/>
        </w:rPr>
        <w:t>How much would you typically expect to pay for a new truck?</w:t>
      </w:r>
    </w:p>
    <w:p w:rsidR="00733D89" w:rsidRPr="007630FC" w:rsidRDefault="00733D89" w:rsidP="00733D89">
      <w:pPr>
        <w:ind w:left="360"/>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861FFD" w:rsidRDefault="00733D89" w:rsidP="00733D89">
      <w:pPr>
        <w:pStyle w:val="ListParagraph"/>
        <w:spacing w:after="0" w:line="240" w:lineRule="auto"/>
        <w:ind w:left="0"/>
        <w:rPr>
          <w:rFonts w:ascii="Arial" w:hAnsi="Arial" w:cs="Arial"/>
        </w:rPr>
      </w:pPr>
    </w:p>
    <w:p w:rsidR="00733D89" w:rsidRPr="007630FC" w:rsidRDefault="00733D89" w:rsidP="00AE232A">
      <w:pPr>
        <w:pStyle w:val="ListParagraph"/>
        <w:keepNext/>
        <w:numPr>
          <w:ilvl w:val="0"/>
          <w:numId w:val="12"/>
        </w:numPr>
        <w:spacing w:after="0" w:line="240" w:lineRule="auto"/>
        <w:rPr>
          <w:rFonts w:ascii="Arial" w:hAnsi="Arial" w:cs="Arial"/>
        </w:rPr>
      </w:pPr>
      <w:r>
        <w:rPr>
          <w:rFonts w:ascii="Arial" w:hAnsi="Arial" w:cs="Arial"/>
        </w:rPr>
        <w:t>How much would you typically expect to pay for a new trailer?</w:t>
      </w:r>
    </w:p>
    <w:p w:rsidR="00733D89" w:rsidRPr="007630FC" w:rsidRDefault="00733D89" w:rsidP="00733D89">
      <w:pPr>
        <w:keepNext/>
        <w:ind w:left="360"/>
        <w:rPr>
          <w:rFonts w:ascii="Arial" w:hAnsi="Arial" w:cs="Arial"/>
        </w:rPr>
      </w:pPr>
    </w:p>
    <w:p w:rsidR="00733D89" w:rsidRPr="00B126BA" w:rsidRDefault="00733D89" w:rsidP="00733D89">
      <w:pPr>
        <w:pStyle w:val="ListParagraph"/>
        <w:keepNext/>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keepNext/>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Default="00733D89" w:rsidP="00733D89">
      <w:pPr>
        <w:rPr>
          <w:rFonts w:ascii="Arial" w:hAnsi="Arial" w:cs="Arial"/>
          <w:b/>
        </w:rPr>
      </w:pPr>
    </w:p>
    <w:p w:rsidR="00733D89" w:rsidRDefault="00733D89" w:rsidP="00733D89">
      <w:pPr>
        <w:rPr>
          <w:rFonts w:ascii="Arial" w:hAnsi="Arial" w:cs="Arial"/>
          <w:b/>
        </w:rPr>
      </w:pPr>
    </w:p>
    <w:p w:rsidR="00733D89" w:rsidRPr="00861FFD" w:rsidRDefault="00733D89" w:rsidP="00733D89">
      <w:pPr>
        <w:rPr>
          <w:rFonts w:ascii="Arial" w:hAnsi="Arial" w:cs="Arial"/>
          <w:b/>
        </w:rPr>
      </w:pPr>
      <w:r w:rsidRPr="00861FFD">
        <w:rPr>
          <w:rFonts w:ascii="Arial" w:hAnsi="Arial" w:cs="Arial"/>
          <w:b/>
        </w:rPr>
        <w:t>Vehicle disposal/maintenance policies</w:t>
      </w:r>
    </w:p>
    <w:p w:rsidR="00733D89" w:rsidRDefault="00733D89" w:rsidP="00733D89">
      <w:pPr>
        <w:pStyle w:val="ListParagraph"/>
        <w:spacing w:after="0" w:line="240" w:lineRule="auto"/>
        <w:rPr>
          <w:rFonts w:ascii="Arial" w:hAnsi="Arial" w:cs="Arial"/>
        </w:rPr>
      </w:pPr>
    </w:p>
    <w:p w:rsidR="00733D89" w:rsidRPr="00861FFD" w:rsidRDefault="00733D89" w:rsidP="00AE232A">
      <w:pPr>
        <w:pStyle w:val="ListParagraph"/>
        <w:numPr>
          <w:ilvl w:val="0"/>
          <w:numId w:val="12"/>
        </w:numPr>
        <w:spacing w:after="0" w:line="240" w:lineRule="auto"/>
        <w:rPr>
          <w:rFonts w:ascii="Arial" w:hAnsi="Arial" w:cs="Arial"/>
        </w:rPr>
      </w:pPr>
      <w:r w:rsidRPr="00861FFD">
        <w:rPr>
          <w:rFonts w:ascii="Arial" w:hAnsi="Arial" w:cs="Arial"/>
        </w:rPr>
        <w:t xml:space="preserve">How long do you typically keep </w:t>
      </w:r>
      <w:r>
        <w:rPr>
          <w:rFonts w:ascii="Arial" w:hAnsi="Arial" w:cs="Arial"/>
        </w:rPr>
        <w:t>new trucks before you sell them on, and how many kilometres have they typically travelled by that stage?</w:t>
      </w:r>
    </w:p>
    <w:p w:rsidR="00733D89" w:rsidRDefault="00733D89" w:rsidP="00733D89">
      <w:pPr>
        <w:pStyle w:val="ListParagraph"/>
        <w:spacing w:after="0" w:line="240" w:lineRule="auto"/>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Default="00733D89" w:rsidP="00733D89">
      <w:pPr>
        <w:pStyle w:val="ListParagraph"/>
        <w:spacing w:after="0" w:line="240" w:lineRule="auto"/>
        <w:ind w:left="0"/>
        <w:rPr>
          <w:rFonts w:ascii="Arial" w:hAnsi="Arial" w:cs="Arial"/>
        </w:rPr>
      </w:pPr>
    </w:p>
    <w:p w:rsidR="00733D89" w:rsidRDefault="00733D89" w:rsidP="00AE232A">
      <w:pPr>
        <w:pStyle w:val="ListParagraph"/>
        <w:numPr>
          <w:ilvl w:val="0"/>
          <w:numId w:val="12"/>
        </w:numPr>
        <w:spacing w:after="0" w:line="240" w:lineRule="auto"/>
        <w:rPr>
          <w:rFonts w:ascii="Arial" w:hAnsi="Arial" w:cs="Arial"/>
        </w:rPr>
      </w:pPr>
      <w:r w:rsidRPr="00861FFD">
        <w:rPr>
          <w:rFonts w:ascii="Arial" w:hAnsi="Arial" w:cs="Arial"/>
        </w:rPr>
        <w:t xml:space="preserve">What would you typically expect to receive for one of your trucks when it is sold? </w:t>
      </w:r>
    </w:p>
    <w:p w:rsidR="00733D89" w:rsidRDefault="00733D89" w:rsidP="00733D89">
      <w:pPr>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894FD3" w:rsidRDefault="00733D89" w:rsidP="00733D89">
      <w:pPr>
        <w:rPr>
          <w:rFonts w:ascii="Arial" w:hAnsi="Arial" w:cs="Arial"/>
        </w:rPr>
      </w:pPr>
    </w:p>
    <w:p w:rsidR="00733D89" w:rsidRDefault="00733D89" w:rsidP="00AE232A">
      <w:pPr>
        <w:pStyle w:val="ListParagraph"/>
        <w:numPr>
          <w:ilvl w:val="0"/>
          <w:numId w:val="12"/>
        </w:numPr>
        <w:spacing w:after="0" w:line="240" w:lineRule="auto"/>
        <w:rPr>
          <w:rFonts w:ascii="Arial" w:hAnsi="Arial" w:cs="Arial"/>
        </w:rPr>
      </w:pPr>
      <w:r w:rsidRPr="00861FFD">
        <w:rPr>
          <w:rFonts w:ascii="Arial" w:hAnsi="Arial" w:cs="Arial"/>
        </w:rPr>
        <w:t xml:space="preserve">How long do you typically keep </w:t>
      </w:r>
      <w:r>
        <w:rPr>
          <w:rFonts w:ascii="Arial" w:hAnsi="Arial" w:cs="Arial"/>
        </w:rPr>
        <w:t>new</w:t>
      </w:r>
      <w:r w:rsidRPr="00861FFD">
        <w:rPr>
          <w:rFonts w:ascii="Arial" w:hAnsi="Arial" w:cs="Arial"/>
        </w:rPr>
        <w:t xml:space="preserve"> t</w:t>
      </w:r>
      <w:r>
        <w:rPr>
          <w:rFonts w:ascii="Arial" w:hAnsi="Arial" w:cs="Arial"/>
        </w:rPr>
        <w:t>railers before you sell them on, and how many kilometres would they have typically travelled by that stage?</w:t>
      </w:r>
    </w:p>
    <w:p w:rsidR="00733D89" w:rsidRDefault="00733D89" w:rsidP="00733D89">
      <w:pPr>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894FD3" w:rsidRDefault="00733D89" w:rsidP="00733D89">
      <w:pPr>
        <w:rPr>
          <w:rFonts w:ascii="Arial" w:hAnsi="Arial" w:cs="Arial"/>
        </w:rPr>
      </w:pPr>
    </w:p>
    <w:p w:rsidR="00733D89" w:rsidRDefault="00733D89" w:rsidP="00AE232A">
      <w:pPr>
        <w:pStyle w:val="ListParagraph"/>
        <w:numPr>
          <w:ilvl w:val="0"/>
          <w:numId w:val="12"/>
        </w:numPr>
        <w:spacing w:after="0" w:line="240" w:lineRule="auto"/>
        <w:rPr>
          <w:rFonts w:ascii="Arial" w:hAnsi="Arial" w:cs="Arial"/>
        </w:rPr>
      </w:pPr>
      <w:r w:rsidRPr="00861FFD">
        <w:rPr>
          <w:rFonts w:ascii="Arial" w:hAnsi="Arial" w:cs="Arial"/>
        </w:rPr>
        <w:t xml:space="preserve">What would you typically expect to receive for one of your trailers when it is sold? </w:t>
      </w:r>
    </w:p>
    <w:p w:rsidR="00733D89" w:rsidRDefault="00733D89" w:rsidP="00733D89">
      <w:pPr>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894FD3" w:rsidRDefault="00733D89" w:rsidP="00733D89">
      <w:pPr>
        <w:rPr>
          <w:rFonts w:ascii="Arial" w:hAnsi="Arial" w:cs="Arial"/>
        </w:rPr>
      </w:pPr>
    </w:p>
    <w:p w:rsidR="00733D89" w:rsidRDefault="00733D89" w:rsidP="00AE232A">
      <w:pPr>
        <w:pStyle w:val="ListParagraph"/>
        <w:numPr>
          <w:ilvl w:val="0"/>
          <w:numId w:val="12"/>
        </w:numPr>
        <w:spacing w:after="0" w:line="240" w:lineRule="auto"/>
        <w:rPr>
          <w:rFonts w:ascii="Arial" w:hAnsi="Arial" w:cs="Arial"/>
        </w:rPr>
      </w:pPr>
      <w:r>
        <w:rPr>
          <w:rFonts w:ascii="Arial" w:hAnsi="Arial" w:cs="Arial"/>
        </w:rPr>
        <w:t>During the period you own them, w</w:t>
      </w:r>
      <w:r w:rsidRPr="00861FFD">
        <w:rPr>
          <w:rFonts w:ascii="Arial" w:hAnsi="Arial" w:cs="Arial"/>
        </w:rPr>
        <w:t>hat are the indicative major maintenance costs for your trucks?</w:t>
      </w:r>
    </w:p>
    <w:p w:rsidR="00733D89" w:rsidRDefault="00733D89" w:rsidP="00733D89">
      <w:pPr>
        <w:pStyle w:val="ListParagraph"/>
        <w:spacing w:after="0" w:line="240" w:lineRule="auto"/>
        <w:ind w:left="0"/>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861FFD" w:rsidRDefault="00733D89" w:rsidP="00733D89">
      <w:pPr>
        <w:pStyle w:val="ListParagraph"/>
        <w:spacing w:after="0" w:line="240" w:lineRule="auto"/>
        <w:ind w:left="0"/>
        <w:rPr>
          <w:rFonts w:ascii="Arial" w:hAnsi="Arial" w:cs="Arial"/>
        </w:rPr>
      </w:pPr>
    </w:p>
    <w:p w:rsidR="00733D89" w:rsidRDefault="00733D89" w:rsidP="00AE232A">
      <w:pPr>
        <w:pStyle w:val="ListParagraph"/>
        <w:numPr>
          <w:ilvl w:val="0"/>
          <w:numId w:val="12"/>
        </w:numPr>
        <w:spacing w:after="0" w:line="240" w:lineRule="auto"/>
        <w:rPr>
          <w:rFonts w:ascii="Arial" w:hAnsi="Arial" w:cs="Arial"/>
        </w:rPr>
      </w:pPr>
      <w:r>
        <w:rPr>
          <w:rFonts w:ascii="Arial" w:hAnsi="Arial" w:cs="Arial"/>
        </w:rPr>
        <w:t>During the period you own them, w</w:t>
      </w:r>
      <w:r w:rsidRPr="00861FFD">
        <w:rPr>
          <w:rFonts w:ascii="Arial" w:hAnsi="Arial" w:cs="Arial"/>
        </w:rPr>
        <w:t>hat are the indicative major maintenance costs for your trailers?</w:t>
      </w:r>
    </w:p>
    <w:p w:rsidR="00733D89" w:rsidRDefault="00733D89" w:rsidP="00733D89">
      <w:pPr>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EE09E2" w:rsidRDefault="00733D89" w:rsidP="00733D89">
      <w:pPr>
        <w:rPr>
          <w:rFonts w:ascii="Arial" w:hAnsi="Arial" w:cs="Arial"/>
        </w:rPr>
      </w:pPr>
    </w:p>
    <w:p w:rsidR="00733D89" w:rsidRDefault="00733D89" w:rsidP="00733D89">
      <w:pPr>
        <w:rPr>
          <w:rFonts w:ascii="Arial" w:hAnsi="Arial" w:cs="Arial"/>
          <w:b/>
        </w:rPr>
      </w:pPr>
    </w:p>
    <w:p w:rsidR="00733D89" w:rsidRDefault="00733D89" w:rsidP="00733D89">
      <w:pPr>
        <w:keepNext/>
        <w:rPr>
          <w:rFonts w:ascii="Arial" w:hAnsi="Arial" w:cs="Arial"/>
          <w:b/>
        </w:rPr>
      </w:pPr>
      <w:r w:rsidRPr="00861FFD">
        <w:rPr>
          <w:rFonts w:ascii="Arial" w:hAnsi="Arial" w:cs="Arial"/>
          <w:b/>
        </w:rPr>
        <w:t xml:space="preserve">Impact of </w:t>
      </w:r>
      <w:r>
        <w:rPr>
          <w:rFonts w:ascii="Arial" w:hAnsi="Arial" w:cs="Arial"/>
          <w:b/>
        </w:rPr>
        <w:t xml:space="preserve">removing </w:t>
      </w:r>
      <w:r w:rsidRPr="00861FFD">
        <w:rPr>
          <w:rFonts w:ascii="Arial" w:hAnsi="Arial" w:cs="Arial"/>
          <w:b/>
        </w:rPr>
        <w:t xml:space="preserve">the effective life caps </w:t>
      </w:r>
    </w:p>
    <w:p w:rsidR="00733D89" w:rsidRPr="00861FFD" w:rsidRDefault="00733D89" w:rsidP="00733D89">
      <w:pPr>
        <w:keepNext/>
        <w:rPr>
          <w:rFonts w:ascii="Arial" w:hAnsi="Arial" w:cs="Arial"/>
          <w:b/>
        </w:rPr>
      </w:pPr>
    </w:p>
    <w:p w:rsidR="00733D89" w:rsidRDefault="00733D89" w:rsidP="00AE232A">
      <w:pPr>
        <w:pStyle w:val="ListParagraph"/>
        <w:keepNext/>
        <w:numPr>
          <w:ilvl w:val="0"/>
          <w:numId w:val="12"/>
        </w:numPr>
        <w:spacing w:after="0" w:line="240" w:lineRule="auto"/>
        <w:rPr>
          <w:rFonts w:ascii="Arial" w:hAnsi="Arial" w:cs="Arial"/>
        </w:rPr>
      </w:pPr>
      <w:r w:rsidRPr="00861FFD">
        <w:rPr>
          <w:rFonts w:ascii="Arial" w:hAnsi="Arial" w:cs="Arial"/>
        </w:rPr>
        <w:t xml:space="preserve">Assuming your business maintains its total capital expenditure, what impact would the possible </w:t>
      </w:r>
      <w:r>
        <w:rPr>
          <w:rFonts w:ascii="Arial" w:hAnsi="Arial" w:cs="Arial"/>
        </w:rPr>
        <w:t xml:space="preserve">removal of </w:t>
      </w:r>
      <w:r w:rsidRPr="00861FFD">
        <w:rPr>
          <w:rFonts w:ascii="Arial" w:hAnsi="Arial" w:cs="Arial"/>
        </w:rPr>
        <w:t>the effective life caps have on your purchase of new trucks and trailers?</w:t>
      </w:r>
    </w:p>
    <w:p w:rsidR="00733D89" w:rsidRDefault="00733D89" w:rsidP="00733D89">
      <w:pPr>
        <w:pStyle w:val="ListParagraph"/>
        <w:keepNext/>
        <w:spacing w:after="0" w:line="240" w:lineRule="auto"/>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861FFD" w:rsidRDefault="00733D89" w:rsidP="00733D89">
      <w:pPr>
        <w:pStyle w:val="ListParagraph"/>
        <w:keepNext/>
        <w:spacing w:after="0" w:line="240" w:lineRule="auto"/>
        <w:ind w:left="0"/>
        <w:rPr>
          <w:rFonts w:ascii="Arial" w:hAnsi="Arial" w:cs="Arial"/>
        </w:rPr>
      </w:pPr>
    </w:p>
    <w:p w:rsidR="00733D89" w:rsidRDefault="00733D89" w:rsidP="00AE232A">
      <w:pPr>
        <w:pStyle w:val="ListParagraph"/>
        <w:numPr>
          <w:ilvl w:val="0"/>
          <w:numId w:val="12"/>
        </w:numPr>
        <w:spacing w:after="0" w:line="240" w:lineRule="auto"/>
        <w:rPr>
          <w:rFonts w:ascii="Arial" w:hAnsi="Arial" w:cs="Arial"/>
        </w:rPr>
      </w:pPr>
      <w:r w:rsidRPr="00861FFD">
        <w:rPr>
          <w:rFonts w:ascii="Arial" w:hAnsi="Arial" w:cs="Arial"/>
        </w:rPr>
        <w:t xml:space="preserve">Would the </w:t>
      </w:r>
      <w:r>
        <w:rPr>
          <w:rFonts w:ascii="Arial" w:hAnsi="Arial" w:cs="Arial"/>
        </w:rPr>
        <w:t xml:space="preserve">proposal </w:t>
      </w:r>
      <w:r w:rsidRPr="00861FFD">
        <w:rPr>
          <w:rFonts w:ascii="Arial" w:hAnsi="Arial" w:cs="Arial"/>
        </w:rPr>
        <w:t xml:space="preserve">lead you to consider self-assessing the effective lives of your vehicles rather than using the </w:t>
      </w:r>
      <w:r>
        <w:rPr>
          <w:rFonts w:ascii="Arial" w:hAnsi="Arial" w:cs="Arial"/>
        </w:rPr>
        <w:t xml:space="preserve">Commissioner’s </w:t>
      </w:r>
      <w:r w:rsidRPr="00861FFD">
        <w:rPr>
          <w:rFonts w:ascii="Arial" w:hAnsi="Arial" w:cs="Arial"/>
        </w:rPr>
        <w:t xml:space="preserve">effective life </w:t>
      </w:r>
      <w:r>
        <w:rPr>
          <w:rFonts w:ascii="Arial" w:hAnsi="Arial" w:cs="Arial"/>
        </w:rPr>
        <w:t>determinations</w:t>
      </w:r>
      <w:r w:rsidRPr="00861FFD">
        <w:rPr>
          <w:rFonts w:ascii="Arial" w:hAnsi="Arial" w:cs="Arial"/>
        </w:rPr>
        <w:t xml:space="preserve">? </w:t>
      </w:r>
    </w:p>
    <w:p w:rsidR="00733D89" w:rsidRDefault="00733D89" w:rsidP="00733D89">
      <w:pPr>
        <w:pStyle w:val="ListParagraph"/>
        <w:spacing w:after="0" w:line="240" w:lineRule="auto"/>
        <w:ind w:left="360"/>
        <w:rPr>
          <w:rFonts w:ascii="Arial" w:hAnsi="Arial" w:cs="Arial"/>
        </w:rPr>
      </w:pP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861FFD" w:rsidRDefault="00733D89" w:rsidP="00733D89">
      <w:pPr>
        <w:pStyle w:val="ListParagraph"/>
        <w:spacing w:after="0" w:line="240" w:lineRule="auto"/>
        <w:ind w:left="0"/>
        <w:rPr>
          <w:rFonts w:ascii="Arial" w:hAnsi="Arial" w:cs="Arial"/>
        </w:rPr>
      </w:pPr>
    </w:p>
    <w:p w:rsidR="00733D89" w:rsidRDefault="00733D89" w:rsidP="00733D89">
      <w:pPr>
        <w:rPr>
          <w:rFonts w:ascii="Arial" w:hAnsi="Arial" w:cs="Arial"/>
          <w:b/>
        </w:rPr>
      </w:pPr>
    </w:p>
    <w:p w:rsidR="00733D89" w:rsidRPr="00861FFD" w:rsidRDefault="00733D89" w:rsidP="00733D89">
      <w:pPr>
        <w:rPr>
          <w:rFonts w:ascii="Arial" w:hAnsi="Arial" w:cs="Arial"/>
          <w:b/>
        </w:rPr>
      </w:pPr>
      <w:r w:rsidRPr="00861FFD">
        <w:rPr>
          <w:rFonts w:ascii="Arial" w:hAnsi="Arial" w:cs="Arial"/>
          <w:b/>
        </w:rPr>
        <w:t xml:space="preserve">Impact of </w:t>
      </w:r>
      <w:r>
        <w:rPr>
          <w:rFonts w:ascii="Arial" w:hAnsi="Arial" w:cs="Arial"/>
          <w:b/>
        </w:rPr>
        <w:t xml:space="preserve">a possible </w:t>
      </w:r>
      <w:r w:rsidRPr="00861FFD">
        <w:rPr>
          <w:rFonts w:ascii="Arial" w:hAnsi="Arial" w:cs="Arial"/>
          <w:b/>
        </w:rPr>
        <w:t>reduction in the company tax rate</w:t>
      </w:r>
    </w:p>
    <w:p w:rsidR="00733D89" w:rsidRDefault="00733D89" w:rsidP="00733D89">
      <w:pPr>
        <w:rPr>
          <w:rFonts w:ascii="Arial" w:hAnsi="Arial" w:cs="Arial"/>
        </w:rPr>
      </w:pPr>
    </w:p>
    <w:p w:rsidR="00733D89" w:rsidRPr="0097205F" w:rsidRDefault="00733D89" w:rsidP="00AE232A">
      <w:pPr>
        <w:pStyle w:val="ListParagraph"/>
        <w:numPr>
          <w:ilvl w:val="0"/>
          <w:numId w:val="12"/>
        </w:numPr>
        <w:spacing w:after="0" w:line="240" w:lineRule="auto"/>
        <w:rPr>
          <w:rFonts w:ascii="Arial" w:hAnsi="Arial" w:cs="Arial"/>
        </w:rPr>
      </w:pPr>
      <w:r>
        <w:rPr>
          <w:rFonts w:ascii="Arial" w:hAnsi="Arial" w:cs="Arial"/>
        </w:rPr>
        <w:t>The Business Tax Working Group</w:t>
      </w:r>
      <w:r w:rsidRPr="0097205F">
        <w:rPr>
          <w:rFonts w:ascii="Arial" w:hAnsi="Arial" w:cs="Arial"/>
        </w:rPr>
        <w:t xml:space="preserve"> has proposed </w:t>
      </w:r>
      <w:r>
        <w:rPr>
          <w:rFonts w:ascii="Arial" w:hAnsi="Arial" w:cs="Arial"/>
        </w:rPr>
        <w:t xml:space="preserve">removing the effective life caps </w:t>
      </w:r>
      <w:r w:rsidRPr="0097205F">
        <w:rPr>
          <w:rFonts w:ascii="Arial" w:hAnsi="Arial" w:cs="Arial"/>
        </w:rPr>
        <w:t>as part of a package of savings to offset the cost of a 5 percentage point reduction in the company</w:t>
      </w:r>
      <w:r>
        <w:rPr>
          <w:rFonts w:ascii="Arial" w:hAnsi="Arial" w:cs="Arial"/>
        </w:rPr>
        <w:t xml:space="preserve"> tax rate, from 30 per cent to 25</w:t>
      </w:r>
      <w:r w:rsidRPr="0097205F">
        <w:rPr>
          <w:rFonts w:ascii="Arial" w:hAnsi="Arial" w:cs="Arial"/>
        </w:rPr>
        <w:t xml:space="preserve"> per</w:t>
      </w:r>
      <w:r>
        <w:rPr>
          <w:rFonts w:ascii="Arial" w:hAnsi="Arial" w:cs="Arial"/>
        </w:rPr>
        <w:t xml:space="preserve"> </w:t>
      </w:r>
      <w:r w:rsidRPr="0097205F">
        <w:rPr>
          <w:rFonts w:ascii="Arial" w:hAnsi="Arial" w:cs="Arial"/>
        </w:rPr>
        <w:t xml:space="preserve">cent. </w:t>
      </w:r>
      <w:r>
        <w:rPr>
          <w:rFonts w:ascii="Arial" w:hAnsi="Arial" w:cs="Arial"/>
        </w:rPr>
        <w:t>As far as your business is concerned, would this</w:t>
      </w:r>
      <w:r w:rsidRPr="0097205F">
        <w:rPr>
          <w:rFonts w:ascii="Arial" w:hAnsi="Arial" w:cs="Arial"/>
        </w:rPr>
        <w:t xml:space="preserve"> </w:t>
      </w:r>
      <w:r>
        <w:rPr>
          <w:rFonts w:ascii="Arial" w:hAnsi="Arial" w:cs="Arial"/>
        </w:rPr>
        <w:t xml:space="preserve">possible </w:t>
      </w:r>
      <w:r w:rsidRPr="0097205F">
        <w:rPr>
          <w:rFonts w:ascii="Arial" w:hAnsi="Arial" w:cs="Arial"/>
        </w:rPr>
        <w:t>reduction in the company tax rate offset</w:t>
      </w:r>
      <w:r>
        <w:rPr>
          <w:rFonts w:ascii="Arial" w:hAnsi="Arial" w:cs="Arial"/>
        </w:rPr>
        <w:t xml:space="preserve"> </w:t>
      </w:r>
      <w:r w:rsidRPr="0097205F">
        <w:rPr>
          <w:rFonts w:ascii="Arial" w:hAnsi="Arial" w:cs="Arial"/>
        </w:rPr>
        <w:t xml:space="preserve">the impact of the </w:t>
      </w:r>
      <w:r>
        <w:rPr>
          <w:rFonts w:ascii="Arial" w:hAnsi="Arial" w:cs="Arial"/>
        </w:rPr>
        <w:t xml:space="preserve">removal of </w:t>
      </w:r>
      <w:r w:rsidRPr="0097205F">
        <w:rPr>
          <w:rFonts w:ascii="Arial" w:hAnsi="Arial" w:cs="Arial"/>
        </w:rPr>
        <w:t xml:space="preserve">the </w:t>
      </w:r>
      <w:r>
        <w:rPr>
          <w:rFonts w:ascii="Arial" w:hAnsi="Arial" w:cs="Arial"/>
        </w:rPr>
        <w:t>effective life caps</w:t>
      </w:r>
      <w:r w:rsidRPr="0097205F">
        <w:rPr>
          <w:rFonts w:ascii="Arial" w:hAnsi="Arial" w:cs="Arial"/>
        </w:rPr>
        <w:t xml:space="preserve">? </w:t>
      </w:r>
    </w:p>
    <w:p w:rsidR="00733D89" w:rsidRDefault="00733D89" w:rsidP="00733D89"/>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733D89" w:rsidRPr="00B126BA"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Pr="00F50158" w:rsidRDefault="00733D89" w:rsidP="00733D89">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733D89" w:rsidRDefault="00733D89" w:rsidP="00733D89"/>
    <w:p w:rsidR="00733D89" w:rsidRDefault="00733D89" w:rsidP="00733D89"/>
    <w:p w:rsidR="00733D89" w:rsidRPr="006C4555" w:rsidRDefault="00733D89" w:rsidP="00733D89">
      <w:pPr>
        <w:pStyle w:val="Standard"/>
        <w:ind w:right="567"/>
        <w:rPr>
          <w:rFonts w:ascii="Arial" w:hAnsi="Arial" w:cs="Arial"/>
          <w:b/>
          <w:sz w:val="20"/>
          <w:szCs w:val="20"/>
          <w:lang w:val="en-US"/>
        </w:rPr>
      </w:pPr>
    </w:p>
    <w:sectPr w:rsidR="00733D89" w:rsidRPr="006C4555" w:rsidSect="00733D89">
      <w:headerReference w:type="even" r:id="rId31"/>
      <w:headerReference w:type="default" r:id="rId32"/>
      <w:headerReference w:type="first" r:id="rId33"/>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544" w:rsidRDefault="00A71544" w:rsidP="000F3D9F">
      <w:r>
        <w:separator/>
      </w:r>
    </w:p>
  </w:endnote>
  <w:endnote w:type="continuationSeparator" w:id="0">
    <w:p w:rsidR="00A71544" w:rsidRDefault="00A71544"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Default="00A71544"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990" cy="84391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990" cy="843915"/>
                  </a:xfrm>
                  <a:prstGeom prst="rect">
                    <a:avLst/>
                  </a:prstGeom>
                  <a:noFill/>
                  <a:ln w="9525">
                    <a:noFill/>
                    <a:miter lim="800000"/>
                    <a:headEnd/>
                    <a:tailEnd/>
                  </a:ln>
                </pic:spPr>
              </pic:pic>
            </a:graphicData>
          </a:graphic>
        </wp:inline>
      </w:drawing>
    </w:r>
  </w:p>
  <w:p w:rsidR="00A71544" w:rsidRPr="00E8056B" w:rsidRDefault="00A71544" w:rsidP="00E8056B">
    <w:pPr>
      <w:jc w:val="right"/>
      <w:rPr>
        <w:rFonts w:ascii="Arial" w:hAnsi="Arial" w:cs="Arial"/>
        <w:sz w:val="16"/>
        <w:szCs w:val="16"/>
      </w:rPr>
    </w:pPr>
  </w:p>
  <w:p w:rsidR="00A71544" w:rsidRPr="00E8056B" w:rsidRDefault="00A71544"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A71544" w:rsidRPr="00E8056B" w:rsidRDefault="00A71544"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Default="00A71544">
    <w:pPr>
      <w:pStyle w:val="Footer"/>
      <w:jc w:val="right"/>
    </w:pPr>
    <w:fldSimple w:instr=" PAGE   \* MERGEFORMAT ">
      <w:r>
        <w:rPr>
          <w:noProof/>
        </w:rPr>
        <w:t>7</w:t>
      </w:r>
    </w:fldSimple>
  </w:p>
  <w:p w:rsidR="00A71544" w:rsidRDefault="00A715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Default="00A7154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Pr="00D735FF" w:rsidRDefault="00A71544">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Default="00A7154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Default="00A7154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Pr="00D735FF" w:rsidRDefault="00A71544">
    <w:pPr>
      <w:rPr>
        <w:sz w:val="4"/>
        <w:szCs w:val="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Default="00A71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544" w:rsidRDefault="00A71544" w:rsidP="000F3D9F">
      <w:r>
        <w:separator/>
      </w:r>
    </w:p>
  </w:footnote>
  <w:footnote w:type="continuationSeparator" w:id="0">
    <w:p w:rsidR="00A71544" w:rsidRDefault="00A71544" w:rsidP="000F3D9F">
      <w:r>
        <w:continuationSeparator/>
      </w:r>
    </w:p>
  </w:footnote>
  <w:footnote w:id="1">
    <w:p w:rsidR="00A71544" w:rsidRDefault="00A71544">
      <w:pPr>
        <w:pStyle w:val="FootnoteText"/>
      </w:pPr>
      <w:r>
        <w:rPr>
          <w:rStyle w:val="FootnoteReference"/>
        </w:rPr>
        <w:footnoteRef/>
      </w:r>
      <w:r>
        <w:t xml:space="preserve"> Business Tax Working Group (BTWG), </w:t>
      </w:r>
      <w:r w:rsidRPr="00834990">
        <w:rPr>
          <w:i/>
        </w:rPr>
        <w:t>Discussion Paper</w:t>
      </w:r>
      <w:r>
        <w:t>, 13 August 2012, p24.</w:t>
      </w:r>
    </w:p>
  </w:footnote>
  <w:footnote w:id="2">
    <w:p w:rsidR="00A71544" w:rsidRPr="003F0A3A" w:rsidRDefault="00A71544">
      <w:pPr>
        <w:pStyle w:val="FootnoteText"/>
      </w:pPr>
      <w:r>
        <w:rPr>
          <w:rStyle w:val="FootnoteReference"/>
        </w:rPr>
        <w:footnoteRef/>
      </w:r>
      <w:r>
        <w:t xml:space="preserve"> KPMG, </w:t>
      </w:r>
      <w:r w:rsidRPr="003F0A3A">
        <w:rPr>
          <w:i/>
        </w:rPr>
        <w:t>The Effective Life of Trucks</w:t>
      </w:r>
      <w:r w:rsidRPr="003F0A3A">
        <w:t>.</w:t>
      </w:r>
      <w:r>
        <w:rPr>
          <w:i/>
        </w:rPr>
        <w:t xml:space="preserve"> </w:t>
      </w:r>
      <w:r>
        <w:t>KPMG, Melbourne, 2004, pp1-2. The report was commissioned by the ATA.</w:t>
      </w:r>
    </w:p>
  </w:footnote>
  <w:footnote w:id="3">
    <w:p w:rsidR="00A71544" w:rsidRDefault="00A71544">
      <w:pPr>
        <w:pStyle w:val="FootnoteText"/>
      </w:pPr>
      <w:r>
        <w:rPr>
          <w:rStyle w:val="FootnoteReference"/>
        </w:rPr>
        <w:footnoteRef/>
      </w:r>
      <w:r>
        <w:t xml:space="preserve"> BTWG, p22.</w:t>
      </w:r>
    </w:p>
  </w:footnote>
  <w:footnote w:id="4">
    <w:p w:rsidR="00A71544" w:rsidRDefault="00A71544">
      <w:pPr>
        <w:pStyle w:val="FootnoteText"/>
      </w:pPr>
      <w:r>
        <w:rPr>
          <w:rStyle w:val="FootnoteReference"/>
        </w:rPr>
        <w:footnoteRef/>
      </w:r>
      <w:r>
        <w:t xml:space="preserve"> BTWG, p3.</w:t>
      </w:r>
    </w:p>
  </w:footnote>
  <w:footnote w:id="5">
    <w:p w:rsidR="00A71544" w:rsidRDefault="00A71544">
      <w:pPr>
        <w:pStyle w:val="FootnoteText"/>
      </w:pPr>
      <w:r>
        <w:rPr>
          <w:rStyle w:val="FootnoteReference"/>
        </w:rPr>
        <w:footnoteRef/>
      </w:r>
      <w:r>
        <w:t xml:space="preserve"> KPMG 2004, pp21-22.</w:t>
      </w:r>
    </w:p>
  </w:footnote>
  <w:footnote w:id="6">
    <w:p w:rsidR="00A71544" w:rsidRDefault="00A71544">
      <w:pPr>
        <w:pStyle w:val="FootnoteText"/>
      </w:pPr>
      <w:r>
        <w:rPr>
          <w:rStyle w:val="FootnoteReference"/>
        </w:rPr>
        <w:footnoteRef/>
      </w:r>
      <w:r>
        <w:t xml:space="preserve"> The Centre for International Economics, </w:t>
      </w:r>
      <w:r w:rsidRPr="008D68B4">
        <w:rPr>
          <w:i/>
        </w:rPr>
        <w:t>Environmental Credentials of the Australian Trucking Industry</w:t>
      </w:r>
      <w:r>
        <w:t>. CIE, Canberra, 2011. p40. The report was commissioned by the ATA.</w:t>
      </w:r>
    </w:p>
  </w:footnote>
  <w:footnote w:id="7">
    <w:p w:rsidR="00A71544" w:rsidRDefault="00A71544">
      <w:pPr>
        <w:pStyle w:val="FootnoteText"/>
      </w:pPr>
      <w:r>
        <w:rPr>
          <w:rStyle w:val="FootnoteReference"/>
        </w:rPr>
        <w:footnoteRef/>
      </w:r>
      <w:r>
        <w:t xml:space="preserve"> Raftery, S et al, </w:t>
      </w:r>
      <w:r w:rsidRPr="00A3398B">
        <w:rPr>
          <w:i/>
        </w:rPr>
        <w:t>Heavy vehicle road safety: research scan</w:t>
      </w:r>
      <w:r>
        <w:t>. CASR report 100, July 2011. Centre for Automotive Safety Research, Adelaide, 2011. p2. The report was commissioned by the ATA.</w:t>
      </w:r>
    </w:p>
  </w:footnote>
  <w:footnote w:id="8">
    <w:p w:rsidR="00A71544" w:rsidRDefault="00A71544">
      <w:pPr>
        <w:pStyle w:val="FootnoteText"/>
      </w:pPr>
      <w:r>
        <w:rPr>
          <w:rStyle w:val="FootnoteReference"/>
        </w:rPr>
        <w:footnoteRef/>
      </w:r>
      <w:r>
        <w:t xml:space="preserve"> King, C, “Australian road deaths continue to f</w:t>
      </w:r>
      <w:r w:rsidRPr="00C50F82">
        <w:t>all</w:t>
      </w:r>
      <w:r>
        <w:t>,” Media release, 25 January 2012.</w:t>
      </w:r>
    </w:p>
  </w:footnote>
  <w:footnote w:id="9">
    <w:p w:rsidR="00A71544" w:rsidRPr="00894558" w:rsidRDefault="00A71544">
      <w:pPr>
        <w:pStyle w:val="FootnoteText"/>
      </w:pPr>
      <w:r>
        <w:rPr>
          <w:rStyle w:val="FootnoteReference"/>
        </w:rPr>
        <w:footnoteRef/>
      </w:r>
      <w:r>
        <w:t xml:space="preserve"> Bureau of Infrastructure, Transport and Regional Economics, </w:t>
      </w:r>
      <w:r w:rsidRPr="00894558">
        <w:rPr>
          <w:i/>
        </w:rPr>
        <w:t>Cost of road crashes in Australia 2006</w:t>
      </w:r>
      <w:r>
        <w:rPr>
          <w:i/>
        </w:rPr>
        <w:t>.</w:t>
      </w:r>
      <w:r>
        <w:t xml:space="preserve"> Research report 118. BITRE, Canberra, 2010. p83.</w:t>
      </w:r>
    </w:p>
  </w:footnote>
  <w:footnote w:id="10">
    <w:p w:rsidR="00A71544" w:rsidRDefault="00A71544" w:rsidP="009D22B4">
      <w:pPr>
        <w:pStyle w:val="FootnoteText"/>
      </w:pPr>
      <w:r>
        <w:rPr>
          <w:rStyle w:val="FootnoteReference"/>
        </w:rPr>
        <w:footnoteRef/>
      </w:r>
      <w:r>
        <w:t xml:space="preserve"> Department of Infrastructure, Transport, Regional Development and Local Government, </w:t>
      </w:r>
      <w:r w:rsidRPr="006B670C">
        <w:rPr>
          <w:i/>
        </w:rPr>
        <w:t>Regulation impact statement for underrun protection</w:t>
      </w:r>
      <w:r>
        <w:t>, DITRE, Canberra, 2009. p6.</w:t>
      </w:r>
    </w:p>
  </w:footnote>
  <w:footnote w:id="11">
    <w:p w:rsidR="00A71544" w:rsidRDefault="00A71544">
      <w:pPr>
        <w:pStyle w:val="FootnoteText"/>
      </w:pPr>
      <w:r>
        <w:rPr>
          <w:rStyle w:val="FootnoteReference"/>
        </w:rPr>
        <w:footnoteRef/>
      </w:r>
      <w:r>
        <w:t xml:space="preserve"> DITRDLG, 2009, p54. </w:t>
      </w:r>
    </w:p>
  </w:footnote>
  <w:footnote w:id="12">
    <w:p w:rsidR="00A71544" w:rsidRDefault="00A71544">
      <w:pPr>
        <w:pStyle w:val="FootnoteText"/>
      </w:pPr>
      <w:r>
        <w:rPr>
          <w:rStyle w:val="FootnoteReference"/>
        </w:rPr>
        <w:footnoteRef/>
      </w:r>
      <w:r>
        <w:t xml:space="preserve"> Australian Transport Council, </w:t>
      </w:r>
      <w:r>
        <w:rPr>
          <w:i/>
        </w:rPr>
        <w:t>National road safety s</w:t>
      </w:r>
      <w:r w:rsidRPr="004C254F">
        <w:rPr>
          <w:i/>
        </w:rPr>
        <w:t>trategy 2011-2020</w:t>
      </w:r>
      <w:r>
        <w:t xml:space="preserve">. </w:t>
      </w:r>
    </w:p>
  </w:footnote>
  <w:footnote w:id="13">
    <w:p w:rsidR="00A71544" w:rsidRDefault="00A71544">
      <w:pPr>
        <w:pStyle w:val="FootnoteText"/>
      </w:pPr>
      <w:r>
        <w:rPr>
          <w:rStyle w:val="FootnoteReference"/>
        </w:rPr>
        <w:footnoteRef/>
      </w:r>
      <w:r>
        <w:t xml:space="preserve"> ATC, pp75-77.</w:t>
      </w:r>
    </w:p>
  </w:footnote>
  <w:footnote w:id="14">
    <w:p w:rsidR="00A71544" w:rsidRDefault="00A71544">
      <w:pPr>
        <w:pStyle w:val="FootnoteText"/>
      </w:pPr>
      <w:r>
        <w:rPr>
          <w:rStyle w:val="FootnoteReference"/>
        </w:rPr>
        <w:footnoteRef/>
      </w:r>
      <w:r>
        <w:t xml:space="preserve"> Bureau of Transport and Regional Economics, </w:t>
      </w:r>
      <w:r>
        <w:rPr>
          <w:i/>
        </w:rPr>
        <w:t>Health impacts of transport emissions in Australia: economic c</w:t>
      </w:r>
      <w:r w:rsidRPr="002326E5">
        <w:rPr>
          <w:i/>
        </w:rPr>
        <w:t>osts</w:t>
      </w:r>
      <w:r>
        <w:t>. BTRE, Canberra, 2005. pp52-54.</w:t>
      </w:r>
    </w:p>
  </w:footnote>
  <w:footnote w:id="15">
    <w:p w:rsidR="00A71544" w:rsidRDefault="00A71544">
      <w:pPr>
        <w:pStyle w:val="FootnoteText"/>
      </w:pPr>
      <w:r>
        <w:rPr>
          <w:rStyle w:val="FootnoteReference"/>
        </w:rPr>
        <w:footnoteRef/>
      </w:r>
      <w:r>
        <w:t xml:space="preserve"> BTRE 2005, p105.</w:t>
      </w:r>
    </w:p>
  </w:footnote>
  <w:footnote w:id="16">
    <w:p w:rsidR="00A71544" w:rsidRDefault="00A71544">
      <w:pPr>
        <w:pStyle w:val="FootnoteText"/>
      </w:pPr>
      <w:r>
        <w:rPr>
          <w:rStyle w:val="FootnoteReference"/>
        </w:rPr>
        <w:footnoteRef/>
      </w:r>
      <w:r>
        <w:t xml:space="preserve"> Department of Infrastructure and Transport, </w:t>
      </w:r>
      <w:r>
        <w:rPr>
          <w:i/>
        </w:rPr>
        <w:t>Annual regulatory p</w:t>
      </w:r>
      <w:r w:rsidRPr="006F3654">
        <w:rPr>
          <w:i/>
        </w:rPr>
        <w:t>lan 2012-13</w:t>
      </w:r>
      <w:r>
        <w:t>. DIT, Canberra, 2012. p52.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p w:rsidR="00A71544" w:rsidRDefault="00A7154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37"/>
      <w:gridCol w:w="4605"/>
    </w:tblGrid>
    <w:tr w:rsidR="00A71544" w:rsidRPr="00D735FF" w:rsidTr="00733D89">
      <w:trPr>
        <w:trHeight w:val="278"/>
      </w:trPr>
      <w:tc>
        <w:tcPr>
          <w:tcW w:w="4927" w:type="dxa"/>
          <w:vAlign w:val="center"/>
        </w:tcPr>
        <w:p w:rsidR="00A71544" w:rsidRPr="00D735FF" w:rsidRDefault="00A71544" w:rsidP="00733D89">
          <w:pPr>
            <w:pStyle w:val="Footer"/>
            <w:rPr>
              <w:rFonts w:ascii="Arial" w:hAnsi="Arial" w:cs="Arial"/>
              <w:sz w:val="16"/>
              <w:szCs w:val="16"/>
            </w:rPr>
          </w:pPr>
          <w:r>
            <w:rPr>
              <w:rFonts w:ascii="Arial" w:hAnsi="Arial" w:cs="Arial"/>
              <w:sz w:val="16"/>
              <w:szCs w:val="16"/>
            </w:rPr>
            <w:t>ATA s</w:t>
          </w:r>
          <w:r w:rsidRPr="00D735FF">
            <w:rPr>
              <w:rFonts w:ascii="Arial" w:hAnsi="Arial" w:cs="Arial"/>
              <w:sz w:val="16"/>
              <w:szCs w:val="16"/>
            </w:rPr>
            <w:t>ubmission –</w:t>
          </w:r>
          <w:r>
            <w:rPr>
              <w:rFonts w:ascii="Arial" w:hAnsi="Arial" w:cs="Arial"/>
              <w:sz w:val="16"/>
              <w:szCs w:val="16"/>
            </w:rPr>
            <w:t xml:space="preserve"> BTWG discussion paper</w:t>
          </w:r>
        </w:p>
      </w:tc>
      <w:tc>
        <w:tcPr>
          <w:tcW w:w="4927" w:type="dxa"/>
          <w:vAlign w:val="center"/>
        </w:tcPr>
        <w:p w:rsidR="00A71544" w:rsidRPr="00D735FF" w:rsidRDefault="00A71544" w:rsidP="00733D89">
          <w:pPr>
            <w:pStyle w:val="Footer"/>
            <w:jc w:val="right"/>
            <w:rPr>
              <w:rFonts w:ascii="Arial" w:hAnsi="Arial" w:cs="Arial"/>
              <w:sz w:val="16"/>
              <w:szCs w:val="16"/>
            </w:rPr>
          </w:pPr>
          <w:r w:rsidRPr="00D735FF">
            <w:rPr>
              <w:rFonts w:ascii="Arial" w:hAnsi="Arial" w:cs="Arial"/>
              <w:sz w:val="16"/>
              <w:szCs w:val="16"/>
            </w:rPr>
            <w:t xml:space="preserve">Page </w:t>
          </w:r>
          <w:r w:rsidRPr="00D735FF">
            <w:rPr>
              <w:rFonts w:ascii="Arial" w:hAnsi="Arial" w:cs="Arial"/>
              <w:sz w:val="16"/>
              <w:szCs w:val="16"/>
            </w:rPr>
            <w:fldChar w:fldCharType="begin"/>
          </w:r>
          <w:r w:rsidRPr="00D735FF">
            <w:rPr>
              <w:rFonts w:ascii="Arial" w:hAnsi="Arial" w:cs="Arial"/>
              <w:sz w:val="16"/>
              <w:szCs w:val="16"/>
            </w:rPr>
            <w:instrText xml:space="preserve"> PAGE   \* MERGEFORMAT </w:instrText>
          </w:r>
          <w:r w:rsidRPr="00D735FF">
            <w:rPr>
              <w:rFonts w:ascii="Arial" w:hAnsi="Arial" w:cs="Arial"/>
              <w:sz w:val="16"/>
              <w:szCs w:val="16"/>
            </w:rPr>
            <w:fldChar w:fldCharType="separate"/>
          </w:r>
          <w:r w:rsidR="00F90BA9">
            <w:rPr>
              <w:rFonts w:ascii="Arial" w:hAnsi="Arial" w:cs="Arial"/>
              <w:noProof/>
              <w:sz w:val="16"/>
              <w:szCs w:val="16"/>
            </w:rPr>
            <w:t>17</w:t>
          </w:r>
          <w:r w:rsidRPr="00D735FF">
            <w:rPr>
              <w:rFonts w:ascii="Arial" w:hAnsi="Arial" w:cs="Arial"/>
              <w:sz w:val="16"/>
              <w:szCs w:val="16"/>
            </w:rPr>
            <w:fldChar w:fldCharType="end"/>
          </w:r>
        </w:p>
      </w:tc>
    </w:tr>
  </w:tbl>
  <w:p w:rsidR="00A71544" w:rsidRDefault="00A71544" w:rsidP="00733D89">
    <w:pPr>
      <w:pStyle w:val="Header"/>
      <w:rPr>
        <w:rFonts w:ascii="Arial" w:hAnsi="Arial" w:cs="Arial"/>
      </w:rPr>
    </w:pPr>
    <w:r>
      <w:rPr>
        <w:rFonts w:ascii="Arial" w:hAnsi="Arial" w:cs="Arial"/>
      </w:rPr>
      <w:tab/>
    </w:r>
  </w:p>
  <w:p w:rsidR="00A71544" w:rsidRDefault="00A71544" w:rsidP="00733D89">
    <w:pPr>
      <w:pStyle w:val="Header"/>
      <w:jc w:val="center"/>
      <w:rPr>
        <w:rFonts w:ascii="Arial" w:hAnsi="Arial" w:cs="Arial"/>
        <w:sz w:val="20"/>
        <w:szCs w:val="20"/>
      </w:rPr>
    </w:pPr>
    <w:r>
      <w:rPr>
        <w:rFonts w:ascii="Arial" w:hAnsi="Arial" w:cs="Arial"/>
        <w:sz w:val="20"/>
        <w:szCs w:val="20"/>
      </w:rPr>
      <w:t>IN-CONFIDENCE WHEN COMPLETED</w:t>
    </w:r>
  </w:p>
  <w:p w:rsidR="00A71544" w:rsidRPr="008E64FF" w:rsidRDefault="00A71544" w:rsidP="00733D89">
    <w:pPr>
      <w:pStyle w:val="Header"/>
      <w:jc w:val="center"/>
      <w:rPr>
        <w:rFonts w:ascii="Arial" w:hAnsi="Arial" w:cs="Arial"/>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Default="00A715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Pr="00E8056B" w:rsidRDefault="00A71544"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A71544" w:rsidRDefault="00A715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Default="00A7154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927"/>
      <w:gridCol w:w="4927"/>
    </w:tblGrid>
    <w:tr w:rsidR="00A71544" w:rsidRPr="00D735FF" w:rsidTr="008E31FE">
      <w:trPr>
        <w:trHeight w:val="278"/>
      </w:trPr>
      <w:tc>
        <w:tcPr>
          <w:tcW w:w="4927" w:type="dxa"/>
          <w:vAlign w:val="center"/>
        </w:tcPr>
        <w:p w:rsidR="00A71544" w:rsidRPr="00D735FF" w:rsidRDefault="00A71544" w:rsidP="003078A4">
          <w:pPr>
            <w:pStyle w:val="Footer"/>
            <w:rPr>
              <w:rFonts w:ascii="Arial" w:hAnsi="Arial" w:cs="Arial"/>
              <w:sz w:val="16"/>
              <w:szCs w:val="16"/>
            </w:rPr>
          </w:pPr>
          <w:r>
            <w:rPr>
              <w:rFonts w:ascii="Arial" w:hAnsi="Arial" w:cs="Arial"/>
              <w:sz w:val="16"/>
              <w:szCs w:val="16"/>
            </w:rPr>
            <w:t>ATA s</w:t>
          </w:r>
          <w:r w:rsidRPr="00D735FF">
            <w:rPr>
              <w:rFonts w:ascii="Arial" w:hAnsi="Arial" w:cs="Arial"/>
              <w:sz w:val="16"/>
              <w:szCs w:val="16"/>
            </w:rPr>
            <w:t>ubmission –</w:t>
          </w:r>
          <w:r>
            <w:rPr>
              <w:rFonts w:ascii="Arial" w:hAnsi="Arial" w:cs="Arial"/>
              <w:sz w:val="16"/>
              <w:szCs w:val="16"/>
            </w:rPr>
            <w:t xml:space="preserve"> BTWG discussion paper</w:t>
          </w:r>
        </w:p>
      </w:tc>
      <w:tc>
        <w:tcPr>
          <w:tcW w:w="4927" w:type="dxa"/>
          <w:vAlign w:val="center"/>
        </w:tcPr>
        <w:p w:rsidR="00A71544" w:rsidRPr="00D735FF" w:rsidRDefault="00A71544" w:rsidP="003E69F4">
          <w:pPr>
            <w:pStyle w:val="Footer"/>
            <w:jc w:val="right"/>
            <w:rPr>
              <w:rFonts w:ascii="Arial" w:hAnsi="Arial" w:cs="Arial"/>
              <w:sz w:val="16"/>
              <w:szCs w:val="16"/>
            </w:rPr>
          </w:pPr>
          <w:r w:rsidRPr="00D735FF">
            <w:rPr>
              <w:rFonts w:ascii="Arial" w:hAnsi="Arial" w:cs="Arial"/>
              <w:sz w:val="16"/>
              <w:szCs w:val="16"/>
            </w:rPr>
            <w:t xml:space="preserve">Page </w:t>
          </w:r>
          <w:r w:rsidRPr="00D735FF">
            <w:rPr>
              <w:rFonts w:ascii="Arial" w:hAnsi="Arial" w:cs="Arial"/>
              <w:sz w:val="16"/>
              <w:szCs w:val="16"/>
            </w:rPr>
            <w:fldChar w:fldCharType="begin"/>
          </w:r>
          <w:r w:rsidRPr="00D735FF">
            <w:rPr>
              <w:rFonts w:ascii="Arial" w:hAnsi="Arial" w:cs="Arial"/>
              <w:sz w:val="16"/>
              <w:szCs w:val="16"/>
            </w:rPr>
            <w:instrText xml:space="preserve"> PAGE   \* MERGEFORMAT </w:instrText>
          </w:r>
          <w:r w:rsidRPr="00D735FF">
            <w:rPr>
              <w:rFonts w:ascii="Arial" w:hAnsi="Arial" w:cs="Arial"/>
              <w:sz w:val="16"/>
              <w:szCs w:val="16"/>
            </w:rPr>
            <w:fldChar w:fldCharType="separate"/>
          </w:r>
          <w:r w:rsidR="008C402A">
            <w:rPr>
              <w:rFonts w:ascii="Arial" w:hAnsi="Arial" w:cs="Arial"/>
              <w:noProof/>
              <w:sz w:val="16"/>
              <w:szCs w:val="16"/>
            </w:rPr>
            <w:t>4</w:t>
          </w:r>
          <w:r w:rsidRPr="00D735FF">
            <w:rPr>
              <w:rFonts w:ascii="Arial" w:hAnsi="Arial" w:cs="Arial"/>
              <w:sz w:val="16"/>
              <w:szCs w:val="16"/>
            </w:rPr>
            <w:fldChar w:fldCharType="end"/>
          </w:r>
        </w:p>
      </w:tc>
    </w:tr>
  </w:tbl>
  <w:p w:rsidR="00A71544" w:rsidRPr="008E31FE" w:rsidRDefault="00A71544" w:rsidP="008E31FE">
    <w:pPr>
      <w:pStyle w:val="Header"/>
      <w:rPr>
        <w:szCs w:val="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927"/>
      <w:gridCol w:w="4927"/>
    </w:tblGrid>
    <w:tr w:rsidR="00A71544" w:rsidRPr="00D735FF" w:rsidTr="00733D89">
      <w:trPr>
        <w:trHeight w:val="278"/>
      </w:trPr>
      <w:tc>
        <w:tcPr>
          <w:tcW w:w="4927" w:type="dxa"/>
          <w:vAlign w:val="center"/>
        </w:tcPr>
        <w:p w:rsidR="00A71544" w:rsidRPr="00D735FF" w:rsidRDefault="00A71544" w:rsidP="00733D89">
          <w:pPr>
            <w:pStyle w:val="Footer"/>
            <w:rPr>
              <w:rFonts w:ascii="Arial" w:hAnsi="Arial" w:cs="Arial"/>
              <w:sz w:val="16"/>
              <w:szCs w:val="16"/>
            </w:rPr>
          </w:pPr>
          <w:r>
            <w:rPr>
              <w:rFonts w:ascii="Arial" w:hAnsi="Arial" w:cs="Arial"/>
              <w:sz w:val="16"/>
              <w:szCs w:val="16"/>
            </w:rPr>
            <w:t>ATA s</w:t>
          </w:r>
          <w:r w:rsidRPr="00D735FF">
            <w:rPr>
              <w:rFonts w:ascii="Arial" w:hAnsi="Arial" w:cs="Arial"/>
              <w:sz w:val="16"/>
              <w:szCs w:val="16"/>
            </w:rPr>
            <w:t>ubmission –</w:t>
          </w:r>
          <w:r>
            <w:rPr>
              <w:rFonts w:ascii="Arial" w:hAnsi="Arial" w:cs="Arial"/>
              <w:sz w:val="16"/>
              <w:szCs w:val="16"/>
            </w:rPr>
            <w:t xml:space="preserve"> BTWG discussion paper</w:t>
          </w:r>
        </w:p>
      </w:tc>
      <w:tc>
        <w:tcPr>
          <w:tcW w:w="4927" w:type="dxa"/>
          <w:vAlign w:val="center"/>
        </w:tcPr>
        <w:p w:rsidR="00A71544" w:rsidRPr="00D735FF" w:rsidRDefault="00A71544" w:rsidP="00733D89">
          <w:pPr>
            <w:pStyle w:val="Footer"/>
            <w:jc w:val="right"/>
            <w:rPr>
              <w:rFonts w:ascii="Arial" w:hAnsi="Arial" w:cs="Arial"/>
              <w:sz w:val="16"/>
              <w:szCs w:val="16"/>
            </w:rPr>
          </w:pPr>
          <w:r w:rsidRPr="00D735FF">
            <w:rPr>
              <w:rFonts w:ascii="Arial" w:hAnsi="Arial" w:cs="Arial"/>
              <w:sz w:val="16"/>
              <w:szCs w:val="16"/>
            </w:rPr>
            <w:t xml:space="preserve">Page </w:t>
          </w:r>
          <w:r w:rsidRPr="00D735FF">
            <w:rPr>
              <w:rFonts w:ascii="Arial" w:hAnsi="Arial" w:cs="Arial"/>
              <w:sz w:val="16"/>
              <w:szCs w:val="16"/>
            </w:rPr>
            <w:fldChar w:fldCharType="begin"/>
          </w:r>
          <w:r w:rsidRPr="00D735FF">
            <w:rPr>
              <w:rFonts w:ascii="Arial" w:hAnsi="Arial" w:cs="Arial"/>
              <w:sz w:val="16"/>
              <w:szCs w:val="16"/>
            </w:rPr>
            <w:instrText xml:space="preserve"> PAGE   \* MERGEFORMAT </w:instrText>
          </w:r>
          <w:r w:rsidRPr="00D735FF">
            <w:rPr>
              <w:rFonts w:ascii="Arial" w:hAnsi="Arial" w:cs="Arial"/>
              <w:sz w:val="16"/>
              <w:szCs w:val="16"/>
            </w:rPr>
            <w:fldChar w:fldCharType="separate"/>
          </w:r>
          <w:r>
            <w:rPr>
              <w:rFonts w:ascii="Arial" w:hAnsi="Arial" w:cs="Arial"/>
              <w:noProof/>
              <w:sz w:val="16"/>
              <w:szCs w:val="16"/>
            </w:rPr>
            <w:t>15</w:t>
          </w:r>
          <w:r w:rsidRPr="00D735FF">
            <w:rPr>
              <w:rFonts w:ascii="Arial" w:hAnsi="Arial" w:cs="Arial"/>
              <w:sz w:val="16"/>
              <w:szCs w:val="16"/>
            </w:rPr>
            <w:fldChar w:fldCharType="end"/>
          </w:r>
        </w:p>
      </w:tc>
    </w:tr>
  </w:tbl>
  <w:p w:rsidR="00A71544" w:rsidRDefault="00A7154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Default="00A7154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927"/>
      <w:gridCol w:w="4927"/>
    </w:tblGrid>
    <w:tr w:rsidR="00A71544" w:rsidRPr="00D735FF" w:rsidTr="008E31FE">
      <w:trPr>
        <w:trHeight w:val="278"/>
      </w:trPr>
      <w:tc>
        <w:tcPr>
          <w:tcW w:w="4927" w:type="dxa"/>
          <w:vAlign w:val="center"/>
        </w:tcPr>
        <w:p w:rsidR="00A71544" w:rsidRPr="00D735FF" w:rsidRDefault="00A71544" w:rsidP="003078A4">
          <w:pPr>
            <w:pStyle w:val="Footer"/>
            <w:rPr>
              <w:rFonts w:ascii="Arial" w:hAnsi="Arial" w:cs="Arial"/>
              <w:sz w:val="16"/>
              <w:szCs w:val="16"/>
            </w:rPr>
          </w:pPr>
          <w:r>
            <w:rPr>
              <w:rFonts w:ascii="Arial" w:hAnsi="Arial" w:cs="Arial"/>
              <w:sz w:val="16"/>
              <w:szCs w:val="16"/>
            </w:rPr>
            <w:t>ATA s</w:t>
          </w:r>
          <w:r w:rsidRPr="00D735FF">
            <w:rPr>
              <w:rFonts w:ascii="Arial" w:hAnsi="Arial" w:cs="Arial"/>
              <w:sz w:val="16"/>
              <w:szCs w:val="16"/>
            </w:rPr>
            <w:t>ubmission –</w:t>
          </w:r>
          <w:r>
            <w:rPr>
              <w:rFonts w:ascii="Arial" w:hAnsi="Arial" w:cs="Arial"/>
              <w:sz w:val="16"/>
              <w:szCs w:val="16"/>
            </w:rPr>
            <w:t xml:space="preserve"> BTWG discussion paper</w:t>
          </w:r>
        </w:p>
      </w:tc>
      <w:tc>
        <w:tcPr>
          <w:tcW w:w="4927" w:type="dxa"/>
          <w:vAlign w:val="center"/>
        </w:tcPr>
        <w:p w:rsidR="00A71544" w:rsidRPr="00D735FF" w:rsidRDefault="00A71544" w:rsidP="003E69F4">
          <w:pPr>
            <w:pStyle w:val="Footer"/>
            <w:jc w:val="right"/>
            <w:rPr>
              <w:rFonts w:ascii="Arial" w:hAnsi="Arial" w:cs="Arial"/>
              <w:sz w:val="16"/>
              <w:szCs w:val="16"/>
            </w:rPr>
          </w:pPr>
          <w:r w:rsidRPr="00D735FF">
            <w:rPr>
              <w:rFonts w:ascii="Arial" w:hAnsi="Arial" w:cs="Arial"/>
              <w:sz w:val="16"/>
              <w:szCs w:val="16"/>
            </w:rPr>
            <w:t xml:space="preserve">Page </w:t>
          </w:r>
          <w:r w:rsidRPr="00D735FF">
            <w:rPr>
              <w:rFonts w:ascii="Arial" w:hAnsi="Arial" w:cs="Arial"/>
              <w:sz w:val="16"/>
              <w:szCs w:val="16"/>
            </w:rPr>
            <w:fldChar w:fldCharType="begin"/>
          </w:r>
          <w:r w:rsidRPr="00D735FF">
            <w:rPr>
              <w:rFonts w:ascii="Arial" w:hAnsi="Arial" w:cs="Arial"/>
              <w:sz w:val="16"/>
              <w:szCs w:val="16"/>
            </w:rPr>
            <w:instrText xml:space="preserve"> PAGE   \* MERGEFORMAT </w:instrText>
          </w:r>
          <w:r w:rsidRPr="00D735FF">
            <w:rPr>
              <w:rFonts w:ascii="Arial" w:hAnsi="Arial" w:cs="Arial"/>
              <w:sz w:val="16"/>
              <w:szCs w:val="16"/>
            </w:rPr>
            <w:fldChar w:fldCharType="separate"/>
          </w:r>
          <w:r w:rsidR="008C402A">
            <w:rPr>
              <w:rFonts w:ascii="Arial" w:hAnsi="Arial" w:cs="Arial"/>
              <w:noProof/>
              <w:sz w:val="16"/>
              <w:szCs w:val="16"/>
            </w:rPr>
            <w:t>11</w:t>
          </w:r>
          <w:r w:rsidRPr="00D735FF">
            <w:rPr>
              <w:rFonts w:ascii="Arial" w:hAnsi="Arial" w:cs="Arial"/>
              <w:sz w:val="16"/>
              <w:szCs w:val="16"/>
            </w:rPr>
            <w:fldChar w:fldCharType="end"/>
          </w:r>
        </w:p>
      </w:tc>
    </w:tr>
  </w:tbl>
  <w:p w:rsidR="00A71544" w:rsidRPr="008E31FE" w:rsidRDefault="00A71544" w:rsidP="008E31FE">
    <w:pPr>
      <w:pStyle w:val="Header"/>
      <w:rPr>
        <w:szCs w:val="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927"/>
      <w:gridCol w:w="4927"/>
    </w:tblGrid>
    <w:tr w:rsidR="00A71544" w:rsidRPr="00D735FF" w:rsidTr="00733D89">
      <w:trPr>
        <w:trHeight w:val="278"/>
      </w:trPr>
      <w:tc>
        <w:tcPr>
          <w:tcW w:w="4927" w:type="dxa"/>
          <w:vAlign w:val="center"/>
        </w:tcPr>
        <w:p w:rsidR="00A71544" w:rsidRPr="00D735FF" w:rsidRDefault="00A71544" w:rsidP="00733D89">
          <w:pPr>
            <w:pStyle w:val="Footer"/>
            <w:rPr>
              <w:rFonts w:ascii="Arial" w:hAnsi="Arial" w:cs="Arial"/>
              <w:sz w:val="16"/>
              <w:szCs w:val="16"/>
            </w:rPr>
          </w:pPr>
          <w:r>
            <w:rPr>
              <w:rFonts w:ascii="Arial" w:hAnsi="Arial" w:cs="Arial"/>
              <w:sz w:val="16"/>
              <w:szCs w:val="16"/>
            </w:rPr>
            <w:t>ATA s</w:t>
          </w:r>
          <w:r w:rsidRPr="00D735FF">
            <w:rPr>
              <w:rFonts w:ascii="Arial" w:hAnsi="Arial" w:cs="Arial"/>
              <w:sz w:val="16"/>
              <w:szCs w:val="16"/>
            </w:rPr>
            <w:t>ubmission –</w:t>
          </w:r>
          <w:r>
            <w:rPr>
              <w:rFonts w:ascii="Arial" w:hAnsi="Arial" w:cs="Arial"/>
              <w:sz w:val="16"/>
              <w:szCs w:val="16"/>
            </w:rPr>
            <w:t xml:space="preserve"> BTWG discussion paper</w:t>
          </w:r>
        </w:p>
      </w:tc>
      <w:tc>
        <w:tcPr>
          <w:tcW w:w="4927" w:type="dxa"/>
          <w:vAlign w:val="center"/>
        </w:tcPr>
        <w:p w:rsidR="00A71544" w:rsidRPr="00D735FF" w:rsidRDefault="00A71544" w:rsidP="00733D89">
          <w:pPr>
            <w:pStyle w:val="Footer"/>
            <w:jc w:val="right"/>
            <w:rPr>
              <w:rFonts w:ascii="Arial" w:hAnsi="Arial" w:cs="Arial"/>
              <w:sz w:val="16"/>
              <w:szCs w:val="16"/>
            </w:rPr>
          </w:pPr>
          <w:r w:rsidRPr="00D735FF">
            <w:rPr>
              <w:rFonts w:ascii="Arial" w:hAnsi="Arial" w:cs="Arial"/>
              <w:sz w:val="16"/>
              <w:szCs w:val="16"/>
            </w:rPr>
            <w:t xml:space="preserve">Page </w:t>
          </w:r>
          <w:r w:rsidRPr="00D735FF">
            <w:rPr>
              <w:rFonts w:ascii="Arial" w:hAnsi="Arial" w:cs="Arial"/>
              <w:sz w:val="16"/>
              <w:szCs w:val="16"/>
            </w:rPr>
            <w:fldChar w:fldCharType="begin"/>
          </w:r>
          <w:r w:rsidRPr="00D735FF">
            <w:rPr>
              <w:rFonts w:ascii="Arial" w:hAnsi="Arial" w:cs="Arial"/>
              <w:sz w:val="16"/>
              <w:szCs w:val="16"/>
            </w:rPr>
            <w:instrText xml:space="preserve"> PAGE   \* MERGEFORMAT </w:instrText>
          </w:r>
          <w:r w:rsidRPr="00D735FF">
            <w:rPr>
              <w:rFonts w:ascii="Arial" w:hAnsi="Arial" w:cs="Arial"/>
              <w:sz w:val="16"/>
              <w:szCs w:val="16"/>
            </w:rPr>
            <w:fldChar w:fldCharType="separate"/>
          </w:r>
          <w:r>
            <w:rPr>
              <w:rFonts w:ascii="Arial" w:hAnsi="Arial" w:cs="Arial"/>
              <w:noProof/>
              <w:sz w:val="16"/>
              <w:szCs w:val="16"/>
            </w:rPr>
            <w:t>15</w:t>
          </w:r>
          <w:r w:rsidRPr="00D735FF">
            <w:rPr>
              <w:rFonts w:ascii="Arial" w:hAnsi="Arial" w:cs="Arial"/>
              <w:sz w:val="16"/>
              <w:szCs w:val="16"/>
            </w:rPr>
            <w:fldChar w:fldCharType="end"/>
          </w:r>
        </w:p>
      </w:tc>
    </w:tr>
  </w:tbl>
  <w:p w:rsidR="00A71544" w:rsidRDefault="00A7154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44" w:rsidRDefault="00A715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41D"/>
    <w:multiLevelType w:val="hybridMultilevel"/>
    <w:tmpl w:val="B950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BA0F0F"/>
    <w:multiLevelType w:val="multilevel"/>
    <w:tmpl w:val="B9D8400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C2A216A"/>
    <w:multiLevelType w:val="multilevel"/>
    <w:tmpl w:val="15E6A13C"/>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19A3FC4"/>
    <w:multiLevelType w:val="multilevel"/>
    <w:tmpl w:val="F8BCCCE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9F55E5F"/>
    <w:multiLevelType w:val="hybridMultilevel"/>
    <w:tmpl w:val="65C0D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A35423"/>
    <w:multiLevelType w:val="hybridMultilevel"/>
    <w:tmpl w:val="8968C0E4"/>
    <w:lvl w:ilvl="0" w:tplc="815878FA">
      <w:start w:val="1"/>
      <w:numFmt w:val="decimal"/>
      <w:pStyle w:val="RecommendationStyle"/>
      <w:lvlText w:val="Recommendation %1"/>
      <w:lvlJc w:val="left"/>
      <w:pPr>
        <w:tabs>
          <w:tab w:val="num" w:pos="57"/>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400F4CE7"/>
    <w:multiLevelType w:val="hybridMultilevel"/>
    <w:tmpl w:val="F58C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6E095B"/>
    <w:multiLevelType w:val="hybridMultilevel"/>
    <w:tmpl w:val="109E0050"/>
    <w:lvl w:ilvl="0" w:tplc="3BCE98D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127FBC"/>
    <w:multiLevelType w:val="hybridMultilevel"/>
    <w:tmpl w:val="12C20B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61D046A"/>
    <w:multiLevelType w:val="multilevel"/>
    <w:tmpl w:val="FC80859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491B49B5"/>
    <w:multiLevelType w:val="hybridMultilevel"/>
    <w:tmpl w:val="EC10E6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4ABA115A"/>
    <w:multiLevelType w:val="hybridMultilevel"/>
    <w:tmpl w:val="9F26DD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326243"/>
    <w:multiLevelType w:val="hybridMultilevel"/>
    <w:tmpl w:val="E162EEFE"/>
    <w:lvl w:ilvl="0" w:tplc="3BCE98D2">
      <w:start w:val="1"/>
      <w:numFmt w:val="bullet"/>
      <w:lvlText w:val="-"/>
      <w:lvlJc w:val="left"/>
      <w:pPr>
        <w:ind w:left="1800" w:hanging="360"/>
      </w:pPr>
      <w:rPr>
        <w:rFonts w:ascii="Calibri" w:hAnsi="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5B370DF3"/>
    <w:multiLevelType w:val="hybridMultilevel"/>
    <w:tmpl w:val="AD0C17E4"/>
    <w:lvl w:ilvl="0" w:tplc="3BCE98D2">
      <w:start w:val="1"/>
      <w:numFmt w:val="bullet"/>
      <w:lvlText w:val="-"/>
      <w:lvlJc w:val="left"/>
      <w:pPr>
        <w:ind w:left="1800" w:hanging="360"/>
      </w:pPr>
      <w:rPr>
        <w:rFonts w:ascii="Calibri" w:hAnsi="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5D554ED9"/>
    <w:multiLevelType w:val="multilevel"/>
    <w:tmpl w:val="A648BEBA"/>
    <w:lvl w:ilvl="0">
      <w:start w:val="1"/>
      <w:numFmt w:val="decimal"/>
      <w:pStyle w:val="Heading1"/>
      <w:lvlText w:val="%1."/>
      <w:lvlJc w:val="left"/>
      <w:pPr>
        <w:ind w:left="7164" w:hanging="360"/>
      </w:pPr>
      <w:rPr>
        <w:rFonts w:cs="Times New Roman" w:hint="default"/>
        <w:b/>
      </w:rPr>
    </w:lvl>
    <w:lvl w:ilvl="1">
      <w:start w:val="1"/>
      <w:numFmt w:val="decimal"/>
      <w:pStyle w:val="ATAHeading2"/>
      <w:lvlText w:val="%1.%2."/>
      <w:lvlJc w:val="left"/>
      <w:pPr>
        <w:ind w:left="792" w:hanging="432"/>
      </w:pPr>
      <w:rPr>
        <w:rFonts w:cs="Times New Roman" w:hint="default"/>
      </w:rPr>
    </w:lvl>
    <w:lvl w:ilvl="2">
      <w:start w:val="1"/>
      <w:numFmt w:val="decimal"/>
      <w:pStyle w:val="ATAHeading2"/>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681A789D"/>
    <w:multiLevelType w:val="hybridMultilevel"/>
    <w:tmpl w:val="CA32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5230D3"/>
    <w:multiLevelType w:val="multilevel"/>
    <w:tmpl w:val="7D940E8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70F0782B"/>
    <w:multiLevelType w:val="hybridMultilevel"/>
    <w:tmpl w:val="B5062804"/>
    <w:lvl w:ilvl="0" w:tplc="3BCE98D2">
      <w:start w:val="1"/>
      <w:numFmt w:val="bullet"/>
      <w:lvlText w:val="-"/>
      <w:lvlJc w:val="left"/>
      <w:pPr>
        <w:ind w:left="1800" w:hanging="360"/>
      </w:pPr>
      <w:rPr>
        <w:rFonts w:ascii="Calibri" w:hAnsi="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72CC4F49"/>
    <w:multiLevelType w:val="hybridMultilevel"/>
    <w:tmpl w:val="F1D63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BD7366"/>
    <w:multiLevelType w:val="hybridMultilevel"/>
    <w:tmpl w:val="C6DA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2B2704"/>
    <w:multiLevelType w:val="multilevel"/>
    <w:tmpl w:val="2A209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4"/>
  </w:num>
  <w:num w:numId="2">
    <w:abstractNumId w:val="5"/>
  </w:num>
  <w:num w:numId="3">
    <w:abstractNumId w:val="2"/>
  </w:num>
  <w:num w:numId="4">
    <w:abstractNumId w:val="3"/>
  </w:num>
  <w:num w:numId="5">
    <w:abstractNumId w:val="16"/>
  </w:num>
  <w:num w:numId="6">
    <w:abstractNumId w:val="1"/>
  </w:num>
  <w:num w:numId="7">
    <w:abstractNumId w:val="9"/>
  </w:num>
  <w:num w:numId="8">
    <w:abstractNumId w:val="20"/>
  </w:num>
  <w:num w:numId="9">
    <w:abstractNumId w:val="4"/>
  </w:num>
  <w:num w:numId="10">
    <w:abstractNumId w:val="18"/>
  </w:num>
  <w:num w:numId="11">
    <w:abstractNumId w:val="19"/>
  </w:num>
  <w:num w:numId="12">
    <w:abstractNumId w:val="8"/>
  </w:num>
  <w:num w:numId="13">
    <w:abstractNumId w:val="0"/>
  </w:num>
  <w:num w:numId="14">
    <w:abstractNumId w:val="11"/>
  </w:num>
  <w:num w:numId="15">
    <w:abstractNumId w:val="10"/>
  </w:num>
  <w:num w:numId="16">
    <w:abstractNumId w:val="6"/>
  </w:num>
  <w:num w:numId="17">
    <w:abstractNumId w:val="17"/>
  </w:num>
  <w:num w:numId="18">
    <w:abstractNumId w:val="7"/>
  </w:num>
  <w:num w:numId="19">
    <w:abstractNumId w:val="15"/>
  </w:num>
  <w:num w:numId="20">
    <w:abstractNumId w:val="13"/>
  </w:num>
  <w:num w:numId="21">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rsids>
    <w:rsidRoot w:val="00C1627A"/>
    <w:rsid w:val="00001CFE"/>
    <w:rsid w:val="00004B73"/>
    <w:rsid w:val="00005E0D"/>
    <w:rsid w:val="00007DF6"/>
    <w:rsid w:val="000163B4"/>
    <w:rsid w:val="00023B17"/>
    <w:rsid w:val="00027834"/>
    <w:rsid w:val="00034112"/>
    <w:rsid w:val="00035CFC"/>
    <w:rsid w:val="0004032E"/>
    <w:rsid w:val="00040876"/>
    <w:rsid w:val="000432DD"/>
    <w:rsid w:val="00045CDF"/>
    <w:rsid w:val="00046818"/>
    <w:rsid w:val="00046DF8"/>
    <w:rsid w:val="000524D7"/>
    <w:rsid w:val="00052E9C"/>
    <w:rsid w:val="000532BE"/>
    <w:rsid w:val="00053A60"/>
    <w:rsid w:val="00055982"/>
    <w:rsid w:val="00060A65"/>
    <w:rsid w:val="00061A86"/>
    <w:rsid w:val="0006283B"/>
    <w:rsid w:val="000736A5"/>
    <w:rsid w:val="00074872"/>
    <w:rsid w:val="0007542B"/>
    <w:rsid w:val="00075E7B"/>
    <w:rsid w:val="00082558"/>
    <w:rsid w:val="00083C15"/>
    <w:rsid w:val="000848A1"/>
    <w:rsid w:val="00085067"/>
    <w:rsid w:val="000925AB"/>
    <w:rsid w:val="00095C3B"/>
    <w:rsid w:val="000A2BCF"/>
    <w:rsid w:val="000A4B60"/>
    <w:rsid w:val="000A4EB0"/>
    <w:rsid w:val="000B069A"/>
    <w:rsid w:val="000B2A69"/>
    <w:rsid w:val="000B42BC"/>
    <w:rsid w:val="000C0C35"/>
    <w:rsid w:val="000C3D27"/>
    <w:rsid w:val="000C5890"/>
    <w:rsid w:val="000C58F2"/>
    <w:rsid w:val="000D1DEB"/>
    <w:rsid w:val="000D45AD"/>
    <w:rsid w:val="000E0427"/>
    <w:rsid w:val="000E3EE3"/>
    <w:rsid w:val="000E55BE"/>
    <w:rsid w:val="000E7B14"/>
    <w:rsid w:val="000F0F7B"/>
    <w:rsid w:val="000F3D9F"/>
    <w:rsid w:val="000F53C2"/>
    <w:rsid w:val="000F566E"/>
    <w:rsid w:val="000F7F6F"/>
    <w:rsid w:val="00110610"/>
    <w:rsid w:val="0011093F"/>
    <w:rsid w:val="00111784"/>
    <w:rsid w:val="00111BAD"/>
    <w:rsid w:val="00121DDB"/>
    <w:rsid w:val="00122963"/>
    <w:rsid w:val="00126373"/>
    <w:rsid w:val="0013041A"/>
    <w:rsid w:val="00135805"/>
    <w:rsid w:val="001361B2"/>
    <w:rsid w:val="001368EB"/>
    <w:rsid w:val="00140388"/>
    <w:rsid w:val="00140B05"/>
    <w:rsid w:val="00141274"/>
    <w:rsid w:val="001441EA"/>
    <w:rsid w:val="0014683D"/>
    <w:rsid w:val="00150065"/>
    <w:rsid w:val="00152A71"/>
    <w:rsid w:val="00154EA6"/>
    <w:rsid w:val="00156FD5"/>
    <w:rsid w:val="0016061B"/>
    <w:rsid w:val="00160919"/>
    <w:rsid w:val="00160FE3"/>
    <w:rsid w:val="001611AB"/>
    <w:rsid w:val="00163F76"/>
    <w:rsid w:val="00165180"/>
    <w:rsid w:val="001719C6"/>
    <w:rsid w:val="001739DA"/>
    <w:rsid w:val="001760D7"/>
    <w:rsid w:val="0017749B"/>
    <w:rsid w:val="001811B8"/>
    <w:rsid w:val="00185A42"/>
    <w:rsid w:val="0018686D"/>
    <w:rsid w:val="00190125"/>
    <w:rsid w:val="00193999"/>
    <w:rsid w:val="0019542E"/>
    <w:rsid w:val="00197EFE"/>
    <w:rsid w:val="001A0DC3"/>
    <w:rsid w:val="001A6510"/>
    <w:rsid w:val="001A6C37"/>
    <w:rsid w:val="001A7D0B"/>
    <w:rsid w:val="001B0670"/>
    <w:rsid w:val="001B3E52"/>
    <w:rsid w:val="001B783E"/>
    <w:rsid w:val="001C125D"/>
    <w:rsid w:val="001C14FB"/>
    <w:rsid w:val="001C3659"/>
    <w:rsid w:val="001D2335"/>
    <w:rsid w:val="001D50C7"/>
    <w:rsid w:val="001D7378"/>
    <w:rsid w:val="001D77A8"/>
    <w:rsid w:val="001D7817"/>
    <w:rsid w:val="001E0A75"/>
    <w:rsid w:val="001E0B47"/>
    <w:rsid w:val="001E0FD8"/>
    <w:rsid w:val="001E2F62"/>
    <w:rsid w:val="001F0F5F"/>
    <w:rsid w:val="001F187C"/>
    <w:rsid w:val="001F44EC"/>
    <w:rsid w:val="001F4FF6"/>
    <w:rsid w:val="001F5C6A"/>
    <w:rsid w:val="001F7258"/>
    <w:rsid w:val="001F7A2A"/>
    <w:rsid w:val="00200466"/>
    <w:rsid w:val="002017DB"/>
    <w:rsid w:val="002033BC"/>
    <w:rsid w:val="002038C3"/>
    <w:rsid w:val="002041FF"/>
    <w:rsid w:val="0020550E"/>
    <w:rsid w:val="002145F2"/>
    <w:rsid w:val="00216CE6"/>
    <w:rsid w:val="0022123D"/>
    <w:rsid w:val="00227C06"/>
    <w:rsid w:val="00230DFC"/>
    <w:rsid w:val="002326E5"/>
    <w:rsid w:val="00233F35"/>
    <w:rsid w:val="00241C15"/>
    <w:rsid w:val="00243C66"/>
    <w:rsid w:val="00247509"/>
    <w:rsid w:val="0024788A"/>
    <w:rsid w:val="00250913"/>
    <w:rsid w:val="002543DF"/>
    <w:rsid w:val="00256E66"/>
    <w:rsid w:val="00262C0A"/>
    <w:rsid w:val="0026391D"/>
    <w:rsid w:val="002654D5"/>
    <w:rsid w:val="00266915"/>
    <w:rsid w:val="0027330F"/>
    <w:rsid w:val="00275F51"/>
    <w:rsid w:val="002766B4"/>
    <w:rsid w:val="0027787B"/>
    <w:rsid w:val="002806DA"/>
    <w:rsid w:val="00285914"/>
    <w:rsid w:val="002870FD"/>
    <w:rsid w:val="002873AB"/>
    <w:rsid w:val="00287A76"/>
    <w:rsid w:val="00287A8B"/>
    <w:rsid w:val="0029061B"/>
    <w:rsid w:val="00291BF0"/>
    <w:rsid w:val="002961C4"/>
    <w:rsid w:val="00296633"/>
    <w:rsid w:val="002A4859"/>
    <w:rsid w:val="002B353E"/>
    <w:rsid w:val="002B3788"/>
    <w:rsid w:val="002B381D"/>
    <w:rsid w:val="002B7957"/>
    <w:rsid w:val="002C1799"/>
    <w:rsid w:val="002C5337"/>
    <w:rsid w:val="002C6369"/>
    <w:rsid w:val="002D0329"/>
    <w:rsid w:val="002D1F9B"/>
    <w:rsid w:val="002D2C12"/>
    <w:rsid w:val="002D592D"/>
    <w:rsid w:val="002E00F9"/>
    <w:rsid w:val="002E453E"/>
    <w:rsid w:val="002E5D82"/>
    <w:rsid w:val="002E625B"/>
    <w:rsid w:val="002E7897"/>
    <w:rsid w:val="002E7F28"/>
    <w:rsid w:val="002F11D4"/>
    <w:rsid w:val="002F2342"/>
    <w:rsid w:val="002F2F65"/>
    <w:rsid w:val="002F5468"/>
    <w:rsid w:val="003064B7"/>
    <w:rsid w:val="00306FBF"/>
    <w:rsid w:val="003078A4"/>
    <w:rsid w:val="0031355D"/>
    <w:rsid w:val="00315B33"/>
    <w:rsid w:val="00320AFE"/>
    <w:rsid w:val="00321A43"/>
    <w:rsid w:val="0032308F"/>
    <w:rsid w:val="003255FC"/>
    <w:rsid w:val="00325A6C"/>
    <w:rsid w:val="00331EA5"/>
    <w:rsid w:val="00331F34"/>
    <w:rsid w:val="00332D21"/>
    <w:rsid w:val="00334332"/>
    <w:rsid w:val="00336760"/>
    <w:rsid w:val="003377D7"/>
    <w:rsid w:val="00340575"/>
    <w:rsid w:val="00342826"/>
    <w:rsid w:val="00342F3E"/>
    <w:rsid w:val="00345685"/>
    <w:rsid w:val="003533CA"/>
    <w:rsid w:val="00354394"/>
    <w:rsid w:val="0035493A"/>
    <w:rsid w:val="003552FE"/>
    <w:rsid w:val="00360759"/>
    <w:rsid w:val="00370059"/>
    <w:rsid w:val="00373F18"/>
    <w:rsid w:val="0038234C"/>
    <w:rsid w:val="00383C10"/>
    <w:rsid w:val="00383D38"/>
    <w:rsid w:val="00384772"/>
    <w:rsid w:val="00386B2C"/>
    <w:rsid w:val="003870E5"/>
    <w:rsid w:val="0039063B"/>
    <w:rsid w:val="003911E4"/>
    <w:rsid w:val="003919DF"/>
    <w:rsid w:val="0039255C"/>
    <w:rsid w:val="003A29CA"/>
    <w:rsid w:val="003B1937"/>
    <w:rsid w:val="003B269E"/>
    <w:rsid w:val="003B74E4"/>
    <w:rsid w:val="003C0AB6"/>
    <w:rsid w:val="003C2311"/>
    <w:rsid w:val="003C6AC4"/>
    <w:rsid w:val="003C6B48"/>
    <w:rsid w:val="003C7D59"/>
    <w:rsid w:val="003D16B8"/>
    <w:rsid w:val="003D3CCC"/>
    <w:rsid w:val="003E2B20"/>
    <w:rsid w:val="003E330C"/>
    <w:rsid w:val="003E5347"/>
    <w:rsid w:val="003E69F4"/>
    <w:rsid w:val="003F0A3A"/>
    <w:rsid w:val="003F5D74"/>
    <w:rsid w:val="003F6CA9"/>
    <w:rsid w:val="00403823"/>
    <w:rsid w:val="00404731"/>
    <w:rsid w:val="004053D4"/>
    <w:rsid w:val="004115B6"/>
    <w:rsid w:val="004118CD"/>
    <w:rsid w:val="00413868"/>
    <w:rsid w:val="00415126"/>
    <w:rsid w:val="004171F8"/>
    <w:rsid w:val="00421306"/>
    <w:rsid w:val="00422BB7"/>
    <w:rsid w:val="00423CCC"/>
    <w:rsid w:val="00424D3E"/>
    <w:rsid w:val="00424DD3"/>
    <w:rsid w:val="0042557B"/>
    <w:rsid w:val="004257D0"/>
    <w:rsid w:val="00427964"/>
    <w:rsid w:val="00431805"/>
    <w:rsid w:val="004318C7"/>
    <w:rsid w:val="004344F7"/>
    <w:rsid w:val="004353C2"/>
    <w:rsid w:val="004361A5"/>
    <w:rsid w:val="00440231"/>
    <w:rsid w:val="004404C5"/>
    <w:rsid w:val="00445CDC"/>
    <w:rsid w:val="0044653C"/>
    <w:rsid w:val="0044690D"/>
    <w:rsid w:val="00450FF8"/>
    <w:rsid w:val="00452CF8"/>
    <w:rsid w:val="00455D38"/>
    <w:rsid w:val="00457D98"/>
    <w:rsid w:val="00460687"/>
    <w:rsid w:val="00466B96"/>
    <w:rsid w:val="00467542"/>
    <w:rsid w:val="004677D5"/>
    <w:rsid w:val="00474B2A"/>
    <w:rsid w:val="00475557"/>
    <w:rsid w:val="00475C39"/>
    <w:rsid w:val="004763B3"/>
    <w:rsid w:val="00480BF1"/>
    <w:rsid w:val="00484068"/>
    <w:rsid w:val="0048778D"/>
    <w:rsid w:val="00487F0F"/>
    <w:rsid w:val="00493D7D"/>
    <w:rsid w:val="004977DE"/>
    <w:rsid w:val="004A0878"/>
    <w:rsid w:val="004A1636"/>
    <w:rsid w:val="004A2F6F"/>
    <w:rsid w:val="004B26EB"/>
    <w:rsid w:val="004B2EF2"/>
    <w:rsid w:val="004B4641"/>
    <w:rsid w:val="004B6187"/>
    <w:rsid w:val="004C21BB"/>
    <w:rsid w:val="004C254F"/>
    <w:rsid w:val="004C2A85"/>
    <w:rsid w:val="004C3CC3"/>
    <w:rsid w:val="004D0DB5"/>
    <w:rsid w:val="004D118B"/>
    <w:rsid w:val="004D22B0"/>
    <w:rsid w:val="004E1EBB"/>
    <w:rsid w:val="004E4184"/>
    <w:rsid w:val="004E5EA3"/>
    <w:rsid w:val="004E5F08"/>
    <w:rsid w:val="004F112A"/>
    <w:rsid w:val="004F3082"/>
    <w:rsid w:val="004F3B07"/>
    <w:rsid w:val="0050093F"/>
    <w:rsid w:val="005024DA"/>
    <w:rsid w:val="00504A73"/>
    <w:rsid w:val="00510952"/>
    <w:rsid w:val="005223B3"/>
    <w:rsid w:val="005223FD"/>
    <w:rsid w:val="0052500E"/>
    <w:rsid w:val="00525303"/>
    <w:rsid w:val="00525746"/>
    <w:rsid w:val="00526DC2"/>
    <w:rsid w:val="0053137B"/>
    <w:rsid w:val="00532BFB"/>
    <w:rsid w:val="00534B56"/>
    <w:rsid w:val="005365E0"/>
    <w:rsid w:val="00537929"/>
    <w:rsid w:val="00546CC1"/>
    <w:rsid w:val="005500D9"/>
    <w:rsid w:val="00550256"/>
    <w:rsid w:val="00551613"/>
    <w:rsid w:val="00556640"/>
    <w:rsid w:val="00557B0E"/>
    <w:rsid w:val="005606A9"/>
    <w:rsid w:val="00560E02"/>
    <w:rsid w:val="00561F7B"/>
    <w:rsid w:val="00565F92"/>
    <w:rsid w:val="005708AF"/>
    <w:rsid w:val="00570CED"/>
    <w:rsid w:val="00575046"/>
    <w:rsid w:val="00575B4A"/>
    <w:rsid w:val="00576ED0"/>
    <w:rsid w:val="00576F0D"/>
    <w:rsid w:val="00580BDF"/>
    <w:rsid w:val="00582D93"/>
    <w:rsid w:val="00583AC7"/>
    <w:rsid w:val="00583B7B"/>
    <w:rsid w:val="00583E1F"/>
    <w:rsid w:val="00583FAA"/>
    <w:rsid w:val="005840F1"/>
    <w:rsid w:val="00585FBC"/>
    <w:rsid w:val="00587C8F"/>
    <w:rsid w:val="00593217"/>
    <w:rsid w:val="00594DC8"/>
    <w:rsid w:val="00596EDD"/>
    <w:rsid w:val="005973EF"/>
    <w:rsid w:val="005A2A86"/>
    <w:rsid w:val="005A2D3F"/>
    <w:rsid w:val="005A2FD9"/>
    <w:rsid w:val="005A3B1E"/>
    <w:rsid w:val="005A6244"/>
    <w:rsid w:val="005B1E53"/>
    <w:rsid w:val="005B3729"/>
    <w:rsid w:val="005B594B"/>
    <w:rsid w:val="005C31A0"/>
    <w:rsid w:val="005C4952"/>
    <w:rsid w:val="005C63F7"/>
    <w:rsid w:val="005C7290"/>
    <w:rsid w:val="005C7654"/>
    <w:rsid w:val="005C7D1F"/>
    <w:rsid w:val="005D2355"/>
    <w:rsid w:val="005D440B"/>
    <w:rsid w:val="005D495E"/>
    <w:rsid w:val="005D5982"/>
    <w:rsid w:val="005D61D1"/>
    <w:rsid w:val="005D6CD2"/>
    <w:rsid w:val="005E0592"/>
    <w:rsid w:val="005E11FC"/>
    <w:rsid w:val="005E1C27"/>
    <w:rsid w:val="005E28FB"/>
    <w:rsid w:val="005E45E3"/>
    <w:rsid w:val="005E6294"/>
    <w:rsid w:val="005E6D8B"/>
    <w:rsid w:val="005F0D30"/>
    <w:rsid w:val="005F1009"/>
    <w:rsid w:val="005F21D1"/>
    <w:rsid w:val="005F408C"/>
    <w:rsid w:val="005F4EE8"/>
    <w:rsid w:val="005F5ACC"/>
    <w:rsid w:val="005F69CC"/>
    <w:rsid w:val="006009CF"/>
    <w:rsid w:val="006020E4"/>
    <w:rsid w:val="00603B40"/>
    <w:rsid w:val="006109E9"/>
    <w:rsid w:val="00610CFE"/>
    <w:rsid w:val="00614CCC"/>
    <w:rsid w:val="00615D19"/>
    <w:rsid w:val="0062205D"/>
    <w:rsid w:val="006244DA"/>
    <w:rsid w:val="00624D68"/>
    <w:rsid w:val="00631196"/>
    <w:rsid w:val="00632E0B"/>
    <w:rsid w:val="00635320"/>
    <w:rsid w:val="0064391C"/>
    <w:rsid w:val="00651E8D"/>
    <w:rsid w:val="00653538"/>
    <w:rsid w:val="006555F2"/>
    <w:rsid w:val="00666ACB"/>
    <w:rsid w:val="00683332"/>
    <w:rsid w:val="00683D7C"/>
    <w:rsid w:val="0068480F"/>
    <w:rsid w:val="0068566F"/>
    <w:rsid w:val="006859F7"/>
    <w:rsid w:val="00693363"/>
    <w:rsid w:val="006935D8"/>
    <w:rsid w:val="00695316"/>
    <w:rsid w:val="0069776D"/>
    <w:rsid w:val="006A03E2"/>
    <w:rsid w:val="006A08A1"/>
    <w:rsid w:val="006A224F"/>
    <w:rsid w:val="006A2B00"/>
    <w:rsid w:val="006A797E"/>
    <w:rsid w:val="006B1D9B"/>
    <w:rsid w:val="006B1EC6"/>
    <w:rsid w:val="006B222C"/>
    <w:rsid w:val="006B670C"/>
    <w:rsid w:val="006C38AD"/>
    <w:rsid w:val="006C443A"/>
    <w:rsid w:val="006C4555"/>
    <w:rsid w:val="006C7D51"/>
    <w:rsid w:val="006D4D41"/>
    <w:rsid w:val="006E0763"/>
    <w:rsid w:val="006E0D90"/>
    <w:rsid w:val="006F050F"/>
    <w:rsid w:val="006F160A"/>
    <w:rsid w:val="006F3654"/>
    <w:rsid w:val="006F42C5"/>
    <w:rsid w:val="006F73DD"/>
    <w:rsid w:val="00703486"/>
    <w:rsid w:val="00705ED3"/>
    <w:rsid w:val="00706575"/>
    <w:rsid w:val="00706E8D"/>
    <w:rsid w:val="007104D2"/>
    <w:rsid w:val="007105B0"/>
    <w:rsid w:val="00711BB3"/>
    <w:rsid w:val="00712529"/>
    <w:rsid w:val="007162A5"/>
    <w:rsid w:val="007166ED"/>
    <w:rsid w:val="0071762D"/>
    <w:rsid w:val="00720939"/>
    <w:rsid w:val="00725BC0"/>
    <w:rsid w:val="00726797"/>
    <w:rsid w:val="00730B9B"/>
    <w:rsid w:val="00733D89"/>
    <w:rsid w:val="00740005"/>
    <w:rsid w:val="00740845"/>
    <w:rsid w:val="00740DF8"/>
    <w:rsid w:val="007428F4"/>
    <w:rsid w:val="00742A10"/>
    <w:rsid w:val="007530CA"/>
    <w:rsid w:val="0075427A"/>
    <w:rsid w:val="00762DF4"/>
    <w:rsid w:val="0076304F"/>
    <w:rsid w:val="00764A8C"/>
    <w:rsid w:val="0076525E"/>
    <w:rsid w:val="00770D06"/>
    <w:rsid w:val="0077624F"/>
    <w:rsid w:val="007802B0"/>
    <w:rsid w:val="0078317B"/>
    <w:rsid w:val="00787BA0"/>
    <w:rsid w:val="00791216"/>
    <w:rsid w:val="00792CEB"/>
    <w:rsid w:val="00796F76"/>
    <w:rsid w:val="007A4CEB"/>
    <w:rsid w:val="007A64F6"/>
    <w:rsid w:val="007A69C1"/>
    <w:rsid w:val="007B3B54"/>
    <w:rsid w:val="007B3BE2"/>
    <w:rsid w:val="007B5E16"/>
    <w:rsid w:val="007B634C"/>
    <w:rsid w:val="007B711A"/>
    <w:rsid w:val="007C7CEE"/>
    <w:rsid w:val="007D0EB6"/>
    <w:rsid w:val="007D318F"/>
    <w:rsid w:val="007D608A"/>
    <w:rsid w:val="007D7821"/>
    <w:rsid w:val="007E16E7"/>
    <w:rsid w:val="007E6763"/>
    <w:rsid w:val="007F2D26"/>
    <w:rsid w:val="007F33E5"/>
    <w:rsid w:val="007F4404"/>
    <w:rsid w:val="007F4C48"/>
    <w:rsid w:val="007F660F"/>
    <w:rsid w:val="00802D34"/>
    <w:rsid w:val="0080535C"/>
    <w:rsid w:val="00806009"/>
    <w:rsid w:val="00810DF7"/>
    <w:rsid w:val="00811FC3"/>
    <w:rsid w:val="008133EB"/>
    <w:rsid w:val="008154D1"/>
    <w:rsid w:val="0081603D"/>
    <w:rsid w:val="00816CDE"/>
    <w:rsid w:val="00816FE6"/>
    <w:rsid w:val="008170E4"/>
    <w:rsid w:val="00821537"/>
    <w:rsid w:val="00821694"/>
    <w:rsid w:val="00821A35"/>
    <w:rsid w:val="00825C08"/>
    <w:rsid w:val="0083058C"/>
    <w:rsid w:val="0083157E"/>
    <w:rsid w:val="0083383C"/>
    <w:rsid w:val="00834990"/>
    <w:rsid w:val="00836304"/>
    <w:rsid w:val="00837845"/>
    <w:rsid w:val="008420BF"/>
    <w:rsid w:val="008459C7"/>
    <w:rsid w:val="00847EFE"/>
    <w:rsid w:val="008510AF"/>
    <w:rsid w:val="00851E5F"/>
    <w:rsid w:val="00852A83"/>
    <w:rsid w:val="00853473"/>
    <w:rsid w:val="00854D3E"/>
    <w:rsid w:val="00861D20"/>
    <w:rsid w:val="0086624C"/>
    <w:rsid w:val="008663A5"/>
    <w:rsid w:val="00870DDD"/>
    <w:rsid w:val="00872E19"/>
    <w:rsid w:val="00874AAE"/>
    <w:rsid w:val="00875BF1"/>
    <w:rsid w:val="00877FD8"/>
    <w:rsid w:val="0088279B"/>
    <w:rsid w:val="0088510D"/>
    <w:rsid w:val="00887560"/>
    <w:rsid w:val="00890346"/>
    <w:rsid w:val="00894558"/>
    <w:rsid w:val="008A5088"/>
    <w:rsid w:val="008A699E"/>
    <w:rsid w:val="008A7B83"/>
    <w:rsid w:val="008B0EEF"/>
    <w:rsid w:val="008B7312"/>
    <w:rsid w:val="008C1818"/>
    <w:rsid w:val="008C38B7"/>
    <w:rsid w:val="008C402A"/>
    <w:rsid w:val="008C7A48"/>
    <w:rsid w:val="008D37FB"/>
    <w:rsid w:val="008D502B"/>
    <w:rsid w:val="008D68B4"/>
    <w:rsid w:val="008D7A8B"/>
    <w:rsid w:val="008E06B4"/>
    <w:rsid w:val="008E1721"/>
    <w:rsid w:val="008E2E7C"/>
    <w:rsid w:val="008E31FE"/>
    <w:rsid w:val="008E3865"/>
    <w:rsid w:val="008E69FE"/>
    <w:rsid w:val="008E6C5B"/>
    <w:rsid w:val="008F11A3"/>
    <w:rsid w:val="008F363E"/>
    <w:rsid w:val="008F53D9"/>
    <w:rsid w:val="00900D06"/>
    <w:rsid w:val="00902F5D"/>
    <w:rsid w:val="00903264"/>
    <w:rsid w:val="00907971"/>
    <w:rsid w:val="009132E3"/>
    <w:rsid w:val="009149CD"/>
    <w:rsid w:val="00914C1D"/>
    <w:rsid w:val="00915153"/>
    <w:rsid w:val="00920223"/>
    <w:rsid w:val="00923319"/>
    <w:rsid w:val="00923644"/>
    <w:rsid w:val="00926F71"/>
    <w:rsid w:val="00931BF6"/>
    <w:rsid w:val="00932A04"/>
    <w:rsid w:val="00934C83"/>
    <w:rsid w:val="0093652D"/>
    <w:rsid w:val="009371FD"/>
    <w:rsid w:val="00940D05"/>
    <w:rsid w:val="009411F4"/>
    <w:rsid w:val="00943829"/>
    <w:rsid w:val="00960FE0"/>
    <w:rsid w:val="00971925"/>
    <w:rsid w:val="00973250"/>
    <w:rsid w:val="00974FC4"/>
    <w:rsid w:val="00980046"/>
    <w:rsid w:val="00980A5B"/>
    <w:rsid w:val="0098172D"/>
    <w:rsid w:val="00982A30"/>
    <w:rsid w:val="0098465E"/>
    <w:rsid w:val="00986804"/>
    <w:rsid w:val="00986C6A"/>
    <w:rsid w:val="00992FFA"/>
    <w:rsid w:val="00993BAE"/>
    <w:rsid w:val="0099546D"/>
    <w:rsid w:val="009A04B7"/>
    <w:rsid w:val="009A1DB3"/>
    <w:rsid w:val="009A2478"/>
    <w:rsid w:val="009B1E70"/>
    <w:rsid w:val="009B3D08"/>
    <w:rsid w:val="009B3F3B"/>
    <w:rsid w:val="009B4220"/>
    <w:rsid w:val="009B546D"/>
    <w:rsid w:val="009C52F6"/>
    <w:rsid w:val="009C5B87"/>
    <w:rsid w:val="009D0E1C"/>
    <w:rsid w:val="009D1599"/>
    <w:rsid w:val="009D22B4"/>
    <w:rsid w:val="009D2F28"/>
    <w:rsid w:val="009D3731"/>
    <w:rsid w:val="009E45A1"/>
    <w:rsid w:val="009E7524"/>
    <w:rsid w:val="009E773A"/>
    <w:rsid w:val="009E77F2"/>
    <w:rsid w:val="009E78EF"/>
    <w:rsid w:val="009F2E86"/>
    <w:rsid w:val="009F6E5D"/>
    <w:rsid w:val="00A00088"/>
    <w:rsid w:val="00A0156A"/>
    <w:rsid w:val="00A109D4"/>
    <w:rsid w:val="00A12D70"/>
    <w:rsid w:val="00A1430A"/>
    <w:rsid w:val="00A2215A"/>
    <w:rsid w:val="00A22F27"/>
    <w:rsid w:val="00A237AF"/>
    <w:rsid w:val="00A2428F"/>
    <w:rsid w:val="00A3398B"/>
    <w:rsid w:val="00A37A93"/>
    <w:rsid w:val="00A43BCB"/>
    <w:rsid w:val="00A44580"/>
    <w:rsid w:val="00A44995"/>
    <w:rsid w:val="00A5064F"/>
    <w:rsid w:val="00A5343B"/>
    <w:rsid w:val="00A57D2F"/>
    <w:rsid w:val="00A71178"/>
    <w:rsid w:val="00A71544"/>
    <w:rsid w:val="00A731F5"/>
    <w:rsid w:val="00A75D04"/>
    <w:rsid w:val="00A818E2"/>
    <w:rsid w:val="00A83411"/>
    <w:rsid w:val="00A85372"/>
    <w:rsid w:val="00A87317"/>
    <w:rsid w:val="00A913AF"/>
    <w:rsid w:val="00A94647"/>
    <w:rsid w:val="00A96895"/>
    <w:rsid w:val="00AA06FD"/>
    <w:rsid w:val="00AA2D57"/>
    <w:rsid w:val="00AA6FB8"/>
    <w:rsid w:val="00AA7FDA"/>
    <w:rsid w:val="00AB46E4"/>
    <w:rsid w:val="00AB4ECD"/>
    <w:rsid w:val="00AB6D11"/>
    <w:rsid w:val="00AB7CF4"/>
    <w:rsid w:val="00AB7D9A"/>
    <w:rsid w:val="00AC7702"/>
    <w:rsid w:val="00AD29E4"/>
    <w:rsid w:val="00AD3FDC"/>
    <w:rsid w:val="00AD51CE"/>
    <w:rsid w:val="00AD5AFC"/>
    <w:rsid w:val="00AD7650"/>
    <w:rsid w:val="00AE232A"/>
    <w:rsid w:val="00AE3788"/>
    <w:rsid w:val="00AE3D3F"/>
    <w:rsid w:val="00AE4035"/>
    <w:rsid w:val="00AE7959"/>
    <w:rsid w:val="00B0492A"/>
    <w:rsid w:val="00B0529E"/>
    <w:rsid w:val="00B05D3C"/>
    <w:rsid w:val="00B05F83"/>
    <w:rsid w:val="00B102DD"/>
    <w:rsid w:val="00B10B93"/>
    <w:rsid w:val="00B113AB"/>
    <w:rsid w:val="00B118D6"/>
    <w:rsid w:val="00B15CA5"/>
    <w:rsid w:val="00B15E6C"/>
    <w:rsid w:val="00B20E4F"/>
    <w:rsid w:val="00B268F5"/>
    <w:rsid w:val="00B269EF"/>
    <w:rsid w:val="00B279E2"/>
    <w:rsid w:val="00B3090E"/>
    <w:rsid w:val="00B31461"/>
    <w:rsid w:val="00B31649"/>
    <w:rsid w:val="00B34CE4"/>
    <w:rsid w:val="00B37327"/>
    <w:rsid w:val="00B43E2A"/>
    <w:rsid w:val="00B44590"/>
    <w:rsid w:val="00B5338F"/>
    <w:rsid w:val="00B53589"/>
    <w:rsid w:val="00B543B0"/>
    <w:rsid w:val="00B56443"/>
    <w:rsid w:val="00B56907"/>
    <w:rsid w:val="00B636DC"/>
    <w:rsid w:val="00B67773"/>
    <w:rsid w:val="00B70B80"/>
    <w:rsid w:val="00B73A60"/>
    <w:rsid w:val="00B7422B"/>
    <w:rsid w:val="00B74BB8"/>
    <w:rsid w:val="00B76977"/>
    <w:rsid w:val="00B80997"/>
    <w:rsid w:val="00B82CC3"/>
    <w:rsid w:val="00B8625B"/>
    <w:rsid w:val="00B867DD"/>
    <w:rsid w:val="00B90EA0"/>
    <w:rsid w:val="00BA0CE8"/>
    <w:rsid w:val="00BA0E47"/>
    <w:rsid w:val="00BA19BE"/>
    <w:rsid w:val="00BB044E"/>
    <w:rsid w:val="00BB3C67"/>
    <w:rsid w:val="00BB4127"/>
    <w:rsid w:val="00BB4CD3"/>
    <w:rsid w:val="00BB7DCE"/>
    <w:rsid w:val="00BD365F"/>
    <w:rsid w:val="00BE46AC"/>
    <w:rsid w:val="00BE639D"/>
    <w:rsid w:val="00BF0A11"/>
    <w:rsid w:val="00BF1F81"/>
    <w:rsid w:val="00C061E3"/>
    <w:rsid w:val="00C113EF"/>
    <w:rsid w:val="00C119C2"/>
    <w:rsid w:val="00C14967"/>
    <w:rsid w:val="00C15816"/>
    <w:rsid w:val="00C15FC0"/>
    <w:rsid w:val="00C1627A"/>
    <w:rsid w:val="00C21856"/>
    <w:rsid w:val="00C26E47"/>
    <w:rsid w:val="00C3083F"/>
    <w:rsid w:val="00C32283"/>
    <w:rsid w:val="00C352E9"/>
    <w:rsid w:val="00C40B8C"/>
    <w:rsid w:val="00C42965"/>
    <w:rsid w:val="00C42CE4"/>
    <w:rsid w:val="00C43E03"/>
    <w:rsid w:val="00C50F82"/>
    <w:rsid w:val="00C55E9C"/>
    <w:rsid w:val="00C57C2C"/>
    <w:rsid w:val="00C62DAB"/>
    <w:rsid w:val="00C6301B"/>
    <w:rsid w:val="00C676E5"/>
    <w:rsid w:val="00C85191"/>
    <w:rsid w:val="00C868FE"/>
    <w:rsid w:val="00C878B7"/>
    <w:rsid w:val="00C926AD"/>
    <w:rsid w:val="00C9350E"/>
    <w:rsid w:val="00CA0966"/>
    <w:rsid w:val="00CA0ADF"/>
    <w:rsid w:val="00CA4055"/>
    <w:rsid w:val="00CA4BB6"/>
    <w:rsid w:val="00CA5938"/>
    <w:rsid w:val="00CB14E8"/>
    <w:rsid w:val="00CB5390"/>
    <w:rsid w:val="00CB7B2F"/>
    <w:rsid w:val="00CB7F0D"/>
    <w:rsid w:val="00CC02A2"/>
    <w:rsid w:val="00CC1DF7"/>
    <w:rsid w:val="00CC222B"/>
    <w:rsid w:val="00CC28C6"/>
    <w:rsid w:val="00CC4808"/>
    <w:rsid w:val="00CD6135"/>
    <w:rsid w:val="00CD70F5"/>
    <w:rsid w:val="00CE0D2C"/>
    <w:rsid w:val="00CE1B8A"/>
    <w:rsid w:val="00CE4936"/>
    <w:rsid w:val="00CE5CDE"/>
    <w:rsid w:val="00CF35C9"/>
    <w:rsid w:val="00CF4A22"/>
    <w:rsid w:val="00CF758C"/>
    <w:rsid w:val="00D04287"/>
    <w:rsid w:val="00D04905"/>
    <w:rsid w:val="00D06F27"/>
    <w:rsid w:val="00D0787D"/>
    <w:rsid w:val="00D07AB7"/>
    <w:rsid w:val="00D13F51"/>
    <w:rsid w:val="00D219DB"/>
    <w:rsid w:val="00D2240F"/>
    <w:rsid w:val="00D22571"/>
    <w:rsid w:val="00D24520"/>
    <w:rsid w:val="00D2535C"/>
    <w:rsid w:val="00D25CAA"/>
    <w:rsid w:val="00D262EA"/>
    <w:rsid w:val="00D266A2"/>
    <w:rsid w:val="00D26945"/>
    <w:rsid w:val="00D26B30"/>
    <w:rsid w:val="00D3259C"/>
    <w:rsid w:val="00D40494"/>
    <w:rsid w:val="00D40AAD"/>
    <w:rsid w:val="00D40DBE"/>
    <w:rsid w:val="00D42378"/>
    <w:rsid w:val="00D434C5"/>
    <w:rsid w:val="00D43535"/>
    <w:rsid w:val="00D47ACC"/>
    <w:rsid w:val="00D51FE7"/>
    <w:rsid w:val="00D52006"/>
    <w:rsid w:val="00D610BA"/>
    <w:rsid w:val="00D61332"/>
    <w:rsid w:val="00D709FD"/>
    <w:rsid w:val="00D72B07"/>
    <w:rsid w:val="00D735FF"/>
    <w:rsid w:val="00D73A3C"/>
    <w:rsid w:val="00D75541"/>
    <w:rsid w:val="00D7569F"/>
    <w:rsid w:val="00D8184D"/>
    <w:rsid w:val="00D82C4E"/>
    <w:rsid w:val="00D82F1E"/>
    <w:rsid w:val="00D85445"/>
    <w:rsid w:val="00D854A6"/>
    <w:rsid w:val="00D854B1"/>
    <w:rsid w:val="00D87D5E"/>
    <w:rsid w:val="00D9098B"/>
    <w:rsid w:val="00D91BC7"/>
    <w:rsid w:val="00D9288B"/>
    <w:rsid w:val="00D93E26"/>
    <w:rsid w:val="00D94346"/>
    <w:rsid w:val="00D95CBC"/>
    <w:rsid w:val="00DA6708"/>
    <w:rsid w:val="00DA6823"/>
    <w:rsid w:val="00DA6F20"/>
    <w:rsid w:val="00DB2169"/>
    <w:rsid w:val="00DB293C"/>
    <w:rsid w:val="00DB385C"/>
    <w:rsid w:val="00DB3934"/>
    <w:rsid w:val="00DB48F6"/>
    <w:rsid w:val="00DB543D"/>
    <w:rsid w:val="00DB67D1"/>
    <w:rsid w:val="00DC02AF"/>
    <w:rsid w:val="00DC1B52"/>
    <w:rsid w:val="00DC6307"/>
    <w:rsid w:val="00DC63E8"/>
    <w:rsid w:val="00DD7029"/>
    <w:rsid w:val="00DE0148"/>
    <w:rsid w:val="00DE0D13"/>
    <w:rsid w:val="00DE1245"/>
    <w:rsid w:val="00DE3A75"/>
    <w:rsid w:val="00DE56C8"/>
    <w:rsid w:val="00DF219E"/>
    <w:rsid w:val="00DF2294"/>
    <w:rsid w:val="00DF304C"/>
    <w:rsid w:val="00DF54C2"/>
    <w:rsid w:val="00DF58D0"/>
    <w:rsid w:val="00DF5C60"/>
    <w:rsid w:val="00E02DF9"/>
    <w:rsid w:val="00E03199"/>
    <w:rsid w:val="00E051A8"/>
    <w:rsid w:val="00E10213"/>
    <w:rsid w:val="00E121AE"/>
    <w:rsid w:val="00E13D30"/>
    <w:rsid w:val="00E15707"/>
    <w:rsid w:val="00E1618D"/>
    <w:rsid w:val="00E1630A"/>
    <w:rsid w:val="00E2246B"/>
    <w:rsid w:val="00E23208"/>
    <w:rsid w:val="00E24A15"/>
    <w:rsid w:val="00E24F4E"/>
    <w:rsid w:val="00E275CC"/>
    <w:rsid w:val="00E279D0"/>
    <w:rsid w:val="00E3023E"/>
    <w:rsid w:val="00E33CBF"/>
    <w:rsid w:val="00E34B78"/>
    <w:rsid w:val="00E35E15"/>
    <w:rsid w:val="00E40744"/>
    <w:rsid w:val="00E40C57"/>
    <w:rsid w:val="00E50608"/>
    <w:rsid w:val="00E51FE7"/>
    <w:rsid w:val="00E54C88"/>
    <w:rsid w:val="00E57342"/>
    <w:rsid w:val="00E60314"/>
    <w:rsid w:val="00E62BF0"/>
    <w:rsid w:val="00E66D43"/>
    <w:rsid w:val="00E740EE"/>
    <w:rsid w:val="00E8056B"/>
    <w:rsid w:val="00E82682"/>
    <w:rsid w:val="00E907BA"/>
    <w:rsid w:val="00E91BAE"/>
    <w:rsid w:val="00EA1831"/>
    <w:rsid w:val="00EA1837"/>
    <w:rsid w:val="00EA2204"/>
    <w:rsid w:val="00EA3DB1"/>
    <w:rsid w:val="00EA5D57"/>
    <w:rsid w:val="00EA6B53"/>
    <w:rsid w:val="00EB0C47"/>
    <w:rsid w:val="00EB40BD"/>
    <w:rsid w:val="00EB419F"/>
    <w:rsid w:val="00EB5D7E"/>
    <w:rsid w:val="00EC12ED"/>
    <w:rsid w:val="00EC7A44"/>
    <w:rsid w:val="00ED2995"/>
    <w:rsid w:val="00ED2D42"/>
    <w:rsid w:val="00EE3912"/>
    <w:rsid w:val="00EE4129"/>
    <w:rsid w:val="00EE79FB"/>
    <w:rsid w:val="00EF12A2"/>
    <w:rsid w:val="00EF2224"/>
    <w:rsid w:val="00EF4CF3"/>
    <w:rsid w:val="00EF5282"/>
    <w:rsid w:val="00F00A4D"/>
    <w:rsid w:val="00F00DF8"/>
    <w:rsid w:val="00F016B6"/>
    <w:rsid w:val="00F04847"/>
    <w:rsid w:val="00F056C5"/>
    <w:rsid w:val="00F13002"/>
    <w:rsid w:val="00F1313A"/>
    <w:rsid w:val="00F137A5"/>
    <w:rsid w:val="00F13FC3"/>
    <w:rsid w:val="00F16C2D"/>
    <w:rsid w:val="00F16F1B"/>
    <w:rsid w:val="00F16FA6"/>
    <w:rsid w:val="00F17E6F"/>
    <w:rsid w:val="00F20833"/>
    <w:rsid w:val="00F21CE8"/>
    <w:rsid w:val="00F26132"/>
    <w:rsid w:val="00F31BC8"/>
    <w:rsid w:val="00F33008"/>
    <w:rsid w:val="00F349F5"/>
    <w:rsid w:val="00F35475"/>
    <w:rsid w:val="00F4474E"/>
    <w:rsid w:val="00F4644C"/>
    <w:rsid w:val="00F51B8C"/>
    <w:rsid w:val="00F52310"/>
    <w:rsid w:val="00F56F65"/>
    <w:rsid w:val="00F622A3"/>
    <w:rsid w:val="00F63DA7"/>
    <w:rsid w:val="00F65E5D"/>
    <w:rsid w:val="00F72D38"/>
    <w:rsid w:val="00F748BE"/>
    <w:rsid w:val="00F74A9A"/>
    <w:rsid w:val="00F76A0D"/>
    <w:rsid w:val="00F77C08"/>
    <w:rsid w:val="00F83F20"/>
    <w:rsid w:val="00F90937"/>
    <w:rsid w:val="00F90BA9"/>
    <w:rsid w:val="00F91B6C"/>
    <w:rsid w:val="00F94D75"/>
    <w:rsid w:val="00F95871"/>
    <w:rsid w:val="00F95F58"/>
    <w:rsid w:val="00F971D6"/>
    <w:rsid w:val="00F97433"/>
    <w:rsid w:val="00FA11FB"/>
    <w:rsid w:val="00FA2123"/>
    <w:rsid w:val="00FA75CC"/>
    <w:rsid w:val="00FB43E7"/>
    <w:rsid w:val="00FC0288"/>
    <w:rsid w:val="00FC3859"/>
    <w:rsid w:val="00FC5E80"/>
    <w:rsid w:val="00FC73E4"/>
    <w:rsid w:val="00FD135E"/>
    <w:rsid w:val="00FD34A4"/>
    <w:rsid w:val="00FD7915"/>
    <w:rsid w:val="00FE368D"/>
    <w:rsid w:val="00FE43D9"/>
    <w:rsid w:val="00FF24B7"/>
    <w:rsid w:val="00FF40B5"/>
    <w:rsid w:val="00FF4F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qFormat/>
    <w:rsid w:val="003B74E4"/>
    <w:pPr>
      <w:numPr>
        <w:numId w:val="1"/>
      </w:numPr>
      <w:ind w:left="360"/>
      <w:outlineLvl w:val="0"/>
    </w:pPr>
    <w:rPr>
      <w:rFonts w:ascii="Arial" w:hAnsi="Arial" w:cs="Arial"/>
      <w:b/>
      <w:color w:val="000064"/>
      <w:sz w:val="28"/>
      <w:szCs w:val="28"/>
    </w:rPr>
  </w:style>
  <w:style w:type="paragraph" w:styleId="Heading2">
    <w:name w:val="heading 2"/>
    <w:basedOn w:val="Normal"/>
    <w:next w:val="Normal"/>
    <w:link w:val="Heading2Char"/>
    <w:unhideWhenUsed/>
    <w:qFormat/>
    <w:locked/>
    <w:rsid w:val="006E0763"/>
    <w:pPr>
      <w:keepNext/>
      <w:keepLines/>
      <w:outlineLvl w:val="1"/>
    </w:pPr>
    <w:rPr>
      <w:rFonts w:ascii="Arial" w:eastAsia="Times New Roman" w:hAnsi="Arial" w:cs="Arial"/>
      <w:b/>
      <w:bCs/>
      <w:sz w:val="20"/>
      <w:szCs w:val="20"/>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rsid w:val="006E0763"/>
    <w:rPr>
      <w:rFonts w:ascii="Arial" w:eastAsia="Times New Roman" w:hAnsi="Arial" w:cs="Arial"/>
      <w:b/>
      <w:bCs/>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rsid w:val="006F160A"/>
    <w:rPr>
      <w:rFonts w:ascii="Arial" w:hAnsi="Arial"/>
      <w:sz w:val="18"/>
      <w:szCs w:val="20"/>
    </w:rPr>
  </w:style>
  <w:style w:type="character" w:customStyle="1" w:styleId="FootnoteTextChar">
    <w:name w:val="Footnote Text Char"/>
    <w:basedOn w:val="DefaultParagraphFont"/>
    <w:link w:val="FootnoteText"/>
    <w:uiPriority w:val="99"/>
    <w:locked/>
    <w:rsid w:val="006F160A"/>
    <w:rPr>
      <w:rFonts w:ascii="Arial" w:hAnsi="Arial"/>
      <w:sz w:val="18"/>
      <w:lang w:eastAsia="en-US"/>
    </w:rPr>
  </w:style>
  <w:style w:type="character" w:styleId="FootnoteReference">
    <w:name w:val="footnote reference"/>
    <w:basedOn w:val="DefaultParagraphFont"/>
    <w:uiPriority w:val="99"/>
    <w:rsid w:val="006F160A"/>
    <w:rPr>
      <w:rFonts w:ascii="Arial" w:hAnsi="Arial" w:cs="Times New Roman"/>
      <w:sz w:val="18"/>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rsid w:val="008C1818"/>
    <w:pPr>
      <w:numPr>
        <w:ilvl w:val="2"/>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locked/>
    <w:rsid w:val="008C1818"/>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tabs>
        <w:tab w:val="left" w:pos="992"/>
      </w:tabs>
      <w:ind w:left="992" w:hanging="992"/>
    </w:pPr>
    <w:rPr>
      <w:i/>
      <w:color w:val="0D0D0D"/>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qFormat/>
    <w:locked/>
    <w:rsid w:val="00725BC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qFormat/>
    <w:locked/>
    <w:rsid w:val="00C43E03"/>
    <w:pPr>
      <w:tabs>
        <w:tab w:val="right" w:leader="dot" w:pos="9628"/>
      </w:tabs>
      <w:spacing w:after="120"/>
      <w:ind w:left="221"/>
    </w:pPr>
    <w:rPr>
      <w:rFonts w:ascii="Arial" w:hAnsi="Arial" w:cs="Arial"/>
      <w:noProof/>
      <w:sz w:val="20"/>
      <w:lang w:bidi="hi-IN"/>
    </w:rPr>
  </w:style>
  <w:style w:type="paragraph" w:customStyle="1" w:styleId="RecommendationStyle">
    <w:name w:val="Recommendation Style"/>
    <w:basedOn w:val="ATARecommendationHeading"/>
    <w:link w:val="RecommendationStyleChar"/>
    <w:qFormat/>
    <w:rsid w:val="00907971"/>
    <w:pPr>
      <w:numPr>
        <w:numId w:val="2"/>
      </w:numPr>
      <w:tabs>
        <w:tab w:val="clear" w:pos="57"/>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u w:val="single"/>
    </w:rPr>
  </w:style>
  <w:style w:type="paragraph" w:customStyle="1" w:styleId="RecommendationStyle3">
    <w:name w:val="Recommendation Style 3"/>
    <w:basedOn w:val="RecommendationStyle2"/>
    <w:link w:val="RecommendationStyle3Char"/>
    <w:qFormat/>
    <w:rsid w:val="00907971"/>
    <w:rPr>
      <w:color w:val="FFFFFF"/>
    </w:rPr>
  </w:style>
  <w:style w:type="paragraph" w:styleId="TOC3">
    <w:name w:val="toc 3"/>
    <w:basedOn w:val="Normal"/>
    <w:next w:val="Normal"/>
    <w:autoRedefine/>
    <w:uiPriority w:val="39"/>
    <w:qFormat/>
    <w:locked/>
    <w:rsid w:val="00907971"/>
    <w:pPr>
      <w:tabs>
        <w:tab w:val="right" w:leader="dot" w:pos="9628"/>
      </w:tabs>
      <w:ind w:left="442"/>
    </w:pPr>
    <w:rPr>
      <w:noProof/>
      <w:color w:val="FFFFFF"/>
    </w:rPr>
  </w:style>
  <w:style w:type="character" w:customStyle="1" w:styleId="RecommendationStyle3Char">
    <w:name w:val="Recommendation Style 3 Char"/>
    <w:basedOn w:val="RecommendationStyle2Char"/>
    <w:link w:val="RecommendationStyle3"/>
    <w:rsid w:val="00907971"/>
    <w:rPr>
      <w:color w:val="FFFFFF"/>
    </w:rPr>
  </w:style>
  <w:style w:type="character" w:customStyle="1" w:styleId="groupheading">
    <w:name w:val="groupheading"/>
    <w:basedOn w:val="DefaultParagraphFont"/>
    <w:rsid w:val="008133EB"/>
  </w:style>
  <w:style w:type="character" w:customStyle="1" w:styleId="informationalsmall">
    <w:name w:val="informationalsmall"/>
    <w:basedOn w:val="DefaultParagraphFont"/>
    <w:rsid w:val="008133EB"/>
  </w:style>
  <w:style w:type="paragraph" w:styleId="NoSpacing">
    <w:name w:val="No Spacing"/>
    <w:uiPriority w:val="1"/>
    <w:qFormat/>
    <w:rsid w:val="005024DA"/>
    <w:rPr>
      <w:sz w:val="22"/>
      <w:szCs w:val="22"/>
      <w:lang w:eastAsia="en-US"/>
    </w:rPr>
  </w:style>
  <w:style w:type="numbering" w:customStyle="1" w:styleId="WWOutlineListStyle">
    <w:name w:val="WW_OutlineListStyle"/>
    <w:basedOn w:val="NoList"/>
    <w:rsid w:val="00A96895"/>
    <w:pPr>
      <w:numPr>
        <w:numId w:val="3"/>
      </w:numPr>
    </w:pPr>
  </w:style>
  <w:style w:type="paragraph" w:customStyle="1" w:styleId="Standard">
    <w:name w:val="Standard"/>
    <w:rsid w:val="00A96895"/>
    <w:pPr>
      <w:suppressAutoHyphens/>
      <w:autoSpaceDN w:val="0"/>
      <w:textAlignment w:val="baseline"/>
    </w:pPr>
    <w:rPr>
      <w:rFonts w:ascii="Times New Roman" w:eastAsia="SimSun" w:hAnsi="Times New Roman" w:cs="Mangal"/>
      <w:color w:val="000000"/>
      <w:kern w:val="3"/>
      <w:sz w:val="24"/>
      <w:szCs w:val="24"/>
      <w:lang w:eastAsia="en-US" w:bidi="hi-IN"/>
    </w:rPr>
  </w:style>
  <w:style w:type="paragraph" w:customStyle="1" w:styleId="Footnote">
    <w:name w:val="Footnote"/>
    <w:basedOn w:val="Standard"/>
    <w:rsid w:val="00A96895"/>
    <w:pPr>
      <w:suppressLineNumbers/>
      <w:ind w:left="283" w:hanging="283"/>
    </w:pPr>
    <w:rPr>
      <w:sz w:val="20"/>
      <w:szCs w:val="20"/>
    </w:rPr>
  </w:style>
  <w:style w:type="numbering" w:customStyle="1" w:styleId="WWNum3">
    <w:name w:val="WWNum3"/>
    <w:basedOn w:val="NoList"/>
    <w:rsid w:val="00A96895"/>
    <w:pPr>
      <w:numPr>
        <w:numId w:val="4"/>
      </w:numPr>
    </w:pPr>
  </w:style>
  <w:style w:type="numbering" w:customStyle="1" w:styleId="WWNum4">
    <w:name w:val="WWNum4"/>
    <w:basedOn w:val="NoList"/>
    <w:rsid w:val="00A96895"/>
    <w:pPr>
      <w:numPr>
        <w:numId w:val="5"/>
      </w:numPr>
    </w:pPr>
  </w:style>
  <w:style w:type="numbering" w:customStyle="1" w:styleId="WWNum7">
    <w:name w:val="WWNum7"/>
    <w:basedOn w:val="NoList"/>
    <w:rsid w:val="00A96895"/>
    <w:pPr>
      <w:numPr>
        <w:numId w:val="6"/>
      </w:numPr>
    </w:pPr>
  </w:style>
  <w:style w:type="numbering" w:customStyle="1" w:styleId="WWNum9">
    <w:name w:val="WWNum9"/>
    <w:basedOn w:val="NoList"/>
    <w:rsid w:val="00A96895"/>
    <w:pPr>
      <w:numPr>
        <w:numId w:val="8"/>
      </w:numPr>
    </w:pPr>
  </w:style>
  <w:style w:type="numbering" w:customStyle="1" w:styleId="WWNum13">
    <w:name w:val="WWNum13"/>
    <w:basedOn w:val="NoList"/>
    <w:rsid w:val="00A96895"/>
    <w:pPr>
      <w:numPr>
        <w:numId w:val="7"/>
      </w:numPr>
    </w:pPr>
  </w:style>
  <w:style w:type="character" w:styleId="FollowedHyperlink">
    <w:name w:val="FollowedHyperlink"/>
    <w:basedOn w:val="DefaultParagraphFont"/>
    <w:uiPriority w:val="99"/>
    <w:semiHidden/>
    <w:unhideWhenUsed/>
    <w:rsid w:val="00DB385C"/>
    <w:rPr>
      <w:color w:val="800080" w:themeColor="followedHyperlink"/>
      <w:u w:val="single"/>
    </w:rPr>
  </w:style>
  <w:style w:type="paragraph" w:styleId="TOCHeading">
    <w:name w:val="TOC Heading"/>
    <w:basedOn w:val="Heading1"/>
    <w:next w:val="Normal"/>
    <w:uiPriority w:val="39"/>
    <w:unhideWhenUsed/>
    <w:qFormat/>
    <w:rsid w:val="00C43E03"/>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val="en-US"/>
    </w:rPr>
  </w:style>
  <w:style w:type="paragraph" w:styleId="Caption">
    <w:name w:val="caption"/>
    <w:basedOn w:val="Normal"/>
    <w:next w:val="Normal"/>
    <w:unhideWhenUsed/>
    <w:qFormat/>
    <w:locked/>
    <w:rsid w:val="006F42C5"/>
    <w:rPr>
      <w:rFonts w:ascii="Arial" w:hAnsi="Arial"/>
      <w:b/>
      <w:bCs/>
      <w:sz w:val="20"/>
      <w:szCs w:val="18"/>
    </w:rPr>
  </w:style>
</w:styles>
</file>

<file path=word/webSettings.xml><?xml version="1.0" encoding="utf-8"?>
<w:webSettings xmlns:r="http://schemas.openxmlformats.org/officeDocument/2006/relationships" xmlns:w="http://schemas.openxmlformats.org/wordprocessingml/2006/main">
  <w:divs>
    <w:div w:id="99568920">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74181298">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69898024">
      <w:bodyDiv w:val="1"/>
      <w:marLeft w:val="0"/>
      <w:marRight w:val="0"/>
      <w:marTop w:val="0"/>
      <w:marBottom w:val="0"/>
      <w:divBdr>
        <w:top w:val="none" w:sz="0" w:space="0" w:color="auto"/>
        <w:left w:val="none" w:sz="0" w:space="0" w:color="auto"/>
        <w:bottom w:val="none" w:sz="0" w:space="0" w:color="auto"/>
        <w:right w:val="none" w:sz="0" w:space="0" w:color="auto"/>
      </w:divBdr>
    </w:div>
    <w:div w:id="1600945351">
      <w:bodyDiv w:val="1"/>
      <w:marLeft w:val="0"/>
      <w:marRight w:val="0"/>
      <w:marTop w:val="0"/>
      <w:marBottom w:val="0"/>
      <w:divBdr>
        <w:top w:val="none" w:sz="0" w:space="0" w:color="auto"/>
        <w:left w:val="none" w:sz="0" w:space="0" w:color="auto"/>
        <w:bottom w:val="none" w:sz="0" w:space="0" w:color="auto"/>
        <w:right w:val="none" w:sz="0" w:space="0" w:color="auto"/>
      </w:divBdr>
    </w:div>
    <w:div w:id="1657803229">
      <w:bodyDiv w:val="1"/>
      <w:marLeft w:val="0"/>
      <w:marRight w:val="0"/>
      <w:marTop w:val="0"/>
      <w:marBottom w:val="0"/>
      <w:divBdr>
        <w:top w:val="none" w:sz="0" w:space="0" w:color="auto"/>
        <w:left w:val="none" w:sz="0" w:space="0" w:color="auto"/>
        <w:bottom w:val="none" w:sz="0" w:space="0" w:color="auto"/>
        <w:right w:val="none" w:sz="0" w:space="0" w:color="auto"/>
      </w:divBdr>
    </w:div>
    <w:div w:id="1679968019">
      <w:bodyDiv w:val="1"/>
      <w:marLeft w:val="0"/>
      <w:marRight w:val="0"/>
      <w:marTop w:val="0"/>
      <w:marBottom w:val="0"/>
      <w:divBdr>
        <w:top w:val="none" w:sz="0" w:space="0" w:color="auto"/>
        <w:left w:val="none" w:sz="0" w:space="0" w:color="auto"/>
        <w:bottom w:val="none" w:sz="0" w:space="0" w:color="auto"/>
        <w:right w:val="none" w:sz="0" w:space="0" w:color="auto"/>
      </w:divBdr>
    </w:div>
    <w:div w:id="1787652785">
      <w:bodyDiv w:val="1"/>
      <w:marLeft w:val="0"/>
      <w:marRight w:val="0"/>
      <w:marTop w:val="0"/>
      <w:marBottom w:val="0"/>
      <w:divBdr>
        <w:top w:val="none" w:sz="0" w:space="0" w:color="auto"/>
        <w:left w:val="none" w:sz="0" w:space="0" w:color="auto"/>
        <w:bottom w:val="none" w:sz="0" w:space="0" w:color="auto"/>
        <w:right w:val="none" w:sz="0" w:space="0" w:color="auto"/>
      </w:divBdr>
    </w:div>
    <w:div w:id="2055348448">
      <w:bodyDiv w:val="1"/>
      <w:marLeft w:val="0"/>
      <w:marRight w:val="0"/>
      <w:marTop w:val="0"/>
      <w:marBottom w:val="0"/>
      <w:divBdr>
        <w:top w:val="none" w:sz="0" w:space="0" w:color="auto"/>
        <w:left w:val="none" w:sz="0" w:space="0" w:color="auto"/>
        <w:bottom w:val="none" w:sz="0" w:space="0" w:color="auto"/>
        <w:right w:val="none" w:sz="0" w:space="0" w:color="auto"/>
      </w:divBdr>
    </w:div>
    <w:div w:id="21273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hart" Target="charts/chart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6.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hart" Target="charts/chart3.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header" Target="header8.xml"/><Relationship Id="rId30" Type="http://schemas.openxmlformats.org/officeDocument/2006/relationships/hyperlink" Target="mailto:sarah.harber@truck.net.au"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newell\administration_common\Accounts\a.%20Australian%20Trucking%20Association\Misc\Effective%20Life%20of%20Trucks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well\administration_common\Accounts\a.%20Australian%20Trucking%20Association\Misc\Effective%20Life%20of%20Trucks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ewell\administration_common\Accounts\a.%20Australian%20Trucking%20Association\Misc\Effective%20Life%20of%20Trucks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ewell\administration_common\Accounts\a.%20Australian%20Trucking%20Association\Misc\Effective%20Life%20of%20Trucks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ewell\home\mckinleyb\Effective%20life%20of%20trucks\AUS%20YOM%20emission%20standar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style val="1"/>
  <c:chart>
    <c:plotArea>
      <c:layout/>
      <c:barChart>
        <c:barDir val="col"/>
        <c:grouping val="clustered"/>
        <c:ser>
          <c:idx val="0"/>
          <c:order val="0"/>
          <c:tx>
            <c:strRef>
              <c:f>'PC 7.5 yrs'!$F$50</c:f>
              <c:strCache>
                <c:ptCount val="1"/>
                <c:pt idx="0">
                  <c:v>7.5yrs PV</c:v>
                </c:pt>
              </c:strCache>
            </c:strRef>
          </c:tx>
          <c:cat>
            <c:strRef>
              <c:f>'PC 7.5 yrs'!$A$51:$A$56</c:f>
              <c:strCache>
                <c:ptCount val="6"/>
                <c:pt idx="0">
                  <c:v>Year 1</c:v>
                </c:pt>
                <c:pt idx="1">
                  <c:v>Year 2</c:v>
                </c:pt>
                <c:pt idx="2">
                  <c:v>Year 3</c:v>
                </c:pt>
                <c:pt idx="3">
                  <c:v>Year 4</c:v>
                </c:pt>
                <c:pt idx="4">
                  <c:v>Year 5</c:v>
                </c:pt>
                <c:pt idx="5">
                  <c:v>Disposal</c:v>
                </c:pt>
              </c:strCache>
            </c:strRef>
          </c:cat>
          <c:val>
            <c:numRef>
              <c:f>'PC 7.5 yrs'!$F$51:$F$56</c:f>
              <c:numCache>
                <c:formatCode>#,##0;[Red]\-#,##0</c:formatCode>
                <c:ptCount val="6"/>
                <c:pt idx="0">
                  <c:v>8331.25</c:v>
                </c:pt>
                <c:pt idx="1">
                  <c:v>7573.8636363636433</c:v>
                </c:pt>
                <c:pt idx="2">
                  <c:v>6885.3305785123957</c:v>
                </c:pt>
                <c:pt idx="3">
                  <c:v>6259.3914350112718</c:v>
                </c:pt>
                <c:pt idx="4">
                  <c:v>5690.3558500102436</c:v>
                </c:pt>
                <c:pt idx="5">
                  <c:v>-1131.241035448398</c:v>
                </c:pt>
              </c:numCache>
            </c:numRef>
          </c:val>
        </c:ser>
        <c:ser>
          <c:idx val="1"/>
          <c:order val="1"/>
          <c:tx>
            <c:strRef>
              <c:f>'PC 7.5 yrs'!$G$50</c:f>
              <c:strCache>
                <c:ptCount val="1"/>
                <c:pt idx="0">
                  <c:v>15yrs PV</c:v>
                </c:pt>
              </c:strCache>
            </c:strRef>
          </c:tx>
          <c:cat>
            <c:strRef>
              <c:f>'PC 7.5 yrs'!$A$51:$A$56</c:f>
              <c:strCache>
                <c:ptCount val="6"/>
                <c:pt idx="0">
                  <c:v>Year 1</c:v>
                </c:pt>
                <c:pt idx="1">
                  <c:v>Year 2</c:v>
                </c:pt>
                <c:pt idx="2">
                  <c:v>Year 3</c:v>
                </c:pt>
                <c:pt idx="3">
                  <c:v>Year 4</c:v>
                </c:pt>
                <c:pt idx="4">
                  <c:v>Year 5</c:v>
                </c:pt>
                <c:pt idx="5">
                  <c:v>Disposal</c:v>
                </c:pt>
              </c:strCache>
            </c:strRef>
          </c:cat>
          <c:val>
            <c:numRef>
              <c:f>'PC 7.5 yrs'!$G$51:$G$56</c:f>
              <c:numCache>
                <c:formatCode>#,##0;[Red]\-#,##0</c:formatCode>
                <c:ptCount val="6"/>
                <c:pt idx="0">
                  <c:v>4168.75</c:v>
                </c:pt>
                <c:pt idx="1">
                  <c:v>3789.772727272727</c:v>
                </c:pt>
                <c:pt idx="2">
                  <c:v>3445.2479338842986</c:v>
                </c:pt>
                <c:pt idx="3">
                  <c:v>3132.043576258453</c:v>
                </c:pt>
                <c:pt idx="4">
                  <c:v>2847.3123420531406</c:v>
                </c:pt>
                <c:pt idx="5">
                  <c:v>13083.976504337124</c:v>
                </c:pt>
              </c:numCache>
            </c:numRef>
          </c:val>
        </c:ser>
        <c:axId val="63426560"/>
        <c:axId val="63428096"/>
      </c:barChart>
      <c:lineChart>
        <c:grouping val="standard"/>
        <c:ser>
          <c:idx val="2"/>
          <c:order val="2"/>
          <c:tx>
            <c:strRef>
              <c:f>'PC 7.5 yrs'!$I$50</c:f>
              <c:strCache>
                <c:ptCount val="1"/>
                <c:pt idx="0">
                  <c:v>Cumulative gap</c:v>
                </c:pt>
              </c:strCache>
            </c:strRef>
          </c:tx>
          <c:marker>
            <c:symbol val="none"/>
          </c:marker>
          <c:val>
            <c:numRef>
              <c:f>'PC 7.5 yrs'!$I$51:$I$56</c:f>
              <c:numCache>
                <c:formatCode>#,##0;[Red]\-#,##0</c:formatCode>
                <c:ptCount val="6"/>
                <c:pt idx="0">
                  <c:v>4162.5</c:v>
                </c:pt>
                <c:pt idx="1">
                  <c:v>7946.5909090909126</c:v>
                </c:pt>
                <c:pt idx="2">
                  <c:v>11386.673553719012</c:v>
                </c:pt>
                <c:pt idx="3">
                  <c:v>14514.021412471831</c:v>
                </c:pt>
                <c:pt idx="4">
                  <c:v>17357.064920428926</c:v>
                </c:pt>
                <c:pt idx="5">
                  <c:v>3141.8473806434013</c:v>
                </c:pt>
              </c:numCache>
            </c:numRef>
          </c:val>
        </c:ser>
        <c:marker val="1"/>
        <c:axId val="63426560"/>
        <c:axId val="63428096"/>
      </c:lineChart>
      <c:catAx>
        <c:axId val="63426560"/>
        <c:scaling>
          <c:orientation val="minMax"/>
        </c:scaling>
        <c:axPos val="b"/>
        <c:tickLblPos val="low"/>
        <c:txPr>
          <a:bodyPr/>
          <a:lstStyle/>
          <a:p>
            <a:pPr>
              <a:defRPr sz="900">
                <a:latin typeface="Arial" pitchFamily="34" charset="0"/>
                <a:cs typeface="Arial" pitchFamily="34" charset="0"/>
              </a:defRPr>
            </a:pPr>
            <a:endParaRPr lang="en-US"/>
          </a:p>
        </c:txPr>
        <c:crossAx val="63428096"/>
        <c:crosses val="autoZero"/>
        <c:auto val="1"/>
        <c:lblAlgn val="ctr"/>
        <c:lblOffset val="200"/>
      </c:catAx>
      <c:valAx>
        <c:axId val="63428096"/>
        <c:scaling>
          <c:orientation val="minMax"/>
          <c:max val="20000"/>
        </c:scaling>
        <c:axPos val="l"/>
        <c:majorGridlines/>
        <c:numFmt formatCode="&quot;$&quot;#,##0" sourceLinked="0"/>
        <c:tickLblPos val="nextTo"/>
        <c:txPr>
          <a:bodyPr/>
          <a:lstStyle/>
          <a:p>
            <a:pPr>
              <a:defRPr sz="900">
                <a:latin typeface="Arial" pitchFamily="34" charset="0"/>
                <a:cs typeface="Arial" pitchFamily="34" charset="0"/>
              </a:defRPr>
            </a:pPr>
            <a:endParaRPr lang="en-US"/>
          </a:p>
        </c:txPr>
        <c:crossAx val="63426560"/>
        <c:crosses val="autoZero"/>
        <c:crossBetween val="between"/>
      </c:valAx>
    </c:plotArea>
    <c:legend>
      <c:legendPos val="b"/>
      <c:layout/>
      <c:txPr>
        <a:bodyPr/>
        <a:lstStyle/>
        <a:p>
          <a:pPr>
            <a:defRPr sz="900">
              <a:latin typeface="Arial" pitchFamily="34" charset="0"/>
              <a:cs typeface="Arial" pitchFamily="34" charset="0"/>
            </a:defRPr>
          </a:pPr>
          <a:endParaRPr lang="en-US"/>
        </a:p>
      </c:txP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style val="1"/>
  <c:chart>
    <c:plotArea>
      <c:layout/>
      <c:barChart>
        <c:barDir val="col"/>
        <c:grouping val="clustered"/>
        <c:ser>
          <c:idx val="4"/>
          <c:order val="0"/>
          <c:tx>
            <c:strRef>
              <c:f>'DV 7.5 yrs'!$F$50</c:f>
              <c:strCache>
                <c:ptCount val="1"/>
                <c:pt idx="0">
                  <c:v>7.5yrs PV (25%)</c:v>
                </c:pt>
              </c:strCache>
            </c:strRef>
          </c:tx>
          <c:cat>
            <c:strRef>
              <c:f>'DV 7.5 yrs'!$A$51:$A$56</c:f>
              <c:strCache>
                <c:ptCount val="6"/>
                <c:pt idx="0">
                  <c:v>Year 1</c:v>
                </c:pt>
                <c:pt idx="1">
                  <c:v>Year 2</c:v>
                </c:pt>
                <c:pt idx="2">
                  <c:v>Year 3</c:v>
                </c:pt>
                <c:pt idx="3">
                  <c:v>Year 4</c:v>
                </c:pt>
                <c:pt idx="4">
                  <c:v>Year 5</c:v>
                </c:pt>
                <c:pt idx="5">
                  <c:v>Disposal</c:v>
                </c:pt>
              </c:strCache>
            </c:strRef>
          </c:cat>
          <c:val>
            <c:numRef>
              <c:f>'DV 7.5 yrs'!$F$51:$F$56</c:f>
              <c:numCache>
                <c:formatCode>#,##0;[Red]\-#,##0</c:formatCode>
                <c:ptCount val="6"/>
                <c:pt idx="0">
                  <c:v>12500</c:v>
                </c:pt>
                <c:pt idx="1">
                  <c:v>9090.9090909090883</c:v>
                </c:pt>
                <c:pt idx="2">
                  <c:v>6611.5702479338825</c:v>
                </c:pt>
                <c:pt idx="3">
                  <c:v>4808.4147257700961</c:v>
                </c:pt>
                <c:pt idx="4">
                  <c:v>3497.02889146916</c:v>
                </c:pt>
                <c:pt idx="5">
                  <c:v>-1379.6871798374423</c:v>
                </c:pt>
              </c:numCache>
            </c:numRef>
          </c:val>
        </c:ser>
        <c:ser>
          <c:idx val="5"/>
          <c:order val="1"/>
          <c:tx>
            <c:strRef>
              <c:f>'DV 7.5 yrs'!$G$50</c:f>
              <c:strCache>
                <c:ptCount val="1"/>
                <c:pt idx="0">
                  <c:v>15yrs PV (25%)</c:v>
                </c:pt>
              </c:strCache>
            </c:strRef>
          </c:tx>
          <c:cat>
            <c:strRef>
              <c:f>'DV 7.5 yrs'!$A$51:$A$56</c:f>
              <c:strCache>
                <c:ptCount val="6"/>
                <c:pt idx="0">
                  <c:v>Year 1</c:v>
                </c:pt>
                <c:pt idx="1">
                  <c:v>Year 2</c:v>
                </c:pt>
                <c:pt idx="2">
                  <c:v>Year 3</c:v>
                </c:pt>
                <c:pt idx="3">
                  <c:v>Year 4</c:v>
                </c:pt>
                <c:pt idx="4">
                  <c:v>Year 5</c:v>
                </c:pt>
                <c:pt idx="5">
                  <c:v>Disposal</c:v>
                </c:pt>
              </c:strCache>
            </c:strRef>
          </c:cat>
          <c:val>
            <c:numRef>
              <c:f>'DV 7.5 yrs'!$G$51:$G$56</c:f>
              <c:numCache>
                <c:formatCode>#,##0;[Red]\-#,##0</c:formatCode>
                <c:ptCount val="6"/>
                <c:pt idx="0">
                  <c:v>6250</c:v>
                </c:pt>
                <c:pt idx="1">
                  <c:v>5113.6363636363631</c:v>
                </c:pt>
                <c:pt idx="2">
                  <c:v>4183.8842975206608</c:v>
                </c:pt>
                <c:pt idx="3">
                  <c:v>3423.1780616078122</c:v>
                </c:pt>
                <c:pt idx="4">
                  <c:v>2800.7820504063916</c:v>
                </c:pt>
                <c:pt idx="5">
                  <c:v>9839.2357079434441</c:v>
                </c:pt>
              </c:numCache>
            </c:numRef>
          </c:val>
        </c:ser>
        <c:axId val="114699264"/>
        <c:axId val="114709248"/>
      </c:barChart>
      <c:lineChart>
        <c:grouping val="standard"/>
        <c:ser>
          <c:idx val="3"/>
          <c:order val="2"/>
          <c:tx>
            <c:strRef>
              <c:f>'DV 7.5 yrs'!$I$50</c:f>
              <c:strCache>
                <c:ptCount val="1"/>
                <c:pt idx="0">
                  <c:v>Cumulative gap 25% tax rate</c:v>
                </c:pt>
              </c:strCache>
            </c:strRef>
          </c:tx>
          <c:marker>
            <c:symbol val="none"/>
          </c:marker>
          <c:val>
            <c:numRef>
              <c:f>'DV 7.5 yrs'!$I$51:$I$56</c:f>
              <c:numCache>
                <c:formatCode>#,##0;[Red]\-#,##0</c:formatCode>
                <c:ptCount val="6"/>
                <c:pt idx="0">
                  <c:v>6250</c:v>
                </c:pt>
                <c:pt idx="1">
                  <c:v>10227.27272727273</c:v>
                </c:pt>
                <c:pt idx="2">
                  <c:v>12654.958677685949</c:v>
                </c:pt>
                <c:pt idx="3">
                  <c:v>14040.195341848234</c:v>
                </c:pt>
                <c:pt idx="4">
                  <c:v>14736.442182911005</c:v>
                </c:pt>
                <c:pt idx="5">
                  <c:v>3517.519295130116</c:v>
                </c:pt>
              </c:numCache>
            </c:numRef>
          </c:val>
        </c:ser>
        <c:marker val="1"/>
        <c:axId val="114699264"/>
        <c:axId val="114709248"/>
      </c:lineChart>
      <c:catAx>
        <c:axId val="114699264"/>
        <c:scaling>
          <c:orientation val="minMax"/>
        </c:scaling>
        <c:axPos val="b"/>
        <c:tickLblPos val="low"/>
        <c:txPr>
          <a:bodyPr/>
          <a:lstStyle/>
          <a:p>
            <a:pPr>
              <a:defRPr sz="900">
                <a:latin typeface="Arial" pitchFamily="34" charset="0"/>
                <a:cs typeface="Arial" pitchFamily="34" charset="0"/>
              </a:defRPr>
            </a:pPr>
            <a:endParaRPr lang="en-US"/>
          </a:p>
        </c:txPr>
        <c:crossAx val="114709248"/>
        <c:crosses val="autoZero"/>
        <c:auto val="1"/>
        <c:lblAlgn val="ctr"/>
        <c:lblOffset val="100"/>
      </c:catAx>
      <c:valAx>
        <c:axId val="114709248"/>
        <c:scaling>
          <c:orientation val="minMax"/>
          <c:max val="20000"/>
        </c:scaling>
        <c:axPos val="l"/>
        <c:majorGridlines/>
        <c:numFmt formatCode="&quot;$&quot;#,##0" sourceLinked="0"/>
        <c:tickLblPos val="nextTo"/>
        <c:txPr>
          <a:bodyPr/>
          <a:lstStyle/>
          <a:p>
            <a:pPr>
              <a:defRPr sz="900">
                <a:latin typeface="Arial" pitchFamily="34" charset="0"/>
                <a:cs typeface="Arial" pitchFamily="34" charset="0"/>
              </a:defRPr>
            </a:pPr>
            <a:endParaRPr lang="en-US"/>
          </a:p>
        </c:txPr>
        <c:crossAx val="114699264"/>
        <c:crosses val="autoZero"/>
        <c:crossBetween val="between"/>
      </c:valAx>
    </c:plotArea>
    <c:legend>
      <c:legendPos val="b"/>
      <c:layout/>
      <c:txPr>
        <a:bodyPr/>
        <a:lstStyle/>
        <a:p>
          <a:pPr>
            <a:defRPr sz="900">
              <a:latin typeface="Arial" pitchFamily="34" charset="0"/>
              <a:cs typeface="Arial" pitchFamily="34" charset="0"/>
            </a:defRPr>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AU"/>
  <c:style val="1"/>
  <c:chart>
    <c:plotArea>
      <c:layout/>
      <c:barChart>
        <c:barDir val="col"/>
        <c:grouping val="clustered"/>
        <c:ser>
          <c:idx val="0"/>
          <c:order val="0"/>
          <c:tx>
            <c:strRef>
              <c:f>'Rigid PC'!$F$50</c:f>
              <c:strCache>
                <c:ptCount val="1"/>
                <c:pt idx="0">
                  <c:v>7.5yrs PV</c:v>
                </c:pt>
              </c:strCache>
            </c:strRef>
          </c:tx>
          <c:cat>
            <c:strRef>
              <c:f>'Rigid PC'!$A$51:$A$61</c:f>
              <c:strCache>
                <c:ptCount val="11"/>
                <c:pt idx="0">
                  <c:v>Year 1</c:v>
                </c:pt>
                <c:pt idx="1">
                  <c:v>Year 2</c:v>
                </c:pt>
                <c:pt idx="2">
                  <c:v>Year 3</c:v>
                </c:pt>
                <c:pt idx="3">
                  <c:v>Year 4</c:v>
                </c:pt>
                <c:pt idx="4">
                  <c:v>Year 5</c:v>
                </c:pt>
                <c:pt idx="5">
                  <c:v>Year 6</c:v>
                </c:pt>
                <c:pt idx="6">
                  <c:v>Year 7</c:v>
                </c:pt>
                <c:pt idx="7">
                  <c:v>Year 8</c:v>
                </c:pt>
                <c:pt idx="8">
                  <c:v>Year 9</c:v>
                </c:pt>
                <c:pt idx="9">
                  <c:v>Year 10</c:v>
                </c:pt>
                <c:pt idx="10">
                  <c:v>Disposal </c:v>
                </c:pt>
              </c:strCache>
            </c:strRef>
          </c:cat>
          <c:val>
            <c:numRef>
              <c:f>'Rigid PC'!$F$51:$F$61</c:f>
              <c:numCache>
                <c:formatCode>#,##0;[Red]\-#,##0</c:formatCode>
                <c:ptCount val="11"/>
                <c:pt idx="0">
                  <c:v>3332.5</c:v>
                </c:pt>
                <c:pt idx="1">
                  <c:v>3029.545454545455</c:v>
                </c:pt>
                <c:pt idx="2">
                  <c:v>2754.1322314049585</c:v>
                </c:pt>
                <c:pt idx="3">
                  <c:v>2503.756574004507</c:v>
                </c:pt>
                <c:pt idx="4">
                  <c:v>2276.1423400040972</c:v>
                </c:pt>
                <c:pt idx="5">
                  <c:v>2069.2203090946336</c:v>
                </c:pt>
                <c:pt idx="6">
                  <c:v>1881.1093719042126</c:v>
                </c:pt>
                <c:pt idx="7">
                  <c:v>858.2569527408566</c:v>
                </c:pt>
                <c:pt idx="8">
                  <c:v>0</c:v>
                </c:pt>
                <c:pt idx="9">
                  <c:v>0</c:v>
                </c:pt>
                <c:pt idx="10">
                  <c:v>-3180.732137793635</c:v>
                </c:pt>
              </c:numCache>
            </c:numRef>
          </c:val>
        </c:ser>
        <c:ser>
          <c:idx val="1"/>
          <c:order val="1"/>
          <c:tx>
            <c:strRef>
              <c:f>'Rigid PC'!$G$50</c:f>
              <c:strCache>
                <c:ptCount val="1"/>
                <c:pt idx="0">
                  <c:v>15yrs PV</c:v>
                </c:pt>
              </c:strCache>
            </c:strRef>
          </c:tx>
          <c:cat>
            <c:strRef>
              <c:f>'Rigid PC'!$A$51:$A$61</c:f>
              <c:strCache>
                <c:ptCount val="11"/>
                <c:pt idx="0">
                  <c:v>Year 1</c:v>
                </c:pt>
                <c:pt idx="1">
                  <c:v>Year 2</c:v>
                </c:pt>
                <c:pt idx="2">
                  <c:v>Year 3</c:v>
                </c:pt>
                <c:pt idx="3">
                  <c:v>Year 4</c:v>
                </c:pt>
                <c:pt idx="4">
                  <c:v>Year 5</c:v>
                </c:pt>
                <c:pt idx="5">
                  <c:v>Year 6</c:v>
                </c:pt>
                <c:pt idx="6">
                  <c:v>Year 7</c:v>
                </c:pt>
                <c:pt idx="7">
                  <c:v>Year 8</c:v>
                </c:pt>
                <c:pt idx="8">
                  <c:v>Year 9</c:v>
                </c:pt>
                <c:pt idx="9">
                  <c:v>Year 10</c:v>
                </c:pt>
                <c:pt idx="10">
                  <c:v>Disposal </c:v>
                </c:pt>
              </c:strCache>
            </c:strRef>
          </c:cat>
          <c:val>
            <c:numRef>
              <c:f>'Rigid PC'!$G$51:$G$61</c:f>
              <c:numCache>
                <c:formatCode>#,##0;[Red]\-#,##0</c:formatCode>
                <c:ptCount val="11"/>
                <c:pt idx="0">
                  <c:v>1667.5</c:v>
                </c:pt>
                <c:pt idx="1">
                  <c:v>1515.9090909090905</c:v>
                </c:pt>
                <c:pt idx="2">
                  <c:v>1378.0991735537186</c:v>
                </c:pt>
                <c:pt idx="3">
                  <c:v>1252.8174305033801</c:v>
                </c:pt>
                <c:pt idx="4">
                  <c:v>1138.924936821255</c:v>
                </c:pt>
                <c:pt idx="5">
                  <c:v>1035.3863062011408</c:v>
                </c:pt>
                <c:pt idx="6">
                  <c:v>941.26027836467335</c:v>
                </c:pt>
                <c:pt idx="7">
                  <c:v>855.6911621497029</c:v>
                </c:pt>
                <c:pt idx="8">
                  <c:v>777.90105649972986</c:v>
                </c:pt>
                <c:pt idx="9">
                  <c:v>707.18277863611831</c:v>
                </c:pt>
                <c:pt idx="10">
                  <c:v>1057.0633137934178</c:v>
                </c:pt>
              </c:numCache>
            </c:numRef>
          </c:val>
        </c:ser>
        <c:axId val="63580032"/>
        <c:axId val="63581568"/>
      </c:barChart>
      <c:lineChart>
        <c:grouping val="standard"/>
        <c:ser>
          <c:idx val="2"/>
          <c:order val="2"/>
          <c:tx>
            <c:strRef>
              <c:f>'Rigid PC'!$I$50</c:f>
              <c:strCache>
                <c:ptCount val="1"/>
                <c:pt idx="0">
                  <c:v>Cumulative gap</c:v>
                </c:pt>
              </c:strCache>
            </c:strRef>
          </c:tx>
          <c:marker>
            <c:symbol val="none"/>
          </c:marker>
          <c:val>
            <c:numRef>
              <c:f>'Rigid PC'!$I$51:$I$61</c:f>
              <c:numCache>
                <c:formatCode>#,##0;[Red]\-#,##0</c:formatCode>
                <c:ptCount val="11"/>
                <c:pt idx="0">
                  <c:v>1665.0000000000002</c:v>
                </c:pt>
                <c:pt idx="1">
                  <c:v>3178.6363636363644</c:v>
                </c:pt>
                <c:pt idx="2">
                  <c:v>4554.6694214876061</c:v>
                </c:pt>
                <c:pt idx="3">
                  <c:v>5805.6085649887318</c:v>
                </c:pt>
                <c:pt idx="4">
                  <c:v>6942.8259681715754</c:v>
                </c:pt>
                <c:pt idx="5">
                  <c:v>7976.6599710650689</c:v>
                </c:pt>
                <c:pt idx="6">
                  <c:v>8916.5090646046046</c:v>
                </c:pt>
                <c:pt idx="7">
                  <c:v>8919.0748551957622</c:v>
                </c:pt>
                <c:pt idx="8">
                  <c:v>8141.1737986960297</c:v>
                </c:pt>
                <c:pt idx="9">
                  <c:v>7433.9910200599134</c:v>
                </c:pt>
                <c:pt idx="10">
                  <c:v>3196.1955684728591</c:v>
                </c:pt>
              </c:numCache>
            </c:numRef>
          </c:val>
        </c:ser>
        <c:marker val="1"/>
        <c:axId val="63580032"/>
        <c:axId val="63581568"/>
      </c:lineChart>
      <c:catAx>
        <c:axId val="63580032"/>
        <c:scaling>
          <c:orientation val="minMax"/>
        </c:scaling>
        <c:axPos val="b"/>
        <c:tickLblPos val="low"/>
        <c:txPr>
          <a:bodyPr/>
          <a:lstStyle/>
          <a:p>
            <a:pPr>
              <a:defRPr sz="900">
                <a:latin typeface="Arial" pitchFamily="34" charset="0"/>
                <a:cs typeface="Arial" pitchFamily="34" charset="0"/>
              </a:defRPr>
            </a:pPr>
            <a:endParaRPr lang="en-US"/>
          </a:p>
        </c:txPr>
        <c:crossAx val="63581568"/>
        <c:crosses val="autoZero"/>
        <c:auto val="1"/>
        <c:lblAlgn val="ctr"/>
        <c:lblOffset val="100"/>
      </c:catAx>
      <c:valAx>
        <c:axId val="63581568"/>
        <c:scaling>
          <c:orientation val="minMax"/>
          <c:max val="10000"/>
        </c:scaling>
        <c:axPos val="l"/>
        <c:majorGridlines/>
        <c:numFmt formatCode="&quot;$&quot;#,##0" sourceLinked="0"/>
        <c:tickLblPos val="nextTo"/>
        <c:txPr>
          <a:bodyPr/>
          <a:lstStyle/>
          <a:p>
            <a:pPr>
              <a:defRPr sz="900">
                <a:latin typeface="Arial" pitchFamily="34" charset="0"/>
                <a:cs typeface="Arial" pitchFamily="34" charset="0"/>
              </a:defRPr>
            </a:pPr>
            <a:endParaRPr lang="en-US"/>
          </a:p>
        </c:txPr>
        <c:crossAx val="63580032"/>
        <c:crosses val="autoZero"/>
        <c:crossBetween val="between"/>
        <c:majorUnit val="2000"/>
      </c:valAx>
    </c:plotArea>
    <c:legend>
      <c:legendPos val="b"/>
      <c:layout/>
      <c:txPr>
        <a:bodyPr/>
        <a:lstStyle/>
        <a:p>
          <a:pPr>
            <a:defRPr sz="900">
              <a:latin typeface="Arial" pitchFamily="34" charset="0"/>
              <a:cs typeface="Arial" pitchFamily="34" charset="0"/>
            </a:defRPr>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AU"/>
  <c:style val="1"/>
  <c:chart>
    <c:plotArea>
      <c:layout/>
      <c:barChart>
        <c:barDir val="col"/>
        <c:grouping val="clustered"/>
        <c:ser>
          <c:idx val="0"/>
          <c:order val="0"/>
          <c:tx>
            <c:strRef>
              <c:f>'Rigid DV'!$F$50</c:f>
              <c:strCache>
                <c:ptCount val="1"/>
                <c:pt idx="0">
                  <c:v>7.5yrs PV</c:v>
                </c:pt>
              </c:strCache>
            </c:strRef>
          </c:tx>
          <c:cat>
            <c:strRef>
              <c:f>'Rigid PC'!$A$51:$A$61</c:f>
              <c:strCache>
                <c:ptCount val="11"/>
                <c:pt idx="0">
                  <c:v>Year 1</c:v>
                </c:pt>
                <c:pt idx="1">
                  <c:v>Year 2</c:v>
                </c:pt>
                <c:pt idx="2">
                  <c:v>Year 3</c:v>
                </c:pt>
                <c:pt idx="3">
                  <c:v>Year 4</c:v>
                </c:pt>
                <c:pt idx="4">
                  <c:v>Year 5</c:v>
                </c:pt>
                <c:pt idx="5">
                  <c:v>Year 6</c:v>
                </c:pt>
                <c:pt idx="6">
                  <c:v>Year 7</c:v>
                </c:pt>
                <c:pt idx="7">
                  <c:v>Year 8</c:v>
                </c:pt>
                <c:pt idx="8">
                  <c:v>Year 9</c:v>
                </c:pt>
                <c:pt idx="9">
                  <c:v>Year 10</c:v>
                </c:pt>
                <c:pt idx="10">
                  <c:v>Disposal </c:v>
                </c:pt>
              </c:strCache>
            </c:strRef>
          </c:cat>
          <c:val>
            <c:numRef>
              <c:f>'Rigid DV'!$F$51:$F$61</c:f>
              <c:numCache>
                <c:formatCode>#,##0;[Red]\-#,##0</c:formatCode>
                <c:ptCount val="11"/>
                <c:pt idx="0">
                  <c:v>5000</c:v>
                </c:pt>
                <c:pt idx="1">
                  <c:v>3636.363636363636</c:v>
                </c:pt>
                <c:pt idx="2">
                  <c:v>2644.6280991735534</c:v>
                </c:pt>
                <c:pt idx="3">
                  <c:v>1923.3658903080384</c:v>
                </c:pt>
                <c:pt idx="4">
                  <c:v>1398.8115565876647</c:v>
                </c:pt>
                <c:pt idx="5">
                  <c:v>1017.3174957001195</c:v>
                </c:pt>
                <c:pt idx="6">
                  <c:v>739.86726960008684</c:v>
                </c:pt>
                <c:pt idx="7">
                  <c:v>538.08528698188138</c:v>
                </c:pt>
                <c:pt idx="8">
                  <c:v>391.33475416864093</c:v>
                </c:pt>
                <c:pt idx="9">
                  <c:v>284.60709394082971</c:v>
                </c:pt>
                <c:pt idx="10">
                  <c:v>-2042.3037620303157</c:v>
                </c:pt>
              </c:numCache>
            </c:numRef>
          </c:val>
        </c:ser>
        <c:ser>
          <c:idx val="1"/>
          <c:order val="1"/>
          <c:tx>
            <c:strRef>
              <c:f>'Rigid DV'!$G$50</c:f>
              <c:strCache>
                <c:ptCount val="1"/>
                <c:pt idx="0">
                  <c:v>15yrs PV</c:v>
                </c:pt>
              </c:strCache>
            </c:strRef>
          </c:tx>
          <c:cat>
            <c:strRef>
              <c:f>'Rigid PC'!$A$51:$A$61</c:f>
              <c:strCache>
                <c:ptCount val="11"/>
                <c:pt idx="0">
                  <c:v>Year 1</c:v>
                </c:pt>
                <c:pt idx="1">
                  <c:v>Year 2</c:v>
                </c:pt>
                <c:pt idx="2">
                  <c:v>Year 3</c:v>
                </c:pt>
                <c:pt idx="3">
                  <c:v>Year 4</c:v>
                </c:pt>
                <c:pt idx="4">
                  <c:v>Year 5</c:v>
                </c:pt>
                <c:pt idx="5">
                  <c:v>Year 6</c:v>
                </c:pt>
                <c:pt idx="6">
                  <c:v>Year 7</c:v>
                </c:pt>
                <c:pt idx="7">
                  <c:v>Year 8</c:v>
                </c:pt>
                <c:pt idx="8">
                  <c:v>Year 9</c:v>
                </c:pt>
                <c:pt idx="9">
                  <c:v>Year 10</c:v>
                </c:pt>
                <c:pt idx="10">
                  <c:v>Disposal </c:v>
                </c:pt>
              </c:strCache>
            </c:strRef>
          </c:cat>
          <c:val>
            <c:numRef>
              <c:f>'Rigid DV'!$G$51:$G$61</c:f>
              <c:numCache>
                <c:formatCode>#,##0;[Red]\-#,##0</c:formatCode>
                <c:ptCount val="11"/>
                <c:pt idx="0">
                  <c:v>2500</c:v>
                </c:pt>
                <c:pt idx="1">
                  <c:v>2045.4545454545453</c:v>
                </c:pt>
                <c:pt idx="2">
                  <c:v>1673.5537190082641</c:v>
                </c:pt>
                <c:pt idx="3">
                  <c:v>1369.2712246431252</c:v>
                </c:pt>
                <c:pt idx="4">
                  <c:v>1120.3128201625568</c:v>
                </c:pt>
                <c:pt idx="5">
                  <c:v>916.61958013300114</c:v>
                </c:pt>
                <c:pt idx="6">
                  <c:v>749.96147465427339</c:v>
                </c:pt>
                <c:pt idx="7">
                  <c:v>613.60484289895089</c:v>
                </c:pt>
                <c:pt idx="8">
                  <c:v>557.82258445359173</c:v>
                </c:pt>
                <c:pt idx="9">
                  <c:v>456.40029637112059</c:v>
                </c:pt>
                <c:pt idx="10">
                  <c:v>926.87052954645003</c:v>
                </c:pt>
              </c:numCache>
            </c:numRef>
          </c:val>
        </c:ser>
        <c:axId val="63632128"/>
        <c:axId val="63633664"/>
      </c:barChart>
      <c:lineChart>
        <c:grouping val="standard"/>
        <c:ser>
          <c:idx val="2"/>
          <c:order val="2"/>
          <c:tx>
            <c:strRef>
              <c:f>'Rigid DV'!$I$50</c:f>
              <c:strCache>
                <c:ptCount val="1"/>
                <c:pt idx="0">
                  <c:v>Cumulative gap</c:v>
                </c:pt>
              </c:strCache>
            </c:strRef>
          </c:tx>
          <c:marker>
            <c:symbol val="none"/>
          </c:marker>
          <c:cat>
            <c:strRef>
              <c:f>'Rigid DV'!$A$51:$A$61</c:f>
              <c:strCache>
                <c:ptCount val="11"/>
                <c:pt idx="0">
                  <c:v>Year 1</c:v>
                </c:pt>
                <c:pt idx="1">
                  <c:v>Year 2</c:v>
                </c:pt>
                <c:pt idx="2">
                  <c:v>Year 3</c:v>
                </c:pt>
                <c:pt idx="3">
                  <c:v>Year 4</c:v>
                </c:pt>
                <c:pt idx="4">
                  <c:v>Year 5</c:v>
                </c:pt>
                <c:pt idx="5">
                  <c:v>Year 6</c:v>
                </c:pt>
                <c:pt idx="6">
                  <c:v>Year 7</c:v>
                </c:pt>
                <c:pt idx="7">
                  <c:v>Year 8</c:v>
                </c:pt>
                <c:pt idx="8">
                  <c:v>Year 9</c:v>
                </c:pt>
                <c:pt idx="9">
                  <c:v>Year 10</c:v>
                </c:pt>
                <c:pt idx="10">
                  <c:v>Disposal</c:v>
                </c:pt>
              </c:strCache>
            </c:strRef>
          </c:cat>
          <c:val>
            <c:numRef>
              <c:f>'Rigid DV'!$I$51:$I$61</c:f>
              <c:numCache>
                <c:formatCode>#,##0;[Red]\-#,##0</c:formatCode>
                <c:ptCount val="11"/>
                <c:pt idx="0">
                  <c:v>2500</c:v>
                </c:pt>
                <c:pt idx="1">
                  <c:v>4090.909090909091</c:v>
                </c:pt>
                <c:pt idx="2">
                  <c:v>5061.9834710743798</c:v>
                </c:pt>
                <c:pt idx="3">
                  <c:v>5616.0781367392929</c:v>
                </c:pt>
                <c:pt idx="4">
                  <c:v>5894.5768731644002</c:v>
                </c:pt>
                <c:pt idx="5">
                  <c:v>5995.2747887315181</c:v>
                </c:pt>
                <c:pt idx="6">
                  <c:v>5985.1805836773337</c:v>
                </c:pt>
                <c:pt idx="7">
                  <c:v>5909.661027760264</c:v>
                </c:pt>
                <c:pt idx="8">
                  <c:v>5743.173197475312</c:v>
                </c:pt>
                <c:pt idx="9">
                  <c:v>5571.3799950450202</c:v>
                </c:pt>
                <c:pt idx="10">
                  <c:v>2602.2057034682553</c:v>
                </c:pt>
              </c:numCache>
            </c:numRef>
          </c:val>
        </c:ser>
        <c:marker val="1"/>
        <c:axId val="63632128"/>
        <c:axId val="63633664"/>
      </c:lineChart>
      <c:catAx>
        <c:axId val="63632128"/>
        <c:scaling>
          <c:orientation val="minMax"/>
        </c:scaling>
        <c:axPos val="b"/>
        <c:tickLblPos val="low"/>
        <c:txPr>
          <a:bodyPr/>
          <a:lstStyle/>
          <a:p>
            <a:pPr>
              <a:defRPr sz="900">
                <a:latin typeface="Arial" pitchFamily="34" charset="0"/>
                <a:cs typeface="Arial" pitchFamily="34" charset="0"/>
              </a:defRPr>
            </a:pPr>
            <a:endParaRPr lang="en-US"/>
          </a:p>
        </c:txPr>
        <c:crossAx val="63633664"/>
        <c:crosses val="autoZero"/>
        <c:auto val="1"/>
        <c:lblAlgn val="ctr"/>
        <c:lblOffset val="100"/>
      </c:catAx>
      <c:valAx>
        <c:axId val="63633664"/>
        <c:scaling>
          <c:orientation val="minMax"/>
          <c:max val="10000"/>
        </c:scaling>
        <c:axPos val="l"/>
        <c:majorGridlines/>
        <c:numFmt formatCode="&quot;$&quot;#,##0" sourceLinked="0"/>
        <c:tickLblPos val="nextTo"/>
        <c:txPr>
          <a:bodyPr/>
          <a:lstStyle/>
          <a:p>
            <a:pPr>
              <a:defRPr sz="900">
                <a:latin typeface="Arial" pitchFamily="34" charset="0"/>
                <a:cs typeface="Arial" pitchFamily="34" charset="0"/>
              </a:defRPr>
            </a:pPr>
            <a:endParaRPr lang="en-US"/>
          </a:p>
        </c:txPr>
        <c:crossAx val="63632128"/>
        <c:crosses val="autoZero"/>
        <c:crossBetween val="between"/>
        <c:majorUnit val="2000"/>
      </c:valAx>
      <c:spPr>
        <a:ln>
          <a:noFill/>
        </a:ln>
      </c:spPr>
    </c:plotArea>
    <c:legend>
      <c:legendPos val="b"/>
      <c:layout/>
      <c:txPr>
        <a:bodyPr/>
        <a:lstStyle/>
        <a:p>
          <a:pPr>
            <a:defRPr sz="900">
              <a:latin typeface="Arial" pitchFamily="34" charset="0"/>
              <a:cs typeface="Arial" pitchFamily="34" charset="0"/>
            </a:defRPr>
          </a:pPr>
          <a:endParaRPr lang="en-US"/>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AU"/>
  <c:style val="1"/>
  <c:chart>
    <c:autoTitleDeleted val="1"/>
    <c:plotArea>
      <c:layout/>
      <c:pieChart>
        <c:ser>
          <c:idx val="0"/>
          <c:order val="0"/>
          <c:dPt>
            <c:idx val="0"/>
            <c:spPr>
              <a:solidFill>
                <a:schemeClr val="bg1">
                  <a:lumMod val="75000"/>
                </a:schemeClr>
              </a:solidFill>
            </c:spPr>
          </c:dPt>
          <c:dPt>
            <c:idx val="1"/>
            <c:spPr>
              <a:solidFill>
                <a:schemeClr val="bg1">
                  <a:lumMod val="65000"/>
                </a:schemeClr>
              </a:solidFill>
            </c:spPr>
          </c:dPt>
          <c:dPt>
            <c:idx val="2"/>
            <c:spPr>
              <a:solidFill>
                <a:schemeClr val="bg1">
                  <a:lumMod val="50000"/>
                </a:schemeClr>
              </a:solidFill>
            </c:spPr>
          </c:dPt>
          <c:dPt>
            <c:idx val="3"/>
            <c:spPr>
              <a:solidFill>
                <a:schemeClr val="tx1">
                  <a:lumMod val="65000"/>
                  <a:lumOff val="35000"/>
                </a:schemeClr>
              </a:solidFill>
            </c:spPr>
          </c:dPt>
          <c:dPt>
            <c:idx val="4"/>
            <c:spPr>
              <a:solidFill>
                <a:schemeClr val="tx1">
                  <a:lumMod val="75000"/>
                  <a:lumOff val="25000"/>
                </a:schemeClr>
              </a:solidFill>
            </c:spPr>
          </c:dPt>
          <c:dLbls>
            <c:dLbl>
              <c:idx val="0"/>
              <c:layout>
                <c:manualLayout>
                  <c:x val="3.4468394575678039E-2"/>
                  <c:y val="0.10311388159813356"/>
                </c:manualLayout>
              </c:layout>
              <c:tx>
                <c:rich>
                  <a:bodyPr/>
                  <a:lstStyle/>
                  <a:p>
                    <a:r>
                      <a:rPr lang="en-US"/>
                      <a:t>No</a:t>
                    </a:r>
                    <a:r>
                      <a:rPr lang="en-US" baseline="0"/>
                      <a:t> emission standard</a:t>
                    </a:r>
                    <a:r>
                      <a:rPr lang="en-US"/>
                      <a:t>
33%</a:t>
                    </a:r>
                  </a:p>
                </c:rich>
              </c:tx>
              <c:showCatName val="1"/>
              <c:showPercent val="1"/>
            </c:dLbl>
            <c:dLbl>
              <c:idx val="1"/>
              <c:layout>
                <c:manualLayout>
                  <c:x val="5.7100065616797896E-2"/>
                  <c:y val="-2.9764144065325182E-2"/>
                </c:manualLayout>
              </c:layout>
              <c:tx>
                <c:rich>
                  <a:bodyPr/>
                  <a:lstStyle/>
                  <a:p>
                    <a:r>
                      <a:rPr lang="en-US"/>
                      <a:t>ADR 70/00
18%</a:t>
                    </a:r>
                  </a:p>
                </c:rich>
              </c:tx>
              <c:showCatName val="1"/>
              <c:showPercent val="1"/>
            </c:dLbl>
            <c:dLbl>
              <c:idx val="2"/>
              <c:layout>
                <c:manualLayout>
                  <c:x val="-4.7396872265966797E-2"/>
                  <c:y val="-4.326589384660251E-2"/>
                </c:manualLayout>
              </c:layout>
              <c:tx>
                <c:rich>
                  <a:bodyPr/>
                  <a:lstStyle/>
                  <a:p>
                    <a:r>
                      <a:rPr lang="en-US"/>
                      <a:t>ADR 80/00
23%</a:t>
                    </a:r>
                  </a:p>
                </c:rich>
              </c:tx>
              <c:showCatName val="1"/>
              <c:showPercent val="1"/>
            </c:dLbl>
            <c:dLbl>
              <c:idx val="3"/>
              <c:layout>
                <c:manualLayout>
                  <c:x val="-1.0269028871391077E-2"/>
                  <c:y val="-7.888597258675999E-4"/>
                </c:manualLayout>
              </c:layout>
              <c:tx>
                <c:rich>
                  <a:bodyPr/>
                  <a:lstStyle/>
                  <a:p>
                    <a:r>
                      <a:rPr lang="en-US"/>
                      <a:t>ADR 80/02
17%</a:t>
                    </a:r>
                  </a:p>
                </c:rich>
              </c:tx>
              <c:showCatName val="1"/>
              <c:showPercent val="1"/>
            </c:dLbl>
            <c:dLbl>
              <c:idx val="4"/>
              <c:layout>
                <c:manualLayout>
                  <c:x val="-8.1024715660542507E-2"/>
                  <c:y val="3.4722222222222224E-2"/>
                </c:manualLayout>
              </c:layout>
              <c:tx>
                <c:rich>
                  <a:bodyPr/>
                  <a:lstStyle/>
                  <a:p>
                    <a:r>
                      <a:rPr lang="en-US"/>
                      <a:t>ADR 80/03
9%</a:t>
                    </a:r>
                  </a:p>
                </c:rich>
              </c:tx>
              <c:showCatName val="1"/>
              <c:showPercent val="1"/>
            </c:dLbl>
            <c:txPr>
              <a:bodyPr/>
              <a:lstStyle/>
              <a:p>
                <a:pPr>
                  <a:defRPr sz="900">
                    <a:latin typeface="Arial" pitchFamily="34" charset="0"/>
                    <a:cs typeface="Arial" pitchFamily="34" charset="0"/>
                  </a:defRPr>
                </a:pPr>
                <a:endParaRPr lang="en-US"/>
              </a:p>
            </c:txPr>
            <c:showCatName val="1"/>
            <c:showPercent val="1"/>
            <c:showLeaderLines val="1"/>
          </c:dLbls>
          <c:cat>
            <c:strRef>
              <c:f>AUS!$A$43:$A$47</c:f>
              <c:strCache>
                <c:ptCount val="5"/>
                <c:pt idx="0">
                  <c:v>Unregulated</c:v>
                </c:pt>
                <c:pt idx="1">
                  <c:v>ADR70/00</c:v>
                </c:pt>
                <c:pt idx="2">
                  <c:v>ADR80/00</c:v>
                </c:pt>
                <c:pt idx="3">
                  <c:v>ADR80/02</c:v>
                </c:pt>
                <c:pt idx="4">
                  <c:v>ADR80/03</c:v>
                </c:pt>
              </c:strCache>
            </c:strRef>
          </c:cat>
          <c:val>
            <c:numRef>
              <c:f>AUS!$E$43:$E$47</c:f>
              <c:numCache>
                <c:formatCode>0</c:formatCode>
                <c:ptCount val="5"/>
                <c:pt idx="0">
                  <c:v>180873</c:v>
                </c:pt>
                <c:pt idx="1">
                  <c:v>97157</c:v>
                </c:pt>
                <c:pt idx="2">
                  <c:v>126309</c:v>
                </c:pt>
                <c:pt idx="3">
                  <c:v>91090</c:v>
                </c:pt>
                <c:pt idx="4">
                  <c:v>46728</c:v>
                </c:pt>
              </c:numCache>
            </c:numRef>
          </c:val>
        </c:ser>
        <c:dLbls>
          <c:showCatName val="1"/>
          <c:showPercent val="1"/>
        </c:dLbls>
        <c:firstSliceAng val="0"/>
      </c:pieChart>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D00F-3619-41DF-AE63-8E506087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5210</Words>
  <Characters>28061</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2012-09-20T03:11:00Z</dcterms:created>
  <dcterms:modified xsi:type="dcterms:W3CDTF">2012-09-25T00:21:00Z</dcterms:modified>
</cp:coreProperties>
</file>