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Submission to:</w:t>
            </w:r>
          </w:p>
        </w:tc>
        <w:tc>
          <w:tcPr>
            <w:tcW w:w="6379" w:type="dxa"/>
            <w:vAlign w:val="center"/>
          </w:tcPr>
          <w:p w:rsidR="00D735FF" w:rsidRPr="008C7BDC" w:rsidRDefault="008C7BDC" w:rsidP="00D735FF">
            <w:pPr>
              <w:pStyle w:val="Header"/>
              <w:rPr>
                <w:rFonts w:ascii="Arial" w:hAnsi="Arial" w:cs="Arial"/>
                <w:color w:val="000000" w:themeColor="text1"/>
                <w:sz w:val="28"/>
                <w:szCs w:val="28"/>
              </w:rPr>
            </w:pPr>
            <w:r>
              <w:rPr>
                <w:rFonts w:ascii="Arial" w:hAnsi="Arial" w:cs="Arial"/>
                <w:color w:val="000000" w:themeColor="text1"/>
                <w:sz w:val="28"/>
                <w:szCs w:val="28"/>
              </w:rPr>
              <w:t>Federal Attorney-General’s Department</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6379" w:type="dxa"/>
            <w:vAlign w:val="center"/>
          </w:tcPr>
          <w:p w:rsidR="00D735FF" w:rsidRPr="008C7BDC" w:rsidRDefault="008C7BDC" w:rsidP="000156D1">
            <w:pPr>
              <w:pStyle w:val="Header"/>
              <w:rPr>
                <w:rFonts w:ascii="Arial" w:hAnsi="Arial" w:cs="Arial"/>
                <w:color w:val="000000" w:themeColor="text1"/>
                <w:sz w:val="28"/>
                <w:szCs w:val="28"/>
              </w:rPr>
            </w:pPr>
            <w:r>
              <w:rPr>
                <w:rFonts w:ascii="Arial" w:hAnsi="Arial" w:cs="Arial"/>
                <w:color w:val="000000" w:themeColor="text1"/>
                <w:sz w:val="28"/>
                <w:szCs w:val="28"/>
              </w:rPr>
              <w:t>Chemical Security – Precursors to homemade explosives – Consultation Regulation Impact Statement</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6379" w:type="dxa"/>
            <w:vAlign w:val="center"/>
          </w:tcPr>
          <w:p w:rsidR="00D735FF" w:rsidRPr="00123C47" w:rsidRDefault="008C7BDC" w:rsidP="00123C47">
            <w:pPr>
              <w:pStyle w:val="Header"/>
              <w:rPr>
                <w:rFonts w:ascii="Arial" w:hAnsi="Arial" w:cs="Arial"/>
                <w:color w:val="000000" w:themeColor="text1"/>
                <w:sz w:val="28"/>
                <w:szCs w:val="28"/>
              </w:rPr>
            </w:pPr>
            <w:r w:rsidRPr="00123C47">
              <w:rPr>
                <w:rFonts w:ascii="Arial" w:hAnsi="Arial" w:cs="Arial"/>
                <w:color w:val="000000" w:themeColor="text1"/>
                <w:sz w:val="28"/>
                <w:szCs w:val="28"/>
              </w:rPr>
              <w:t>30 March 2012</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Pr="003B74E4" w:rsidRDefault="003B74E4" w:rsidP="003B74E4">
      <w:pPr>
        <w:rPr>
          <w:rFonts w:ascii="Arial" w:hAnsi="Arial" w:cs="Arial"/>
          <w:b/>
          <w:color w:val="000064"/>
          <w:sz w:val="32"/>
          <w:szCs w:val="32"/>
        </w:rPr>
      </w:pPr>
      <w:r w:rsidRPr="003B74E4">
        <w:rPr>
          <w:rFonts w:ascii="Arial" w:hAnsi="Arial" w:cs="Arial"/>
          <w:b/>
          <w:color w:val="000064"/>
          <w:sz w:val="32"/>
          <w:szCs w:val="32"/>
        </w:rPr>
        <w:t>Contents</w:t>
      </w:r>
    </w:p>
    <w:p w:rsidR="00576ED0" w:rsidRDefault="00576ED0" w:rsidP="00420F75">
      <w:pPr>
        <w:spacing w:line="269" w:lineRule="auto"/>
        <w:rPr>
          <w:rFonts w:ascii="Arial" w:hAnsi="Arial" w:cs="Arial"/>
          <w:sz w:val="20"/>
          <w:szCs w:val="20"/>
        </w:rPr>
      </w:pPr>
    </w:p>
    <w:p w:rsidR="00F6057F" w:rsidRPr="00F6057F" w:rsidRDefault="002821E4">
      <w:pPr>
        <w:pStyle w:val="TOC1"/>
        <w:tabs>
          <w:tab w:val="left" w:pos="442"/>
        </w:tabs>
        <w:rPr>
          <w:rFonts w:asciiTheme="minorHAnsi" w:eastAsiaTheme="minorEastAsia" w:hAnsiTheme="minorHAnsi" w:cstheme="minorBidi"/>
          <w:b w:val="0"/>
          <w:color w:val="000064"/>
          <w:sz w:val="22"/>
          <w:szCs w:val="22"/>
          <w:lang w:eastAsia="en-AU"/>
        </w:rPr>
      </w:pPr>
      <w:r w:rsidRPr="002821E4">
        <w:rPr>
          <w:color w:val="000064"/>
        </w:rPr>
        <w:fldChar w:fldCharType="begin"/>
      </w:r>
      <w:r w:rsidR="0035493A" w:rsidRPr="00F6057F">
        <w:rPr>
          <w:color w:val="000064"/>
        </w:rPr>
        <w:instrText xml:space="preserve"> TOC \o "1-2" \t "ATA Heading 2,2" </w:instrText>
      </w:r>
      <w:r w:rsidRPr="002821E4">
        <w:rPr>
          <w:color w:val="000064"/>
        </w:rPr>
        <w:fldChar w:fldCharType="separate"/>
      </w:r>
      <w:r w:rsidR="00F6057F" w:rsidRPr="00F6057F">
        <w:rPr>
          <w:rFonts w:cs="Times New Roman"/>
          <w:color w:val="000064"/>
        </w:rPr>
        <w:t>1.</w:t>
      </w:r>
      <w:r w:rsidR="00F6057F" w:rsidRPr="00F6057F">
        <w:rPr>
          <w:rFonts w:asciiTheme="minorHAnsi" w:eastAsiaTheme="minorEastAsia" w:hAnsiTheme="minorHAnsi" w:cstheme="minorBidi"/>
          <w:b w:val="0"/>
          <w:color w:val="000064"/>
          <w:sz w:val="22"/>
          <w:szCs w:val="22"/>
          <w:lang w:eastAsia="en-AU"/>
        </w:rPr>
        <w:tab/>
      </w:r>
      <w:r w:rsidR="00F6057F" w:rsidRPr="00F6057F">
        <w:rPr>
          <w:color w:val="000064"/>
        </w:rPr>
        <w:t>Introduction</w:t>
      </w:r>
      <w:r w:rsidR="00F6057F" w:rsidRPr="00F6057F">
        <w:rPr>
          <w:color w:val="000064"/>
        </w:rPr>
        <w:tab/>
      </w:r>
      <w:r w:rsidRPr="00F6057F">
        <w:rPr>
          <w:color w:val="000064"/>
        </w:rPr>
        <w:fldChar w:fldCharType="begin"/>
      </w:r>
      <w:r w:rsidR="00F6057F" w:rsidRPr="00F6057F">
        <w:rPr>
          <w:color w:val="000064"/>
        </w:rPr>
        <w:instrText xml:space="preserve"> PAGEREF _Toc321401428 \h </w:instrText>
      </w:r>
      <w:r w:rsidRPr="00F6057F">
        <w:rPr>
          <w:color w:val="000064"/>
        </w:rPr>
      </w:r>
      <w:r w:rsidRPr="00F6057F">
        <w:rPr>
          <w:color w:val="000064"/>
        </w:rPr>
        <w:fldChar w:fldCharType="separate"/>
      </w:r>
      <w:r w:rsidR="00FB4D1A">
        <w:rPr>
          <w:color w:val="000064"/>
        </w:rPr>
        <w:t>3</w:t>
      </w:r>
      <w:r w:rsidRPr="00F6057F">
        <w:rPr>
          <w:color w:val="000064"/>
        </w:rPr>
        <w:fldChar w:fldCharType="end"/>
      </w:r>
    </w:p>
    <w:p w:rsidR="00F6057F" w:rsidRPr="00F6057F" w:rsidRDefault="00F6057F">
      <w:pPr>
        <w:pStyle w:val="TOC1"/>
        <w:tabs>
          <w:tab w:val="left" w:pos="442"/>
        </w:tabs>
        <w:rPr>
          <w:rFonts w:asciiTheme="minorHAnsi" w:eastAsiaTheme="minorEastAsia" w:hAnsiTheme="minorHAnsi" w:cstheme="minorBidi"/>
          <w:b w:val="0"/>
          <w:color w:val="000064"/>
          <w:sz w:val="22"/>
          <w:szCs w:val="22"/>
          <w:lang w:eastAsia="en-AU"/>
        </w:rPr>
      </w:pPr>
      <w:r w:rsidRPr="00F6057F">
        <w:rPr>
          <w:rFonts w:cs="Times New Roman"/>
          <w:color w:val="000064"/>
        </w:rPr>
        <w:t>2.</w:t>
      </w:r>
      <w:r w:rsidRPr="00F6057F">
        <w:rPr>
          <w:rFonts w:asciiTheme="minorHAnsi" w:eastAsiaTheme="minorEastAsia" w:hAnsiTheme="minorHAnsi" w:cstheme="minorBidi"/>
          <w:b w:val="0"/>
          <w:color w:val="000064"/>
          <w:sz w:val="22"/>
          <w:szCs w:val="22"/>
          <w:lang w:eastAsia="en-AU"/>
        </w:rPr>
        <w:tab/>
      </w:r>
      <w:r w:rsidRPr="00F6057F">
        <w:rPr>
          <w:color w:val="000064"/>
        </w:rPr>
        <w:t>Australian Trucking Association</w:t>
      </w:r>
      <w:r w:rsidRPr="00F6057F">
        <w:rPr>
          <w:color w:val="000064"/>
        </w:rPr>
        <w:tab/>
      </w:r>
      <w:r w:rsidR="002821E4" w:rsidRPr="00F6057F">
        <w:rPr>
          <w:color w:val="000064"/>
        </w:rPr>
        <w:fldChar w:fldCharType="begin"/>
      </w:r>
      <w:r w:rsidRPr="00F6057F">
        <w:rPr>
          <w:color w:val="000064"/>
        </w:rPr>
        <w:instrText xml:space="preserve"> PAGEREF _Toc321401429 \h </w:instrText>
      </w:r>
      <w:r w:rsidR="002821E4" w:rsidRPr="00F6057F">
        <w:rPr>
          <w:color w:val="000064"/>
        </w:rPr>
      </w:r>
      <w:r w:rsidR="002821E4" w:rsidRPr="00F6057F">
        <w:rPr>
          <w:color w:val="000064"/>
        </w:rPr>
        <w:fldChar w:fldCharType="separate"/>
      </w:r>
      <w:r w:rsidR="00FB4D1A">
        <w:rPr>
          <w:color w:val="000064"/>
        </w:rPr>
        <w:t>3</w:t>
      </w:r>
      <w:r w:rsidR="002821E4" w:rsidRPr="00F6057F">
        <w:rPr>
          <w:color w:val="000064"/>
        </w:rPr>
        <w:fldChar w:fldCharType="end"/>
      </w:r>
    </w:p>
    <w:p w:rsidR="00F6057F" w:rsidRPr="00F6057F" w:rsidRDefault="00F6057F">
      <w:pPr>
        <w:pStyle w:val="TOC1"/>
        <w:tabs>
          <w:tab w:val="left" w:pos="442"/>
        </w:tabs>
        <w:rPr>
          <w:rFonts w:asciiTheme="minorHAnsi" w:eastAsiaTheme="minorEastAsia" w:hAnsiTheme="minorHAnsi" w:cstheme="minorBidi"/>
          <w:b w:val="0"/>
          <w:color w:val="000064"/>
          <w:sz w:val="22"/>
          <w:szCs w:val="22"/>
          <w:lang w:eastAsia="en-AU"/>
        </w:rPr>
      </w:pPr>
      <w:r w:rsidRPr="00F6057F">
        <w:rPr>
          <w:rFonts w:cs="Times New Roman"/>
          <w:color w:val="000064"/>
        </w:rPr>
        <w:t>3.</w:t>
      </w:r>
      <w:r w:rsidRPr="00F6057F">
        <w:rPr>
          <w:rFonts w:asciiTheme="minorHAnsi" w:eastAsiaTheme="minorEastAsia" w:hAnsiTheme="minorHAnsi" w:cstheme="minorBidi"/>
          <w:b w:val="0"/>
          <w:color w:val="000064"/>
          <w:sz w:val="22"/>
          <w:szCs w:val="22"/>
          <w:lang w:eastAsia="en-AU"/>
        </w:rPr>
        <w:tab/>
      </w:r>
      <w:r w:rsidRPr="00F6057F">
        <w:rPr>
          <w:color w:val="000064"/>
        </w:rPr>
        <w:t>Overview</w:t>
      </w:r>
      <w:r w:rsidRPr="00F6057F">
        <w:rPr>
          <w:color w:val="000064"/>
        </w:rPr>
        <w:tab/>
      </w:r>
      <w:r w:rsidR="002821E4" w:rsidRPr="00F6057F">
        <w:rPr>
          <w:color w:val="000064"/>
        </w:rPr>
        <w:fldChar w:fldCharType="begin"/>
      </w:r>
      <w:r w:rsidRPr="00F6057F">
        <w:rPr>
          <w:color w:val="000064"/>
        </w:rPr>
        <w:instrText xml:space="preserve"> PAGEREF _Toc321401430 \h </w:instrText>
      </w:r>
      <w:r w:rsidR="002821E4" w:rsidRPr="00F6057F">
        <w:rPr>
          <w:color w:val="000064"/>
        </w:rPr>
      </w:r>
      <w:r w:rsidR="002821E4" w:rsidRPr="00F6057F">
        <w:rPr>
          <w:color w:val="000064"/>
        </w:rPr>
        <w:fldChar w:fldCharType="separate"/>
      </w:r>
      <w:r w:rsidR="00FB4D1A">
        <w:rPr>
          <w:color w:val="000064"/>
        </w:rPr>
        <w:t>3</w:t>
      </w:r>
      <w:r w:rsidR="002821E4" w:rsidRPr="00F6057F">
        <w:rPr>
          <w:color w:val="000064"/>
        </w:rPr>
        <w:fldChar w:fldCharType="end"/>
      </w:r>
    </w:p>
    <w:p w:rsidR="00F6057F" w:rsidRPr="00F6057F" w:rsidRDefault="00F6057F">
      <w:pPr>
        <w:pStyle w:val="TOC2"/>
        <w:rPr>
          <w:rFonts w:asciiTheme="minorHAnsi" w:eastAsiaTheme="minorEastAsia" w:hAnsiTheme="minorHAnsi" w:cstheme="minorBidi"/>
          <w:color w:val="000064"/>
          <w:sz w:val="22"/>
          <w:lang w:eastAsia="en-AU"/>
        </w:rPr>
      </w:pPr>
      <w:r w:rsidRPr="00F6057F">
        <w:rPr>
          <w:color w:val="000064"/>
        </w:rPr>
        <w:t>3.1.</w:t>
      </w:r>
      <w:r w:rsidRPr="00F6057F">
        <w:rPr>
          <w:rFonts w:asciiTheme="minorHAnsi" w:eastAsiaTheme="minorEastAsia" w:hAnsiTheme="minorHAnsi" w:cstheme="minorBidi"/>
          <w:color w:val="000064"/>
          <w:sz w:val="22"/>
          <w:lang w:eastAsia="en-AU"/>
        </w:rPr>
        <w:tab/>
      </w:r>
      <w:r w:rsidRPr="00F6057F">
        <w:rPr>
          <w:color w:val="000064"/>
        </w:rPr>
        <w:t>Recommendations</w:t>
      </w:r>
      <w:r w:rsidRPr="00F6057F">
        <w:rPr>
          <w:color w:val="000064"/>
        </w:rPr>
        <w:tab/>
      </w:r>
      <w:r w:rsidR="002821E4" w:rsidRPr="00F6057F">
        <w:rPr>
          <w:color w:val="000064"/>
        </w:rPr>
        <w:fldChar w:fldCharType="begin"/>
      </w:r>
      <w:r w:rsidRPr="00F6057F">
        <w:rPr>
          <w:color w:val="000064"/>
        </w:rPr>
        <w:instrText xml:space="preserve"> PAGEREF _Toc321401431 \h </w:instrText>
      </w:r>
      <w:r w:rsidR="002821E4" w:rsidRPr="00F6057F">
        <w:rPr>
          <w:color w:val="000064"/>
        </w:rPr>
      </w:r>
      <w:r w:rsidR="002821E4" w:rsidRPr="00F6057F">
        <w:rPr>
          <w:color w:val="000064"/>
        </w:rPr>
        <w:fldChar w:fldCharType="separate"/>
      </w:r>
      <w:r w:rsidR="00FB4D1A">
        <w:rPr>
          <w:color w:val="000064"/>
        </w:rPr>
        <w:t>4</w:t>
      </w:r>
      <w:r w:rsidR="002821E4" w:rsidRPr="00F6057F">
        <w:rPr>
          <w:color w:val="000064"/>
        </w:rPr>
        <w:fldChar w:fldCharType="end"/>
      </w:r>
    </w:p>
    <w:p w:rsidR="00F6057F" w:rsidRPr="00F6057F" w:rsidRDefault="00F6057F">
      <w:pPr>
        <w:pStyle w:val="TOC1"/>
        <w:tabs>
          <w:tab w:val="left" w:pos="442"/>
        </w:tabs>
        <w:rPr>
          <w:rFonts w:asciiTheme="minorHAnsi" w:eastAsiaTheme="minorEastAsia" w:hAnsiTheme="minorHAnsi" w:cstheme="minorBidi"/>
          <w:b w:val="0"/>
          <w:color w:val="000064"/>
          <w:sz w:val="22"/>
          <w:szCs w:val="22"/>
          <w:lang w:eastAsia="en-AU"/>
        </w:rPr>
      </w:pPr>
      <w:r w:rsidRPr="00F6057F">
        <w:rPr>
          <w:rFonts w:cs="Times New Roman"/>
          <w:color w:val="000064"/>
        </w:rPr>
        <w:t>4.</w:t>
      </w:r>
      <w:r w:rsidRPr="00F6057F">
        <w:rPr>
          <w:rFonts w:asciiTheme="minorHAnsi" w:eastAsiaTheme="minorEastAsia" w:hAnsiTheme="minorHAnsi" w:cstheme="minorBidi"/>
          <w:b w:val="0"/>
          <w:color w:val="000064"/>
          <w:sz w:val="22"/>
          <w:szCs w:val="22"/>
          <w:lang w:eastAsia="en-AU"/>
        </w:rPr>
        <w:tab/>
      </w:r>
      <w:r w:rsidRPr="00F6057F">
        <w:rPr>
          <w:color w:val="000064"/>
        </w:rPr>
        <w:t>Commentary</w:t>
      </w:r>
      <w:r w:rsidRPr="00F6057F">
        <w:rPr>
          <w:color w:val="000064"/>
        </w:rPr>
        <w:tab/>
      </w:r>
      <w:r w:rsidR="002821E4" w:rsidRPr="00F6057F">
        <w:rPr>
          <w:color w:val="000064"/>
        </w:rPr>
        <w:fldChar w:fldCharType="begin"/>
      </w:r>
      <w:r w:rsidRPr="00F6057F">
        <w:rPr>
          <w:color w:val="000064"/>
        </w:rPr>
        <w:instrText xml:space="preserve"> PAGEREF _Toc321401432 \h </w:instrText>
      </w:r>
      <w:r w:rsidR="002821E4" w:rsidRPr="00F6057F">
        <w:rPr>
          <w:color w:val="000064"/>
        </w:rPr>
      </w:r>
      <w:r w:rsidR="002821E4" w:rsidRPr="00F6057F">
        <w:rPr>
          <w:color w:val="000064"/>
        </w:rPr>
        <w:fldChar w:fldCharType="separate"/>
      </w:r>
      <w:r w:rsidR="00FB4D1A">
        <w:rPr>
          <w:color w:val="000064"/>
        </w:rPr>
        <w:t>5</w:t>
      </w:r>
      <w:r w:rsidR="002821E4" w:rsidRPr="00F6057F">
        <w:rPr>
          <w:color w:val="000064"/>
        </w:rPr>
        <w:fldChar w:fldCharType="end"/>
      </w:r>
    </w:p>
    <w:p w:rsidR="00F6057F" w:rsidRPr="00F6057F" w:rsidRDefault="00F6057F">
      <w:pPr>
        <w:pStyle w:val="TOC2"/>
        <w:rPr>
          <w:rFonts w:asciiTheme="minorHAnsi" w:eastAsiaTheme="minorEastAsia" w:hAnsiTheme="minorHAnsi" w:cstheme="minorBidi"/>
          <w:color w:val="000064"/>
          <w:sz w:val="22"/>
          <w:lang w:eastAsia="en-AU"/>
        </w:rPr>
      </w:pPr>
      <w:r w:rsidRPr="00F6057F">
        <w:rPr>
          <w:color w:val="000064"/>
        </w:rPr>
        <w:t>4.1.</w:t>
      </w:r>
      <w:r w:rsidRPr="00F6057F">
        <w:rPr>
          <w:rFonts w:asciiTheme="minorHAnsi" w:eastAsiaTheme="minorEastAsia" w:hAnsiTheme="minorHAnsi" w:cstheme="minorBidi"/>
          <w:color w:val="000064"/>
          <w:sz w:val="22"/>
          <w:lang w:eastAsia="en-AU"/>
        </w:rPr>
        <w:tab/>
      </w:r>
      <w:r w:rsidRPr="00F6057F">
        <w:rPr>
          <w:color w:val="000064"/>
        </w:rPr>
        <w:t>Statement of the problem</w:t>
      </w:r>
      <w:r w:rsidRPr="00F6057F">
        <w:rPr>
          <w:color w:val="000064"/>
        </w:rPr>
        <w:tab/>
      </w:r>
      <w:r w:rsidR="002821E4" w:rsidRPr="00F6057F">
        <w:rPr>
          <w:color w:val="000064"/>
        </w:rPr>
        <w:fldChar w:fldCharType="begin"/>
      </w:r>
      <w:r w:rsidRPr="00F6057F">
        <w:rPr>
          <w:color w:val="000064"/>
        </w:rPr>
        <w:instrText xml:space="preserve"> PAGEREF _Toc321401433 \h </w:instrText>
      </w:r>
      <w:r w:rsidR="002821E4" w:rsidRPr="00F6057F">
        <w:rPr>
          <w:color w:val="000064"/>
        </w:rPr>
      </w:r>
      <w:r w:rsidR="002821E4" w:rsidRPr="00F6057F">
        <w:rPr>
          <w:color w:val="000064"/>
        </w:rPr>
        <w:fldChar w:fldCharType="separate"/>
      </w:r>
      <w:r w:rsidR="00FB4D1A">
        <w:rPr>
          <w:color w:val="000064"/>
        </w:rPr>
        <w:t>5</w:t>
      </w:r>
      <w:r w:rsidR="002821E4" w:rsidRPr="00F6057F">
        <w:rPr>
          <w:color w:val="000064"/>
        </w:rPr>
        <w:fldChar w:fldCharType="end"/>
      </w:r>
    </w:p>
    <w:p w:rsidR="00F6057F" w:rsidRPr="00F6057F" w:rsidRDefault="00F6057F">
      <w:pPr>
        <w:pStyle w:val="TOC2"/>
        <w:rPr>
          <w:rFonts w:asciiTheme="minorHAnsi" w:eastAsiaTheme="minorEastAsia" w:hAnsiTheme="minorHAnsi" w:cstheme="minorBidi"/>
          <w:color w:val="000064"/>
          <w:sz w:val="22"/>
          <w:lang w:eastAsia="en-AU"/>
        </w:rPr>
      </w:pPr>
      <w:r w:rsidRPr="00F6057F">
        <w:rPr>
          <w:color w:val="000064"/>
        </w:rPr>
        <w:t>4.2.</w:t>
      </w:r>
      <w:r w:rsidRPr="00F6057F">
        <w:rPr>
          <w:rFonts w:asciiTheme="minorHAnsi" w:eastAsiaTheme="minorEastAsia" w:hAnsiTheme="minorHAnsi" w:cstheme="minorBidi"/>
          <w:color w:val="000064"/>
          <w:sz w:val="22"/>
          <w:lang w:eastAsia="en-AU"/>
        </w:rPr>
        <w:tab/>
      </w:r>
      <w:r w:rsidRPr="00F6057F">
        <w:rPr>
          <w:color w:val="000064"/>
        </w:rPr>
        <w:t>Potential solutions</w:t>
      </w:r>
      <w:r w:rsidRPr="00F6057F">
        <w:rPr>
          <w:color w:val="000064"/>
        </w:rPr>
        <w:tab/>
      </w:r>
      <w:r w:rsidR="002821E4" w:rsidRPr="00F6057F">
        <w:rPr>
          <w:color w:val="000064"/>
        </w:rPr>
        <w:fldChar w:fldCharType="begin"/>
      </w:r>
      <w:r w:rsidRPr="00F6057F">
        <w:rPr>
          <w:color w:val="000064"/>
        </w:rPr>
        <w:instrText xml:space="preserve"> PAGEREF _Toc321401434 \h </w:instrText>
      </w:r>
      <w:r w:rsidR="002821E4" w:rsidRPr="00F6057F">
        <w:rPr>
          <w:color w:val="000064"/>
        </w:rPr>
      </w:r>
      <w:r w:rsidR="002821E4" w:rsidRPr="00F6057F">
        <w:rPr>
          <w:color w:val="000064"/>
        </w:rPr>
        <w:fldChar w:fldCharType="separate"/>
      </w:r>
      <w:r w:rsidR="00FB4D1A">
        <w:rPr>
          <w:color w:val="000064"/>
        </w:rPr>
        <w:t>6</w:t>
      </w:r>
      <w:r w:rsidR="002821E4" w:rsidRPr="00F6057F">
        <w:rPr>
          <w:color w:val="000064"/>
        </w:rPr>
        <w:fldChar w:fldCharType="end"/>
      </w:r>
    </w:p>
    <w:p w:rsidR="00F6057F" w:rsidRPr="00F6057F" w:rsidRDefault="00F6057F">
      <w:pPr>
        <w:pStyle w:val="TOC1"/>
        <w:tabs>
          <w:tab w:val="left" w:pos="442"/>
        </w:tabs>
        <w:rPr>
          <w:rFonts w:asciiTheme="minorHAnsi" w:eastAsiaTheme="minorEastAsia" w:hAnsiTheme="minorHAnsi" w:cstheme="minorBidi"/>
          <w:b w:val="0"/>
          <w:color w:val="000064"/>
          <w:sz w:val="22"/>
          <w:szCs w:val="22"/>
          <w:lang w:eastAsia="en-AU"/>
        </w:rPr>
      </w:pPr>
      <w:r w:rsidRPr="00F6057F">
        <w:rPr>
          <w:rFonts w:cs="Times New Roman"/>
          <w:color w:val="000064"/>
        </w:rPr>
        <w:t>5.</w:t>
      </w:r>
      <w:r w:rsidRPr="00F6057F">
        <w:rPr>
          <w:rFonts w:asciiTheme="minorHAnsi" w:eastAsiaTheme="minorEastAsia" w:hAnsiTheme="minorHAnsi" w:cstheme="minorBidi"/>
          <w:b w:val="0"/>
          <w:color w:val="000064"/>
          <w:sz w:val="22"/>
          <w:szCs w:val="22"/>
          <w:lang w:eastAsia="en-AU"/>
        </w:rPr>
        <w:tab/>
      </w:r>
      <w:r w:rsidRPr="00F6057F">
        <w:rPr>
          <w:color w:val="000064"/>
        </w:rPr>
        <w:t>Conclusion</w:t>
      </w:r>
      <w:r w:rsidRPr="00F6057F">
        <w:rPr>
          <w:color w:val="000064"/>
        </w:rPr>
        <w:tab/>
      </w:r>
      <w:r w:rsidR="002821E4" w:rsidRPr="00F6057F">
        <w:rPr>
          <w:color w:val="000064"/>
        </w:rPr>
        <w:fldChar w:fldCharType="begin"/>
      </w:r>
      <w:r w:rsidRPr="00F6057F">
        <w:rPr>
          <w:color w:val="000064"/>
        </w:rPr>
        <w:instrText xml:space="preserve"> PAGEREF _Toc321401435 \h </w:instrText>
      </w:r>
      <w:r w:rsidR="002821E4" w:rsidRPr="00F6057F">
        <w:rPr>
          <w:color w:val="000064"/>
        </w:rPr>
      </w:r>
      <w:r w:rsidR="002821E4" w:rsidRPr="00F6057F">
        <w:rPr>
          <w:color w:val="000064"/>
        </w:rPr>
        <w:fldChar w:fldCharType="separate"/>
      </w:r>
      <w:r w:rsidR="00FB4D1A">
        <w:rPr>
          <w:color w:val="000064"/>
        </w:rPr>
        <w:t>8</w:t>
      </w:r>
      <w:r w:rsidR="002821E4" w:rsidRPr="00F6057F">
        <w:rPr>
          <w:color w:val="000064"/>
        </w:rPr>
        <w:fldChar w:fldCharType="end"/>
      </w:r>
    </w:p>
    <w:p w:rsidR="00241C15" w:rsidRPr="003479E1" w:rsidRDefault="002821E4" w:rsidP="00241C15">
      <w:pPr>
        <w:tabs>
          <w:tab w:val="right" w:leader="dot" w:pos="9645"/>
        </w:tabs>
        <w:rPr>
          <w:rFonts w:ascii="Arial" w:hAnsi="Arial" w:cs="Arial"/>
          <w:color w:val="0F243E" w:themeColor="text2" w:themeShade="80"/>
        </w:rPr>
      </w:pPr>
      <w:r w:rsidRPr="00F6057F">
        <w:rPr>
          <w:rFonts w:ascii="Arial" w:hAnsi="Arial" w:cs="Arial"/>
          <w:color w:val="000064"/>
        </w:rPr>
        <w:fldChar w:fldCharType="end"/>
      </w:r>
    </w:p>
    <w:p w:rsidR="00576ED0" w:rsidRDefault="00576ED0" w:rsidP="005E6D8B">
      <w:pPr>
        <w:rPr>
          <w:rFonts w:ascii="Arial" w:hAnsi="Arial" w:cs="Arial"/>
          <w:sz w:val="20"/>
          <w:szCs w:val="20"/>
        </w:rPr>
      </w:pPr>
      <w:r>
        <w:rPr>
          <w:rFonts w:ascii="Arial" w:hAnsi="Arial" w:cs="Arial"/>
          <w:sz w:val="20"/>
          <w:szCs w:val="20"/>
        </w:rPr>
        <w:br w:type="page"/>
      </w:r>
    </w:p>
    <w:p w:rsidR="00576ED0" w:rsidRPr="00F6057F" w:rsidRDefault="00576ED0" w:rsidP="0076474B">
      <w:pPr>
        <w:pStyle w:val="Heading1"/>
      </w:pPr>
      <w:bookmarkStart w:id="0" w:name="_Toc321401428"/>
      <w:r w:rsidRPr="00F6057F">
        <w:lastRenderedPageBreak/>
        <w:t>Introduction</w:t>
      </w:r>
      <w:bookmarkEnd w:id="0"/>
    </w:p>
    <w:p w:rsidR="00576ED0" w:rsidRPr="00740005" w:rsidRDefault="00576ED0" w:rsidP="0076474B">
      <w:pPr>
        <w:spacing w:line="269" w:lineRule="auto"/>
        <w:rPr>
          <w:rFonts w:ascii="Arial" w:hAnsi="Arial" w:cs="Arial"/>
          <w:sz w:val="20"/>
          <w:szCs w:val="20"/>
        </w:rPr>
      </w:pPr>
    </w:p>
    <w:p w:rsidR="00576ED0" w:rsidRPr="00740005" w:rsidRDefault="00576ED0" w:rsidP="0076474B">
      <w:pPr>
        <w:spacing w:line="269" w:lineRule="auto"/>
        <w:rPr>
          <w:rFonts w:ascii="Arial" w:hAnsi="Arial" w:cs="Arial"/>
          <w:sz w:val="20"/>
          <w:szCs w:val="20"/>
        </w:rPr>
      </w:pPr>
      <w:r w:rsidRPr="00740005">
        <w:rPr>
          <w:rFonts w:ascii="Arial" w:hAnsi="Arial" w:cs="Arial"/>
          <w:sz w:val="20"/>
          <w:szCs w:val="20"/>
        </w:rPr>
        <w:t xml:space="preserve">This submission details the views of the members of the Australian Trucking Association (ATA) on the </w:t>
      </w:r>
      <w:r w:rsidRPr="008C7BDC">
        <w:rPr>
          <w:rFonts w:ascii="Arial" w:hAnsi="Arial" w:cs="Arial"/>
          <w:color w:val="000000" w:themeColor="text1"/>
          <w:sz w:val="20"/>
          <w:szCs w:val="20"/>
        </w:rPr>
        <w:t xml:space="preserve">proposed </w:t>
      </w:r>
      <w:r w:rsidR="008C7BDC" w:rsidRPr="008C7BDC">
        <w:rPr>
          <w:rFonts w:ascii="Arial" w:hAnsi="Arial" w:cs="Arial"/>
          <w:i/>
          <w:color w:val="000000" w:themeColor="text1"/>
          <w:sz w:val="20"/>
          <w:szCs w:val="20"/>
        </w:rPr>
        <w:t>Chemical Security – Precursors to homemade explosives consultation regulation impact statement</w:t>
      </w:r>
      <w:r w:rsidR="000156D1">
        <w:rPr>
          <w:rFonts w:ascii="Arial" w:hAnsi="Arial" w:cs="Arial"/>
          <w:sz w:val="20"/>
          <w:szCs w:val="20"/>
        </w:rPr>
        <w:t xml:space="preserve"> </w:t>
      </w:r>
      <w:r w:rsidRPr="00740005">
        <w:rPr>
          <w:rFonts w:ascii="Arial" w:hAnsi="Arial" w:cs="Arial"/>
          <w:sz w:val="20"/>
          <w:szCs w:val="20"/>
        </w:rPr>
        <w:t>released for public comment.</w:t>
      </w:r>
    </w:p>
    <w:p w:rsidR="00576ED0" w:rsidRPr="00740005" w:rsidRDefault="00576ED0" w:rsidP="0076474B">
      <w:pPr>
        <w:spacing w:line="269" w:lineRule="auto"/>
        <w:rPr>
          <w:rFonts w:ascii="Arial" w:hAnsi="Arial" w:cs="Arial"/>
          <w:sz w:val="20"/>
          <w:szCs w:val="20"/>
        </w:rPr>
      </w:pPr>
    </w:p>
    <w:p w:rsidR="00576ED0" w:rsidRDefault="00904795" w:rsidP="0076474B">
      <w:pPr>
        <w:pStyle w:val="BodyText2"/>
        <w:spacing w:line="269" w:lineRule="auto"/>
        <w:rPr>
          <w:b w:val="0"/>
          <w:sz w:val="20"/>
        </w:rPr>
      </w:pPr>
      <w:r>
        <w:rPr>
          <w:b w:val="0"/>
          <w:color w:val="000000" w:themeColor="text1"/>
          <w:sz w:val="20"/>
        </w:rPr>
        <w:t>Trucking operators</w:t>
      </w:r>
      <w:r w:rsidR="00445C07" w:rsidRPr="00445C07">
        <w:rPr>
          <w:b w:val="0"/>
          <w:color w:val="000000" w:themeColor="text1"/>
          <w:sz w:val="20"/>
        </w:rPr>
        <w:t xml:space="preserve"> that </w:t>
      </w:r>
      <w:r>
        <w:rPr>
          <w:b w:val="0"/>
          <w:color w:val="000000" w:themeColor="text1"/>
          <w:sz w:val="20"/>
        </w:rPr>
        <w:t>are</w:t>
      </w:r>
      <w:r w:rsidR="00445C07" w:rsidRPr="00445C07">
        <w:rPr>
          <w:b w:val="0"/>
          <w:color w:val="000000" w:themeColor="text1"/>
          <w:sz w:val="20"/>
        </w:rPr>
        <w:t xml:space="preserve"> involved in transporting chemicals of security concern primarily move freight in bulk, and due to the delicate and sensitive nature of this freight, is keen to ensure the security of its workforce and other Australians </w:t>
      </w:r>
      <w:r w:rsidR="00D21236">
        <w:rPr>
          <w:b w:val="0"/>
          <w:color w:val="000000" w:themeColor="text1"/>
          <w:sz w:val="20"/>
        </w:rPr>
        <w:t>are</w:t>
      </w:r>
      <w:r w:rsidR="00445C07" w:rsidRPr="00445C07">
        <w:rPr>
          <w:b w:val="0"/>
          <w:color w:val="000000" w:themeColor="text1"/>
          <w:sz w:val="20"/>
        </w:rPr>
        <w:t xml:space="preserve"> not compromised. </w:t>
      </w:r>
      <w:r w:rsidR="00576ED0" w:rsidRPr="00445C07">
        <w:rPr>
          <w:b w:val="0"/>
          <w:color w:val="000000" w:themeColor="text1"/>
          <w:sz w:val="20"/>
        </w:rPr>
        <w:t>Accordingly, the ATA is committed to working with</w:t>
      </w:r>
      <w:r w:rsidR="00576ED0" w:rsidRPr="00740005">
        <w:rPr>
          <w:b w:val="0"/>
          <w:sz w:val="20"/>
        </w:rPr>
        <w:t xml:space="preserve"> </w:t>
      </w:r>
      <w:r w:rsidR="00F971D6">
        <w:rPr>
          <w:b w:val="0"/>
          <w:sz w:val="20"/>
        </w:rPr>
        <w:t>governments</w:t>
      </w:r>
      <w:r w:rsidR="00445C07">
        <w:rPr>
          <w:b w:val="0"/>
          <w:sz w:val="20"/>
        </w:rPr>
        <w:t xml:space="preserve"> and other industry groups </w:t>
      </w:r>
      <w:r w:rsidR="00576ED0" w:rsidRPr="00740005">
        <w:rPr>
          <w:b w:val="0"/>
          <w:sz w:val="20"/>
        </w:rPr>
        <w:t xml:space="preserve">to </w:t>
      </w:r>
      <w:r w:rsidR="000156D1">
        <w:rPr>
          <w:b w:val="0"/>
          <w:sz w:val="20"/>
        </w:rPr>
        <w:t>achieve a workable, acceptable and viable solution</w:t>
      </w:r>
      <w:r w:rsidR="00576ED0" w:rsidRPr="00740005">
        <w:rPr>
          <w:b w:val="0"/>
          <w:sz w:val="20"/>
        </w:rPr>
        <w:t>.</w:t>
      </w:r>
    </w:p>
    <w:p w:rsidR="001D50C7" w:rsidRDefault="001D50C7" w:rsidP="0076474B">
      <w:pPr>
        <w:pStyle w:val="BodyText2"/>
        <w:spacing w:line="269" w:lineRule="auto"/>
        <w:rPr>
          <w:b w:val="0"/>
          <w:sz w:val="20"/>
        </w:rPr>
      </w:pPr>
    </w:p>
    <w:p w:rsidR="00576ED0" w:rsidRPr="00740005" w:rsidRDefault="00576ED0" w:rsidP="0076474B">
      <w:pPr>
        <w:spacing w:line="269" w:lineRule="auto"/>
        <w:rPr>
          <w:rFonts w:ascii="Arial" w:hAnsi="Arial" w:cs="Arial"/>
          <w:sz w:val="20"/>
          <w:szCs w:val="20"/>
        </w:rPr>
      </w:pPr>
    </w:p>
    <w:p w:rsidR="00576ED0" w:rsidRPr="00F6057F" w:rsidRDefault="00576ED0" w:rsidP="0076474B">
      <w:pPr>
        <w:pStyle w:val="Heading1"/>
      </w:pPr>
      <w:bookmarkStart w:id="1" w:name="_Toc321401429"/>
      <w:r w:rsidRPr="00F6057F">
        <w:t>Australian Trucking Association</w:t>
      </w:r>
      <w:bookmarkEnd w:id="1"/>
    </w:p>
    <w:p w:rsidR="004008C7" w:rsidRDefault="004008C7" w:rsidP="0076474B">
      <w:pPr>
        <w:pStyle w:val="BodyText2"/>
        <w:spacing w:line="269" w:lineRule="auto"/>
        <w:rPr>
          <w:b w:val="0"/>
          <w:sz w:val="20"/>
        </w:rPr>
      </w:pPr>
    </w:p>
    <w:p w:rsidR="004008C7" w:rsidRPr="00A047CA" w:rsidRDefault="004008C7" w:rsidP="0076474B">
      <w:pPr>
        <w:pStyle w:val="BodyText2"/>
        <w:spacing w:line="269" w:lineRule="auto"/>
        <w:rPr>
          <w:b w:val="0"/>
          <w:i/>
          <w:sz w:val="20"/>
        </w:rPr>
      </w:pPr>
      <w:r w:rsidRPr="004008C7">
        <w:rPr>
          <w:b w:val="0"/>
          <w:sz w:val="20"/>
        </w:rPr>
        <w:t>The Australian Trucking Association (ATA) is the peak body that represents the trucking industry. Its members include state and sector based trucking associations, some of the nation’s largest transport companies, and businesses with leading expertise in truck technology.</w:t>
      </w:r>
      <w:r w:rsidR="00A047CA">
        <w:rPr>
          <w:b w:val="0"/>
          <w:sz w:val="20"/>
        </w:rPr>
        <w:t xml:space="preserve"> </w:t>
      </w:r>
    </w:p>
    <w:p w:rsidR="00CC28C6" w:rsidRPr="004008C7" w:rsidRDefault="00CC28C6" w:rsidP="0076474B">
      <w:pPr>
        <w:pStyle w:val="BodyText2"/>
        <w:spacing w:line="269" w:lineRule="auto"/>
        <w:rPr>
          <w:b w:val="0"/>
          <w:sz w:val="20"/>
        </w:rPr>
      </w:pPr>
    </w:p>
    <w:p w:rsidR="00576ED0" w:rsidRDefault="00576ED0" w:rsidP="0076474B">
      <w:pPr>
        <w:spacing w:line="269" w:lineRule="auto"/>
        <w:rPr>
          <w:rFonts w:ascii="Arial" w:hAnsi="Arial" w:cs="Arial"/>
          <w:sz w:val="20"/>
          <w:szCs w:val="20"/>
        </w:rPr>
      </w:pPr>
    </w:p>
    <w:p w:rsidR="00532BFB" w:rsidRPr="00F6057F" w:rsidRDefault="004008C7" w:rsidP="0076474B">
      <w:pPr>
        <w:pStyle w:val="Heading1"/>
      </w:pPr>
      <w:bookmarkStart w:id="2" w:name="_Toc321401430"/>
      <w:r w:rsidRPr="00F6057F">
        <w:t>Overview</w:t>
      </w:r>
      <w:bookmarkEnd w:id="2"/>
    </w:p>
    <w:p w:rsidR="00532BFB" w:rsidRPr="00DB17ED" w:rsidRDefault="00532BFB" w:rsidP="0076474B">
      <w:pPr>
        <w:pStyle w:val="BodyText2"/>
        <w:spacing w:line="269" w:lineRule="auto"/>
        <w:rPr>
          <w:b w:val="0"/>
          <w:color w:val="000000" w:themeColor="text1"/>
          <w:sz w:val="20"/>
        </w:rPr>
      </w:pPr>
    </w:p>
    <w:p w:rsidR="004008C7" w:rsidRDefault="00565DE9" w:rsidP="0076474B">
      <w:pPr>
        <w:pStyle w:val="BodyText2"/>
        <w:spacing w:line="269" w:lineRule="auto"/>
        <w:rPr>
          <w:b w:val="0"/>
          <w:color w:val="000000" w:themeColor="text1"/>
          <w:sz w:val="20"/>
        </w:rPr>
      </w:pPr>
      <w:r>
        <w:rPr>
          <w:b w:val="0"/>
          <w:color w:val="000000" w:themeColor="text1"/>
          <w:sz w:val="20"/>
        </w:rPr>
        <w:t>The Australian Trucking Association has been involved with the Attor</w:t>
      </w:r>
      <w:r w:rsidR="007742BE">
        <w:rPr>
          <w:b w:val="0"/>
          <w:color w:val="000000" w:themeColor="text1"/>
          <w:sz w:val="20"/>
        </w:rPr>
        <w:t>ney-General’s Department as a member of the National Industry Reference Group – Chemical Security, and has attended meetings over the past 12 months discussing issues affecting chemical</w:t>
      </w:r>
      <w:r w:rsidR="00677114">
        <w:rPr>
          <w:b w:val="0"/>
          <w:color w:val="000000" w:themeColor="text1"/>
          <w:sz w:val="20"/>
        </w:rPr>
        <w:t>s</w:t>
      </w:r>
      <w:r w:rsidR="007742BE">
        <w:rPr>
          <w:b w:val="0"/>
          <w:color w:val="000000" w:themeColor="text1"/>
          <w:sz w:val="20"/>
        </w:rPr>
        <w:t xml:space="preserve"> of security concern.</w:t>
      </w:r>
    </w:p>
    <w:p w:rsidR="007742BE" w:rsidRDefault="007742BE" w:rsidP="0076474B">
      <w:pPr>
        <w:pStyle w:val="BodyText2"/>
        <w:spacing w:line="269" w:lineRule="auto"/>
        <w:rPr>
          <w:b w:val="0"/>
          <w:color w:val="000000" w:themeColor="text1"/>
          <w:sz w:val="20"/>
        </w:rPr>
      </w:pPr>
    </w:p>
    <w:p w:rsidR="007742BE" w:rsidRPr="00565DE9" w:rsidRDefault="007742BE" w:rsidP="0076474B">
      <w:pPr>
        <w:pStyle w:val="BodyText2"/>
        <w:spacing w:line="269" w:lineRule="auto"/>
        <w:rPr>
          <w:b w:val="0"/>
          <w:color w:val="000000" w:themeColor="text1"/>
          <w:sz w:val="20"/>
        </w:rPr>
      </w:pPr>
      <w:r>
        <w:rPr>
          <w:b w:val="0"/>
          <w:color w:val="000000" w:themeColor="text1"/>
          <w:sz w:val="20"/>
        </w:rPr>
        <w:t>There are 11 chemicals of security concern</w:t>
      </w:r>
      <w:r w:rsidR="00677114">
        <w:rPr>
          <w:b w:val="0"/>
          <w:color w:val="000000" w:themeColor="text1"/>
          <w:sz w:val="20"/>
        </w:rPr>
        <w:t xml:space="preserve"> that have been identified</w:t>
      </w:r>
      <w:r>
        <w:rPr>
          <w:b w:val="0"/>
          <w:color w:val="000000" w:themeColor="text1"/>
          <w:sz w:val="20"/>
        </w:rPr>
        <w:t xml:space="preserve">, </w:t>
      </w:r>
      <w:r w:rsidR="00677114">
        <w:rPr>
          <w:b w:val="0"/>
          <w:color w:val="000000" w:themeColor="text1"/>
          <w:sz w:val="20"/>
        </w:rPr>
        <w:t xml:space="preserve">listed </w:t>
      </w:r>
      <w:r>
        <w:rPr>
          <w:b w:val="0"/>
          <w:color w:val="000000" w:themeColor="text1"/>
          <w:sz w:val="20"/>
        </w:rPr>
        <w:t>as follows:</w:t>
      </w:r>
    </w:p>
    <w:p w:rsidR="00DB17ED" w:rsidRDefault="00DB17ED" w:rsidP="0076474B">
      <w:pPr>
        <w:pStyle w:val="BodyText2"/>
        <w:spacing w:line="269" w:lineRule="auto"/>
        <w:rPr>
          <w:b w:val="0"/>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742BE" w:rsidTr="007742BE">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Hydrogen peroxide (H</w:t>
            </w:r>
            <w:r w:rsidRPr="007742BE">
              <w:rPr>
                <w:rFonts w:ascii="Arial" w:hAnsi="Arial" w:cs="Arial"/>
                <w:color w:val="000000" w:themeColor="text1"/>
                <w:sz w:val="20"/>
                <w:szCs w:val="20"/>
                <w:vertAlign w:val="subscript"/>
              </w:rPr>
              <w:t>2</w:t>
            </w:r>
            <w:r>
              <w:rPr>
                <w:rFonts w:ascii="Arial" w:hAnsi="Arial" w:cs="Arial"/>
                <w:color w:val="000000" w:themeColor="text1"/>
                <w:sz w:val="20"/>
                <w:szCs w:val="20"/>
              </w:rPr>
              <w:t>O</w:t>
            </w:r>
            <w:r w:rsidRPr="007742BE">
              <w:rPr>
                <w:rFonts w:ascii="Arial" w:hAnsi="Arial" w:cs="Arial"/>
                <w:color w:val="000000" w:themeColor="text1"/>
                <w:sz w:val="20"/>
                <w:szCs w:val="20"/>
                <w:vertAlign w:val="subscript"/>
              </w:rPr>
              <w:t>2</w:t>
            </w:r>
            <w:r>
              <w:rPr>
                <w:rFonts w:ascii="Arial" w:hAnsi="Arial" w:cs="Arial"/>
                <w:color w:val="000000" w:themeColor="text1"/>
                <w:sz w:val="20"/>
                <w:szCs w:val="20"/>
              </w:rPr>
              <w:t>)</w:t>
            </w:r>
          </w:p>
        </w:tc>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 xml:space="preserve">Ammonium </w:t>
            </w:r>
            <w:proofErr w:type="spellStart"/>
            <w:r>
              <w:rPr>
                <w:rFonts w:ascii="Arial" w:hAnsi="Arial" w:cs="Arial"/>
                <w:color w:val="000000" w:themeColor="text1"/>
                <w:sz w:val="20"/>
                <w:szCs w:val="20"/>
              </w:rPr>
              <w:t>perchlorate</w:t>
            </w:r>
            <w:proofErr w:type="spellEnd"/>
            <w:r>
              <w:rPr>
                <w:rFonts w:ascii="Arial" w:hAnsi="Arial" w:cs="Arial"/>
                <w:color w:val="000000" w:themeColor="text1"/>
                <w:sz w:val="20"/>
                <w:szCs w:val="20"/>
              </w:rPr>
              <w:t xml:space="preserve"> (NH</w:t>
            </w:r>
            <w:r w:rsidRPr="007742BE">
              <w:rPr>
                <w:rFonts w:ascii="Arial" w:hAnsi="Arial" w:cs="Arial"/>
                <w:color w:val="000000" w:themeColor="text1"/>
                <w:sz w:val="20"/>
                <w:szCs w:val="20"/>
                <w:vertAlign w:val="subscript"/>
              </w:rPr>
              <w:t>4</w:t>
            </w:r>
            <w:r>
              <w:rPr>
                <w:rFonts w:ascii="Arial" w:hAnsi="Arial" w:cs="Arial"/>
                <w:color w:val="000000" w:themeColor="text1"/>
                <w:sz w:val="20"/>
                <w:szCs w:val="20"/>
              </w:rPr>
              <w:t>ClO</w:t>
            </w:r>
            <w:r w:rsidRPr="007742BE">
              <w:rPr>
                <w:rFonts w:ascii="Arial" w:hAnsi="Arial" w:cs="Arial"/>
                <w:color w:val="000000" w:themeColor="text1"/>
                <w:sz w:val="20"/>
                <w:szCs w:val="20"/>
                <w:vertAlign w:val="subscript"/>
              </w:rPr>
              <w:t>4</w:t>
            </w:r>
            <w:r>
              <w:rPr>
                <w:rFonts w:ascii="Arial" w:hAnsi="Arial" w:cs="Arial"/>
                <w:color w:val="000000" w:themeColor="text1"/>
                <w:sz w:val="20"/>
                <w:szCs w:val="20"/>
              </w:rPr>
              <w:t>)</w:t>
            </w:r>
          </w:p>
        </w:tc>
      </w:tr>
      <w:tr w:rsidR="007742BE" w:rsidTr="007742BE">
        <w:trPr>
          <w:trHeight w:val="90"/>
        </w:trPr>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Sodium chlorate (NaClO</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Sodium nitrate (NaNO</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r>
      <w:tr w:rsidR="007742BE" w:rsidTr="007742BE">
        <w:trPr>
          <w:trHeight w:val="108"/>
        </w:trPr>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Nitric acid (HNO</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Potassium nitrate (KNO</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r>
      <w:tr w:rsidR="007742BE" w:rsidTr="007742BE">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Potassium chlorate (KClO</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proofErr w:type="spellStart"/>
            <w:r>
              <w:rPr>
                <w:rFonts w:ascii="Arial" w:hAnsi="Arial" w:cs="Arial"/>
                <w:color w:val="000000" w:themeColor="text1"/>
                <w:sz w:val="20"/>
                <w:szCs w:val="20"/>
              </w:rPr>
              <w:t>Nitromethane</w:t>
            </w:r>
            <w:proofErr w:type="spellEnd"/>
            <w:r>
              <w:rPr>
                <w:rFonts w:ascii="Arial" w:hAnsi="Arial" w:cs="Arial"/>
                <w:color w:val="000000" w:themeColor="text1"/>
                <w:sz w:val="20"/>
                <w:szCs w:val="20"/>
              </w:rPr>
              <w:t xml:space="preserve"> (CH</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NO</w:t>
            </w:r>
            <w:r w:rsidRPr="007742BE">
              <w:rPr>
                <w:rFonts w:ascii="Arial" w:hAnsi="Arial" w:cs="Arial"/>
                <w:color w:val="000000" w:themeColor="text1"/>
                <w:sz w:val="20"/>
                <w:szCs w:val="20"/>
                <w:vertAlign w:val="subscript"/>
              </w:rPr>
              <w:t>2</w:t>
            </w:r>
            <w:r>
              <w:rPr>
                <w:rFonts w:ascii="Arial" w:hAnsi="Arial" w:cs="Arial"/>
                <w:color w:val="000000" w:themeColor="text1"/>
                <w:sz w:val="20"/>
                <w:szCs w:val="20"/>
              </w:rPr>
              <w:t>)</w:t>
            </w:r>
          </w:p>
        </w:tc>
      </w:tr>
      <w:tr w:rsidR="007742BE" w:rsidTr="007742BE">
        <w:trPr>
          <w:trHeight w:val="130"/>
        </w:trPr>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 xml:space="preserve">Sodium </w:t>
            </w:r>
            <w:proofErr w:type="spellStart"/>
            <w:r>
              <w:rPr>
                <w:rFonts w:ascii="Arial" w:hAnsi="Arial" w:cs="Arial"/>
                <w:color w:val="000000" w:themeColor="text1"/>
                <w:sz w:val="20"/>
                <w:szCs w:val="20"/>
              </w:rPr>
              <w:t>perchlorate</w:t>
            </w:r>
            <w:proofErr w:type="spellEnd"/>
            <w:r>
              <w:rPr>
                <w:rFonts w:ascii="Arial" w:hAnsi="Arial" w:cs="Arial"/>
                <w:color w:val="000000" w:themeColor="text1"/>
                <w:sz w:val="20"/>
                <w:szCs w:val="20"/>
              </w:rPr>
              <w:t xml:space="preserve"> (NaClO</w:t>
            </w:r>
            <w:r w:rsidRPr="007742BE">
              <w:rPr>
                <w:rFonts w:ascii="Arial" w:hAnsi="Arial" w:cs="Arial"/>
                <w:color w:val="000000" w:themeColor="text1"/>
                <w:sz w:val="20"/>
                <w:szCs w:val="20"/>
                <w:vertAlign w:val="subscript"/>
              </w:rPr>
              <w:t>4</w:t>
            </w:r>
            <w:r>
              <w:rPr>
                <w:rFonts w:ascii="Arial" w:hAnsi="Arial" w:cs="Arial"/>
                <w:color w:val="000000" w:themeColor="text1"/>
                <w:sz w:val="20"/>
                <w:szCs w:val="20"/>
              </w:rPr>
              <w:t>)</w:t>
            </w:r>
          </w:p>
        </w:tc>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 xml:space="preserve">Sodium </w:t>
            </w:r>
            <w:proofErr w:type="spellStart"/>
            <w:r>
              <w:rPr>
                <w:rFonts w:ascii="Arial" w:hAnsi="Arial" w:cs="Arial"/>
                <w:color w:val="000000" w:themeColor="text1"/>
                <w:sz w:val="20"/>
                <w:szCs w:val="20"/>
              </w:rPr>
              <w:t>azide</w:t>
            </w:r>
            <w:proofErr w:type="spellEnd"/>
            <w:r>
              <w:rPr>
                <w:rFonts w:ascii="Arial" w:hAnsi="Arial" w:cs="Arial"/>
                <w:color w:val="000000" w:themeColor="text1"/>
                <w:sz w:val="20"/>
                <w:szCs w:val="20"/>
              </w:rPr>
              <w:t xml:space="preserve"> (NaN</w:t>
            </w:r>
            <w:r w:rsidRPr="007742BE">
              <w:rPr>
                <w:rFonts w:ascii="Arial" w:hAnsi="Arial" w:cs="Arial"/>
                <w:color w:val="000000" w:themeColor="text1"/>
                <w:sz w:val="20"/>
                <w:szCs w:val="20"/>
                <w:vertAlign w:val="subscript"/>
              </w:rPr>
              <w:t>3</w:t>
            </w:r>
            <w:r>
              <w:rPr>
                <w:rFonts w:ascii="Arial" w:hAnsi="Arial" w:cs="Arial"/>
                <w:color w:val="000000" w:themeColor="text1"/>
                <w:sz w:val="20"/>
                <w:szCs w:val="20"/>
              </w:rPr>
              <w:t>)</w:t>
            </w:r>
          </w:p>
        </w:tc>
      </w:tr>
      <w:tr w:rsidR="007742BE" w:rsidTr="007742BE">
        <w:tc>
          <w:tcPr>
            <w:tcW w:w="4927" w:type="dxa"/>
          </w:tcPr>
          <w:p w:rsidR="007742BE" w:rsidRPr="007742BE" w:rsidRDefault="007742BE" w:rsidP="007742BE">
            <w:pPr>
              <w:pStyle w:val="ListParagraph"/>
              <w:numPr>
                <w:ilvl w:val="0"/>
                <w:numId w:val="5"/>
              </w:numPr>
              <w:spacing w:after="0" w:line="269" w:lineRule="auto"/>
              <w:ind w:left="714" w:hanging="357"/>
              <w:rPr>
                <w:rFonts w:ascii="Arial" w:hAnsi="Arial" w:cs="Arial"/>
                <w:color w:val="000000" w:themeColor="text1"/>
                <w:sz w:val="20"/>
                <w:szCs w:val="20"/>
              </w:rPr>
            </w:pPr>
            <w:r>
              <w:rPr>
                <w:rFonts w:ascii="Arial" w:hAnsi="Arial" w:cs="Arial"/>
                <w:color w:val="000000" w:themeColor="text1"/>
                <w:sz w:val="20"/>
                <w:szCs w:val="20"/>
              </w:rPr>
              <w:t xml:space="preserve">Potassium </w:t>
            </w:r>
            <w:proofErr w:type="spellStart"/>
            <w:r>
              <w:rPr>
                <w:rFonts w:ascii="Arial" w:hAnsi="Arial" w:cs="Arial"/>
                <w:color w:val="000000" w:themeColor="text1"/>
                <w:sz w:val="20"/>
                <w:szCs w:val="20"/>
              </w:rPr>
              <w:t>perchlorate</w:t>
            </w:r>
            <w:proofErr w:type="spellEnd"/>
            <w:r>
              <w:rPr>
                <w:rFonts w:ascii="Arial" w:hAnsi="Arial" w:cs="Arial"/>
                <w:color w:val="000000" w:themeColor="text1"/>
                <w:sz w:val="20"/>
                <w:szCs w:val="20"/>
              </w:rPr>
              <w:t xml:space="preserve"> (KClO</w:t>
            </w:r>
            <w:r w:rsidRPr="007742BE">
              <w:rPr>
                <w:rFonts w:ascii="Arial" w:hAnsi="Arial" w:cs="Arial"/>
                <w:color w:val="000000" w:themeColor="text1"/>
                <w:sz w:val="20"/>
                <w:szCs w:val="20"/>
                <w:vertAlign w:val="subscript"/>
              </w:rPr>
              <w:t>4</w:t>
            </w:r>
            <w:r>
              <w:rPr>
                <w:rFonts w:ascii="Arial" w:hAnsi="Arial" w:cs="Arial"/>
                <w:color w:val="000000" w:themeColor="text1"/>
                <w:sz w:val="20"/>
                <w:szCs w:val="20"/>
              </w:rPr>
              <w:t>)</w:t>
            </w:r>
          </w:p>
        </w:tc>
        <w:tc>
          <w:tcPr>
            <w:tcW w:w="4927" w:type="dxa"/>
          </w:tcPr>
          <w:p w:rsidR="007742BE" w:rsidRDefault="007742BE" w:rsidP="0076474B">
            <w:pPr>
              <w:pStyle w:val="BodyText2"/>
              <w:spacing w:line="269" w:lineRule="auto"/>
              <w:rPr>
                <w:b w:val="0"/>
                <w:color w:val="000000" w:themeColor="text1"/>
                <w:sz w:val="20"/>
              </w:rPr>
            </w:pPr>
          </w:p>
        </w:tc>
      </w:tr>
    </w:tbl>
    <w:p w:rsidR="007742BE" w:rsidRDefault="007742BE" w:rsidP="0076474B">
      <w:pPr>
        <w:pStyle w:val="BodyText2"/>
        <w:spacing w:line="269" w:lineRule="auto"/>
        <w:rPr>
          <w:b w:val="0"/>
          <w:color w:val="000000" w:themeColor="text1"/>
          <w:sz w:val="20"/>
        </w:rPr>
      </w:pPr>
    </w:p>
    <w:p w:rsidR="00493435" w:rsidRDefault="00493435" w:rsidP="0076474B">
      <w:pPr>
        <w:pStyle w:val="BodyText2"/>
        <w:spacing w:line="269" w:lineRule="auto"/>
        <w:rPr>
          <w:b w:val="0"/>
          <w:color w:val="000000" w:themeColor="text1"/>
          <w:sz w:val="20"/>
        </w:rPr>
      </w:pPr>
      <w:proofErr w:type="gramStart"/>
      <w:r>
        <w:rPr>
          <w:b w:val="0"/>
          <w:color w:val="000000" w:themeColor="text1"/>
          <w:sz w:val="20"/>
        </w:rPr>
        <w:t>Unfortunately, while these chemicals perform necessary tasks in everyday use, they can also have a devastating effect when used for illegal acts, such as</w:t>
      </w:r>
      <w:r w:rsidR="00D21236">
        <w:rPr>
          <w:b w:val="0"/>
          <w:color w:val="000000" w:themeColor="text1"/>
          <w:sz w:val="20"/>
        </w:rPr>
        <w:t xml:space="preserve"> when used in</w:t>
      </w:r>
      <w:r>
        <w:rPr>
          <w:b w:val="0"/>
          <w:color w:val="000000" w:themeColor="text1"/>
          <w:sz w:val="20"/>
        </w:rPr>
        <w:t xml:space="preserve"> homemade explosives.</w:t>
      </w:r>
      <w:proofErr w:type="gramEnd"/>
    </w:p>
    <w:p w:rsidR="00493435" w:rsidRDefault="00493435" w:rsidP="0076474B">
      <w:pPr>
        <w:pStyle w:val="BodyText2"/>
        <w:spacing w:line="269" w:lineRule="auto"/>
        <w:rPr>
          <w:b w:val="0"/>
          <w:color w:val="000000" w:themeColor="text1"/>
          <w:sz w:val="20"/>
        </w:rPr>
      </w:pPr>
    </w:p>
    <w:p w:rsidR="007742BE" w:rsidRDefault="007742BE" w:rsidP="0076474B">
      <w:pPr>
        <w:pStyle w:val="BodyText2"/>
        <w:spacing w:line="269" w:lineRule="auto"/>
        <w:rPr>
          <w:b w:val="0"/>
          <w:color w:val="000000" w:themeColor="text1"/>
          <w:sz w:val="20"/>
        </w:rPr>
      </w:pPr>
      <w:r>
        <w:rPr>
          <w:b w:val="0"/>
          <w:color w:val="000000" w:themeColor="text1"/>
          <w:sz w:val="20"/>
        </w:rPr>
        <w:t xml:space="preserve">Some of these chemicals are widely available, </w:t>
      </w:r>
      <w:r w:rsidR="00D21236">
        <w:rPr>
          <w:b w:val="0"/>
          <w:color w:val="000000" w:themeColor="text1"/>
          <w:sz w:val="20"/>
        </w:rPr>
        <w:t xml:space="preserve">for example </w:t>
      </w:r>
      <w:r>
        <w:rPr>
          <w:b w:val="0"/>
          <w:color w:val="000000" w:themeColor="text1"/>
          <w:sz w:val="20"/>
        </w:rPr>
        <w:t xml:space="preserve">hydrogen peroxide and nitric acid. While accessing chemicals in bulk is not </w:t>
      </w:r>
      <w:r w:rsidR="00CD4C8E">
        <w:rPr>
          <w:b w:val="0"/>
          <w:color w:val="000000" w:themeColor="text1"/>
          <w:sz w:val="20"/>
        </w:rPr>
        <w:t>easily</w:t>
      </w:r>
      <w:r>
        <w:rPr>
          <w:b w:val="0"/>
          <w:color w:val="000000" w:themeColor="text1"/>
          <w:sz w:val="20"/>
        </w:rPr>
        <w:t xml:space="preserve"> accessible, only a small amount of chemical is required to </w:t>
      </w:r>
      <w:r w:rsidR="00493435">
        <w:rPr>
          <w:b w:val="0"/>
          <w:color w:val="000000" w:themeColor="text1"/>
          <w:sz w:val="20"/>
        </w:rPr>
        <w:t>have a fatally</w:t>
      </w:r>
      <w:r>
        <w:rPr>
          <w:b w:val="0"/>
          <w:color w:val="000000" w:themeColor="text1"/>
          <w:sz w:val="20"/>
        </w:rPr>
        <w:t xml:space="preserve"> </w:t>
      </w:r>
      <w:r w:rsidR="00493435">
        <w:rPr>
          <w:b w:val="0"/>
          <w:color w:val="000000" w:themeColor="text1"/>
          <w:sz w:val="20"/>
        </w:rPr>
        <w:t>destructive</w:t>
      </w:r>
      <w:r>
        <w:rPr>
          <w:b w:val="0"/>
          <w:color w:val="000000" w:themeColor="text1"/>
          <w:sz w:val="20"/>
        </w:rPr>
        <w:t xml:space="preserve"> effect. Therefore, the transport of these chemi</w:t>
      </w:r>
      <w:r w:rsidR="005F6C8C">
        <w:rPr>
          <w:b w:val="0"/>
          <w:color w:val="000000" w:themeColor="text1"/>
          <w:sz w:val="20"/>
        </w:rPr>
        <w:t>cals in small amounts, such as that undertaken by courier</w:t>
      </w:r>
      <w:r w:rsidR="00493435">
        <w:rPr>
          <w:b w:val="0"/>
          <w:color w:val="000000" w:themeColor="text1"/>
          <w:sz w:val="20"/>
        </w:rPr>
        <w:t>s</w:t>
      </w:r>
      <w:r w:rsidR="005F6C8C">
        <w:rPr>
          <w:b w:val="0"/>
          <w:color w:val="000000" w:themeColor="text1"/>
          <w:sz w:val="20"/>
        </w:rPr>
        <w:t xml:space="preserve"> or taxi truck</w:t>
      </w:r>
      <w:r w:rsidR="00493435">
        <w:rPr>
          <w:b w:val="0"/>
          <w:color w:val="000000" w:themeColor="text1"/>
          <w:sz w:val="20"/>
        </w:rPr>
        <w:t>s, is more of a concern than that transported by heavy vehicles in tankers.</w:t>
      </w:r>
    </w:p>
    <w:p w:rsidR="005F6C8C" w:rsidRDefault="005F6C8C" w:rsidP="0076474B">
      <w:pPr>
        <w:pStyle w:val="BodyText2"/>
        <w:spacing w:line="269" w:lineRule="auto"/>
        <w:rPr>
          <w:b w:val="0"/>
          <w:color w:val="000000" w:themeColor="text1"/>
          <w:sz w:val="20"/>
        </w:rPr>
      </w:pPr>
    </w:p>
    <w:p w:rsidR="005F6C8C" w:rsidRDefault="005F6C8C" w:rsidP="0076474B">
      <w:pPr>
        <w:pStyle w:val="BodyText2"/>
        <w:spacing w:line="269" w:lineRule="auto"/>
        <w:rPr>
          <w:b w:val="0"/>
          <w:color w:val="000000" w:themeColor="text1"/>
          <w:sz w:val="20"/>
        </w:rPr>
      </w:pPr>
      <w:r>
        <w:rPr>
          <w:b w:val="0"/>
          <w:color w:val="000000" w:themeColor="text1"/>
          <w:sz w:val="20"/>
        </w:rPr>
        <w:t xml:space="preserve">The trucking industry already has </w:t>
      </w:r>
      <w:r w:rsidR="00493435">
        <w:rPr>
          <w:b w:val="0"/>
          <w:color w:val="000000" w:themeColor="text1"/>
          <w:sz w:val="20"/>
        </w:rPr>
        <w:t>many strong</w:t>
      </w:r>
      <w:r>
        <w:rPr>
          <w:b w:val="0"/>
          <w:color w:val="000000" w:themeColor="text1"/>
          <w:sz w:val="20"/>
        </w:rPr>
        <w:t xml:space="preserve"> procedures and protocols in place to ensure exposure of the</w:t>
      </w:r>
      <w:r w:rsidR="00677114">
        <w:rPr>
          <w:b w:val="0"/>
          <w:color w:val="000000" w:themeColor="text1"/>
          <w:sz w:val="20"/>
        </w:rPr>
        <w:t>se</w:t>
      </w:r>
      <w:r>
        <w:rPr>
          <w:b w:val="0"/>
          <w:color w:val="000000" w:themeColor="text1"/>
          <w:sz w:val="20"/>
        </w:rPr>
        <w:t xml:space="preserve"> chemicals to illegitimate use is minimised. Thorough employee checks and training of staff, along with ongoing awareness of </w:t>
      </w:r>
      <w:r w:rsidR="00AE44CD">
        <w:rPr>
          <w:b w:val="0"/>
          <w:color w:val="000000" w:themeColor="text1"/>
          <w:sz w:val="20"/>
        </w:rPr>
        <w:t xml:space="preserve">potential theft opportunities and accounting for stock, </w:t>
      </w:r>
      <w:r w:rsidR="00493435">
        <w:rPr>
          <w:b w:val="0"/>
          <w:color w:val="000000" w:themeColor="text1"/>
          <w:sz w:val="20"/>
        </w:rPr>
        <w:t xml:space="preserve">ensure </w:t>
      </w:r>
      <w:r w:rsidR="00AE44CD">
        <w:rPr>
          <w:b w:val="0"/>
          <w:color w:val="000000" w:themeColor="text1"/>
          <w:sz w:val="20"/>
        </w:rPr>
        <w:t>bulk chemicals are managed in a safe and secure manner.</w:t>
      </w:r>
    </w:p>
    <w:p w:rsidR="00446B80" w:rsidRDefault="00446B80" w:rsidP="0076474B">
      <w:pPr>
        <w:pStyle w:val="BodyText2"/>
        <w:spacing w:line="269" w:lineRule="auto"/>
        <w:rPr>
          <w:b w:val="0"/>
          <w:color w:val="000000" w:themeColor="text1"/>
          <w:sz w:val="20"/>
        </w:rPr>
      </w:pPr>
    </w:p>
    <w:p w:rsidR="00697124" w:rsidRDefault="00697124" w:rsidP="0076474B">
      <w:pPr>
        <w:pStyle w:val="BodyText2"/>
        <w:spacing w:line="269" w:lineRule="auto"/>
        <w:rPr>
          <w:b w:val="0"/>
          <w:color w:val="000000" w:themeColor="text1"/>
          <w:sz w:val="20"/>
        </w:rPr>
      </w:pPr>
      <w:r>
        <w:rPr>
          <w:b w:val="0"/>
          <w:color w:val="000000" w:themeColor="text1"/>
          <w:sz w:val="20"/>
        </w:rPr>
        <w:t>COAG’s report in 2008 regarding Chemicals of Security Concern provided six overarching principles to guide the development of strategies to manage chemicals of security, with the key points being that strategies should be nationally coordinated and consistent, control measures should be cost effective and developed in partnership with industries to ensure appropriate knowledge is integrated, and that the outcomes should not restrict industry competitiveness and trade.</w:t>
      </w:r>
    </w:p>
    <w:p w:rsidR="002A3673" w:rsidRDefault="002A3673" w:rsidP="0076474B">
      <w:pPr>
        <w:pStyle w:val="BodyText2"/>
        <w:spacing w:line="269" w:lineRule="auto"/>
        <w:rPr>
          <w:b w:val="0"/>
          <w:color w:val="000000" w:themeColor="text1"/>
          <w:sz w:val="20"/>
        </w:rPr>
      </w:pPr>
    </w:p>
    <w:p w:rsidR="002A3673" w:rsidRDefault="002A3673" w:rsidP="002A3673">
      <w:pPr>
        <w:pStyle w:val="BodyText2"/>
        <w:spacing w:line="269" w:lineRule="auto"/>
        <w:rPr>
          <w:b w:val="0"/>
          <w:color w:val="000000" w:themeColor="text1"/>
          <w:sz w:val="20"/>
        </w:rPr>
      </w:pPr>
      <w:r>
        <w:rPr>
          <w:b w:val="0"/>
          <w:color w:val="000000" w:themeColor="text1"/>
          <w:sz w:val="20"/>
        </w:rPr>
        <w:t>After consultation with key members who regularly engage in the movement of this type of freight, the ATA advises the following preferences to the options proposed:</w:t>
      </w:r>
    </w:p>
    <w:p w:rsidR="00697124" w:rsidRDefault="00697124">
      <w:pPr>
        <w:rPr>
          <w:rFonts w:ascii="Arial" w:eastAsia="Times New Roman" w:hAnsi="Arial" w:cs="Arial"/>
          <w:bCs/>
          <w:color w:val="000000" w:themeColor="text1"/>
          <w:sz w:val="20"/>
          <w:szCs w:val="20"/>
        </w:rPr>
      </w:pPr>
      <w:r>
        <w:rPr>
          <w:b/>
          <w:color w:val="000000" w:themeColor="text1"/>
          <w:sz w:val="20"/>
        </w:rPr>
        <w:br w:type="page"/>
      </w:r>
    </w:p>
    <w:p w:rsidR="00446B80" w:rsidRDefault="00446B80" w:rsidP="00F6057F">
      <w:pPr>
        <w:pStyle w:val="BodyText2"/>
        <w:tabs>
          <w:tab w:val="left" w:pos="1276"/>
          <w:tab w:val="left" w:pos="1560"/>
        </w:tabs>
        <w:spacing w:line="269" w:lineRule="auto"/>
        <w:ind w:left="284"/>
        <w:rPr>
          <w:b w:val="0"/>
          <w:color w:val="000000" w:themeColor="text1"/>
          <w:sz w:val="20"/>
        </w:rPr>
      </w:pPr>
      <w:r w:rsidRPr="00493435">
        <w:rPr>
          <w:color w:val="000000" w:themeColor="text1"/>
          <w:sz w:val="20"/>
        </w:rPr>
        <w:lastRenderedPageBreak/>
        <w:t>Option 1</w:t>
      </w:r>
      <w:r w:rsidRPr="00493435">
        <w:rPr>
          <w:color w:val="000000" w:themeColor="text1"/>
          <w:sz w:val="20"/>
        </w:rPr>
        <w:tab/>
        <w:t>-</w:t>
      </w:r>
      <w:r w:rsidRPr="00493435">
        <w:rPr>
          <w:color w:val="000000" w:themeColor="text1"/>
          <w:sz w:val="20"/>
        </w:rPr>
        <w:tab/>
      </w:r>
      <w:r w:rsidR="00A158AC">
        <w:rPr>
          <w:color w:val="000000" w:themeColor="text1"/>
          <w:sz w:val="20"/>
        </w:rPr>
        <w:t>Targeted awareness campaign</w:t>
      </w:r>
    </w:p>
    <w:p w:rsidR="00493435" w:rsidRDefault="00E37998" w:rsidP="00F6057F">
      <w:pPr>
        <w:pStyle w:val="BodyText2"/>
        <w:tabs>
          <w:tab w:val="left" w:pos="1276"/>
          <w:tab w:val="left" w:pos="1560"/>
          <w:tab w:val="left" w:pos="2268"/>
        </w:tabs>
        <w:spacing w:line="269" w:lineRule="auto"/>
        <w:ind w:left="284"/>
        <w:rPr>
          <w:b w:val="0"/>
          <w:color w:val="000000" w:themeColor="text1"/>
          <w:sz w:val="20"/>
        </w:rPr>
      </w:pPr>
      <w:r>
        <w:rPr>
          <w:b w:val="0"/>
          <w:color w:val="000000" w:themeColor="text1"/>
          <w:sz w:val="20"/>
        </w:rPr>
        <w:t>This option is n</w:t>
      </w:r>
      <w:r w:rsidR="00493435">
        <w:rPr>
          <w:b w:val="0"/>
          <w:color w:val="000000" w:themeColor="text1"/>
          <w:sz w:val="20"/>
        </w:rPr>
        <w:t xml:space="preserve">ot </w:t>
      </w:r>
      <w:r>
        <w:rPr>
          <w:b w:val="0"/>
          <w:color w:val="000000" w:themeColor="text1"/>
          <w:sz w:val="20"/>
        </w:rPr>
        <w:t>supported</w:t>
      </w:r>
      <w:r w:rsidR="00493435">
        <w:rPr>
          <w:b w:val="0"/>
          <w:color w:val="000000" w:themeColor="text1"/>
          <w:sz w:val="20"/>
        </w:rPr>
        <w:t xml:space="preserve">. </w:t>
      </w:r>
      <w:r w:rsidR="00A158AC">
        <w:rPr>
          <w:b w:val="0"/>
          <w:color w:val="000000" w:themeColor="text1"/>
          <w:sz w:val="20"/>
        </w:rPr>
        <w:t xml:space="preserve">Effectively, this means no real change to the status quo. Industry already provides information to employees regarding security of freight, and </w:t>
      </w:r>
      <w:r>
        <w:rPr>
          <w:b w:val="0"/>
          <w:color w:val="000000" w:themeColor="text1"/>
          <w:sz w:val="20"/>
        </w:rPr>
        <w:t>this is not restricted only to</w:t>
      </w:r>
      <w:r w:rsidR="00A158AC">
        <w:rPr>
          <w:b w:val="0"/>
          <w:color w:val="000000" w:themeColor="text1"/>
          <w:sz w:val="20"/>
        </w:rPr>
        <w:t xml:space="preserve"> chemicals.</w:t>
      </w:r>
    </w:p>
    <w:p w:rsidR="00493435" w:rsidRDefault="00493435" w:rsidP="00F6057F">
      <w:pPr>
        <w:pStyle w:val="BodyText2"/>
        <w:tabs>
          <w:tab w:val="left" w:pos="1276"/>
          <w:tab w:val="left" w:pos="1560"/>
          <w:tab w:val="left" w:pos="2268"/>
        </w:tabs>
        <w:spacing w:line="269" w:lineRule="auto"/>
        <w:ind w:left="284"/>
        <w:rPr>
          <w:b w:val="0"/>
          <w:color w:val="000000" w:themeColor="text1"/>
          <w:sz w:val="20"/>
        </w:rPr>
      </w:pPr>
    </w:p>
    <w:p w:rsidR="00493435" w:rsidRDefault="00493435" w:rsidP="00F6057F">
      <w:pPr>
        <w:pStyle w:val="BodyText2"/>
        <w:tabs>
          <w:tab w:val="left" w:pos="1276"/>
          <w:tab w:val="left" w:pos="1560"/>
        </w:tabs>
        <w:spacing w:line="269" w:lineRule="auto"/>
        <w:ind w:left="284"/>
        <w:rPr>
          <w:b w:val="0"/>
          <w:color w:val="000000" w:themeColor="text1"/>
          <w:sz w:val="20"/>
        </w:rPr>
      </w:pPr>
      <w:r>
        <w:rPr>
          <w:color w:val="000000" w:themeColor="text1"/>
          <w:sz w:val="20"/>
        </w:rPr>
        <w:t>Option 2</w:t>
      </w:r>
      <w:r>
        <w:rPr>
          <w:color w:val="000000" w:themeColor="text1"/>
          <w:sz w:val="20"/>
        </w:rPr>
        <w:tab/>
        <w:t>-</w:t>
      </w:r>
      <w:r>
        <w:rPr>
          <w:color w:val="000000" w:themeColor="text1"/>
          <w:sz w:val="20"/>
        </w:rPr>
        <w:tab/>
      </w:r>
      <w:r w:rsidR="00A158AC">
        <w:rPr>
          <w:color w:val="000000" w:themeColor="text1"/>
          <w:sz w:val="20"/>
        </w:rPr>
        <w:t>Industry</w:t>
      </w:r>
      <w:r>
        <w:rPr>
          <w:color w:val="000000" w:themeColor="text1"/>
          <w:sz w:val="20"/>
        </w:rPr>
        <w:t xml:space="preserve"> Code</w:t>
      </w:r>
    </w:p>
    <w:p w:rsidR="00493435" w:rsidRDefault="00A158AC" w:rsidP="00F6057F">
      <w:pPr>
        <w:pStyle w:val="BodyText2"/>
        <w:tabs>
          <w:tab w:val="left" w:pos="1276"/>
          <w:tab w:val="left" w:pos="1560"/>
          <w:tab w:val="left" w:pos="2268"/>
        </w:tabs>
        <w:spacing w:line="269" w:lineRule="auto"/>
        <w:ind w:left="284"/>
        <w:rPr>
          <w:b w:val="0"/>
          <w:color w:val="000000" w:themeColor="text1"/>
          <w:sz w:val="20"/>
        </w:rPr>
      </w:pPr>
      <w:r>
        <w:rPr>
          <w:b w:val="0"/>
          <w:color w:val="000000" w:themeColor="text1"/>
          <w:sz w:val="20"/>
        </w:rPr>
        <w:t>While this</w:t>
      </w:r>
      <w:r w:rsidR="00697124">
        <w:rPr>
          <w:b w:val="0"/>
          <w:color w:val="000000" w:themeColor="text1"/>
          <w:sz w:val="20"/>
        </w:rPr>
        <w:t xml:space="preserve"> option</w:t>
      </w:r>
      <w:r>
        <w:rPr>
          <w:b w:val="0"/>
          <w:color w:val="000000" w:themeColor="text1"/>
          <w:sz w:val="20"/>
        </w:rPr>
        <w:t xml:space="preserve"> is supported, a self-managed compliance regime is not </w:t>
      </w:r>
      <w:r w:rsidR="00E37998">
        <w:rPr>
          <w:b w:val="0"/>
          <w:color w:val="000000" w:themeColor="text1"/>
          <w:sz w:val="20"/>
        </w:rPr>
        <w:t>supported</w:t>
      </w:r>
      <w:r>
        <w:rPr>
          <w:b w:val="0"/>
          <w:color w:val="000000" w:themeColor="text1"/>
          <w:sz w:val="20"/>
        </w:rPr>
        <w:t>. Where compliance with a code relies on internal reviews, there is an opportunity for businesses to flout the requirements</w:t>
      </w:r>
      <w:r w:rsidR="00E37998">
        <w:rPr>
          <w:b w:val="0"/>
          <w:color w:val="000000" w:themeColor="text1"/>
          <w:sz w:val="20"/>
        </w:rPr>
        <w:t>,</w:t>
      </w:r>
      <w:r>
        <w:rPr>
          <w:b w:val="0"/>
          <w:color w:val="000000" w:themeColor="text1"/>
          <w:sz w:val="20"/>
        </w:rPr>
        <w:t xml:space="preserve"> and therefore obtain a commercial advantage. This will cause good operators to leave the system, leaving second rate operators to move the freight, which is not </w:t>
      </w:r>
      <w:r w:rsidR="00E37998">
        <w:rPr>
          <w:b w:val="0"/>
          <w:color w:val="000000" w:themeColor="text1"/>
          <w:sz w:val="20"/>
        </w:rPr>
        <w:t xml:space="preserve">an </w:t>
      </w:r>
      <w:r>
        <w:rPr>
          <w:b w:val="0"/>
          <w:color w:val="000000" w:themeColor="text1"/>
          <w:sz w:val="20"/>
        </w:rPr>
        <w:t>ideal</w:t>
      </w:r>
      <w:r w:rsidR="00E37998">
        <w:rPr>
          <w:b w:val="0"/>
          <w:color w:val="000000" w:themeColor="text1"/>
          <w:sz w:val="20"/>
        </w:rPr>
        <w:t xml:space="preserve"> situation</w:t>
      </w:r>
      <w:r>
        <w:rPr>
          <w:b w:val="0"/>
          <w:color w:val="000000" w:themeColor="text1"/>
          <w:sz w:val="20"/>
        </w:rPr>
        <w:t>.</w:t>
      </w:r>
    </w:p>
    <w:p w:rsidR="00A158AC" w:rsidRDefault="00A158AC" w:rsidP="00F6057F">
      <w:pPr>
        <w:pStyle w:val="BodyText2"/>
        <w:tabs>
          <w:tab w:val="left" w:pos="1276"/>
          <w:tab w:val="left" w:pos="1560"/>
          <w:tab w:val="left" w:pos="2268"/>
        </w:tabs>
        <w:spacing w:line="269" w:lineRule="auto"/>
        <w:ind w:left="284"/>
        <w:rPr>
          <w:b w:val="0"/>
          <w:color w:val="000000" w:themeColor="text1"/>
          <w:sz w:val="20"/>
        </w:rPr>
      </w:pPr>
    </w:p>
    <w:p w:rsidR="00A158AC" w:rsidRDefault="00A158AC" w:rsidP="00F6057F">
      <w:pPr>
        <w:pStyle w:val="BodyText2"/>
        <w:tabs>
          <w:tab w:val="left" w:pos="1276"/>
          <w:tab w:val="left" w:pos="1560"/>
        </w:tabs>
        <w:spacing w:line="269" w:lineRule="auto"/>
        <w:ind w:left="284"/>
        <w:rPr>
          <w:color w:val="000000" w:themeColor="text1"/>
          <w:sz w:val="20"/>
        </w:rPr>
      </w:pPr>
      <w:r>
        <w:rPr>
          <w:color w:val="000000" w:themeColor="text1"/>
          <w:sz w:val="20"/>
        </w:rPr>
        <w:t>Option 3</w:t>
      </w:r>
      <w:r>
        <w:rPr>
          <w:color w:val="000000" w:themeColor="text1"/>
          <w:sz w:val="20"/>
        </w:rPr>
        <w:tab/>
        <w:t>-</w:t>
      </w:r>
      <w:r>
        <w:rPr>
          <w:color w:val="000000" w:themeColor="text1"/>
          <w:sz w:val="20"/>
        </w:rPr>
        <w:tab/>
        <w:t>Government Code</w:t>
      </w:r>
    </w:p>
    <w:p w:rsidR="00A158AC" w:rsidRDefault="00697124" w:rsidP="00F6057F">
      <w:pPr>
        <w:pStyle w:val="BodyText2"/>
        <w:tabs>
          <w:tab w:val="left" w:pos="1276"/>
          <w:tab w:val="left" w:pos="1560"/>
          <w:tab w:val="left" w:pos="2268"/>
        </w:tabs>
        <w:spacing w:line="269" w:lineRule="auto"/>
        <w:ind w:left="284"/>
        <w:rPr>
          <w:b w:val="0"/>
          <w:color w:val="000000" w:themeColor="text1"/>
          <w:sz w:val="20"/>
        </w:rPr>
      </w:pPr>
      <w:r>
        <w:rPr>
          <w:b w:val="0"/>
          <w:color w:val="000000" w:themeColor="text1"/>
          <w:sz w:val="20"/>
        </w:rPr>
        <w:t>This option is supported</w:t>
      </w:r>
      <w:r w:rsidR="00A158AC">
        <w:rPr>
          <w:b w:val="0"/>
          <w:color w:val="000000" w:themeColor="text1"/>
          <w:sz w:val="20"/>
        </w:rPr>
        <w:t xml:space="preserve">, provided there is a specific code or section within a code that relates only to </w:t>
      </w:r>
      <w:r w:rsidR="00E37998">
        <w:rPr>
          <w:b w:val="0"/>
          <w:color w:val="000000" w:themeColor="text1"/>
          <w:sz w:val="20"/>
        </w:rPr>
        <w:t>transport of chemicals</w:t>
      </w:r>
      <w:r w:rsidR="00A158AC">
        <w:rPr>
          <w:b w:val="0"/>
          <w:color w:val="000000" w:themeColor="text1"/>
          <w:sz w:val="20"/>
        </w:rPr>
        <w:t xml:space="preserve">. It is not feasible </w:t>
      </w:r>
      <w:r w:rsidR="00E37998">
        <w:rPr>
          <w:b w:val="0"/>
          <w:color w:val="000000" w:themeColor="text1"/>
          <w:sz w:val="20"/>
        </w:rPr>
        <w:t>for</w:t>
      </w:r>
      <w:r w:rsidR="00A158AC">
        <w:rPr>
          <w:b w:val="0"/>
          <w:color w:val="000000" w:themeColor="text1"/>
          <w:sz w:val="20"/>
        </w:rPr>
        <w:t xml:space="preserve"> operators to comply with the requirements of different codes for different chemical industry groups; it is sensible for the trucking and transport industry to have its own </w:t>
      </w:r>
      <w:r w:rsidR="00E37998">
        <w:rPr>
          <w:b w:val="0"/>
          <w:color w:val="000000" w:themeColor="text1"/>
          <w:sz w:val="20"/>
        </w:rPr>
        <w:t>requirements</w:t>
      </w:r>
      <w:r w:rsidR="00A158AC">
        <w:rPr>
          <w:b w:val="0"/>
          <w:color w:val="000000" w:themeColor="text1"/>
          <w:sz w:val="20"/>
        </w:rPr>
        <w:t xml:space="preserve"> to comply with.</w:t>
      </w:r>
    </w:p>
    <w:p w:rsidR="00A158AC" w:rsidRDefault="00A158AC" w:rsidP="00F6057F">
      <w:pPr>
        <w:pStyle w:val="BodyText2"/>
        <w:tabs>
          <w:tab w:val="left" w:pos="1276"/>
          <w:tab w:val="left" w:pos="1560"/>
          <w:tab w:val="left" w:pos="2268"/>
        </w:tabs>
        <w:spacing w:line="269" w:lineRule="auto"/>
        <w:ind w:left="284"/>
        <w:rPr>
          <w:b w:val="0"/>
          <w:color w:val="000000" w:themeColor="text1"/>
          <w:sz w:val="20"/>
        </w:rPr>
      </w:pPr>
    </w:p>
    <w:p w:rsidR="00A158AC" w:rsidRDefault="00A158AC" w:rsidP="00F6057F">
      <w:pPr>
        <w:pStyle w:val="BodyText2"/>
        <w:tabs>
          <w:tab w:val="left" w:pos="1276"/>
          <w:tab w:val="left" w:pos="1560"/>
        </w:tabs>
        <w:spacing w:line="269" w:lineRule="auto"/>
        <w:ind w:left="284"/>
        <w:rPr>
          <w:b w:val="0"/>
          <w:color w:val="000000" w:themeColor="text1"/>
          <w:sz w:val="20"/>
        </w:rPr>
      </w:pPr>
      <w:r>
        <w:rPr>
          <w:color w:val="000000" w:themeColor="text1"/>
          <w:sz w:val="20"/>
        </w:rPr>
        <w:t>Option 4</w:t>
      </w:r>
      <w:r>
        <w:rPr>
          <w:color w:val="000000" w:themeColor="text1"/>
          <w:sz w:val="20"/>
        </w:rPr>
        <w:tab/>
        <w:t>-</w:t>
      </w:r>
      <w:r>
        <w:rPr>
          <w:color w:val="000000" w:themeColor="text1"/>
          <w:sz w:val="20"/>
        </w:rPr>
        <w:tab/>
        <w:t>Regulation</w:t>
      </w:r>
    </w:p>
    <w:p w:rsidR="00A158AC" w:rsidRPr="00A158AC" w:rsidRDefault="00697124" w:rsidP="00F6057F">
      <w:pPr>
        <w:pStyle w:val="BodyText2"/>
        <w:tabs>
          <w:tab w:val="left" w:pos="1276"/>
          <w:tab w:val="left" w:pos="1560"/>
          <w:tab w:val="left" w:pos="2268"/>
        </w:tabs>
        <w:spacing w:line="269" w:lineRule="auto"/>
        <w:ind w:left="284"/>
        <w:rPr>
          <w:b w:val="0"/>
          <w:color w:val="000000" w:themeColor="text1"/>
          <w:sz w:val="20"/>
        </w:rPr>
      </w:pPr>
      <w:r>
        <w:rPr>
          <w:b w:val="0"/>
          <w:color w:val="000000" w:themeColor="text1"/>
          <w:sz w:val="20"/>
        </w:rPr>
        <w:t>This option is not supported.</w:t>
      </w:r>
      <w:r w:rsidR="00A158AC">
        <w:rPr>
          <w:b w:val="0"/>
          <w:color w:val="000000" w:themeColor="text1"/>
          <w:sz w:val="20"/>
        </w:rPr>
        <w:t xml:space="preserve"> The cost to our industry would be extremely high, the requirements impractical, and would create a major impost on operators.</w:t>
      </w:r>
      <w:r w:rsidR="00E37998">
        <w:rPr>
          <w:b w:val="0"/>
          <w:color w:val="000000" w:themeColor="text1"/>
          <w:sz w:val="20"/>
        </w:rPr>
        <w:t xml:space="preserve"> This cost, in turn, would need to be passed on to customers, which ultimately increases the cost of chemicals. There is also limited evidence that risk would be lowered in any substantial way to justify the increased cost to operate.</w:t>
      </w:r>
    </w:p>
    <w:p w:rsidR="00493435" w:rsidRPr="00493435" w:rsidRDefault="00493435" w:rsidP="0076474B">
      <w:pPr>
        <w:pStyle w:val="BodyText2"/>
        <w:spacing w:line="269" w:lineRule="auto"/>
        <w:rPr>
          <w:b w:val="0"/>
          <w:color w:val="000000" w:themeColor="text1"/>
          <w:sz w:val="20"/>
        </w:rPr>
      </w:pPr>
    </w:p>
    <w:p w:rsidR="004008C7" w:rsidRDefault="00772B68" w:rsidP="0076474B">
      <w:pPr>
        <w:pStyle w:val="BodyText2"/>
        <w:spacing w:line="269" w:lineRule="auto"/>
        <w:rPr>
          <w:b w:val="0"/>
          <w:color w:val="000000" w:themeColor="text1"/>
          <w:sz w:val="20"/>
        </w:rPr>
      </w:pPr>
      <w:r>
        <w:rPr>
          <w:b w:val="0"/>
          <w:color w:val="000000" w:themeColor="text1"/>
          <w:sz w:val="20"/>
        </w:rPr>
        <w:t>The following commentary and recommendations are provided by the ATA in response to the PwC paper prepared for the Attorney-General’s Department in relation to chemical security.</w:t>
      </w:r>
    </w:p>
    <w:p w:rsidR="00420F75" w:rsidRPr="00565DE9" w:rsidRDefault="00420F75">
      <w:pPr>
        <w:rPr>
          <w:rFonts w:ascii="Arial" w:eastAsia="Times New Roman" w:hAnsi="Arial" w:cs="Arial"/>
          <w:bCs/>
          <w:color w:val="000000" w:themeColor="text1"/>
          <w:sz w:val="20"/>
          <w:szCs w:val="20"/>
        </w:rPr>
      </w:pPr>
    </w:p>
    <w:p w:rsidR="00907971" w:rsidRPr="00F6057F" w:rsidRDefault="00907971" w:rsidP="002A3673">
      <w:pPr>
        <w:pStyle w:val="ATAHeading2"/>
        <w:spacing w:after="60"/>
      </w:pPr>
      <w:bookmarkStart w:id="3" w:name="_Toc321401431"/>
      <w:r w:rsidRPr="00F6057F">
        <w:t>Recommendations</w:t>
      </w:r>
      <w:bookmarkEnd w:id="3"/>
    </w:p>
    <w:p w:rsidR="00F6057F" w:rsidRDefault="002821E4">
      <w:pPr>
        <w:pStyle w:val="TOC1"/>
        <w:rPr>
          <w:rFonts w:asciiTheme="minorHAnsi" w:eastAsiaTheme="minorEastAsia" w:hAnsiTheme="minorHAnsi" w:cstheme="minorBidi"/>
          <w:b w:val="0"/>
          <w:sz w:val="22"/>
          <w:szCs w:val="22"/>
          <w:lang w:eastAsia="en-AU"/>
        </w:rPr>
      </w:pPr>
      <w:r w:rsidRPr="002821E4">
        <w:fldChar w:fldCharType="begin"/>
      </w:r>
      <w:r w:rsidR="00907971" w:rsidRPr="00DB17ED">
        <w:instrText xml:space="preserve"> TOC \n \p " " \t "Recommendation Style,1,Recommendation Style 2,2,Recommendation Style 3,3" </w:instrText>
      </w:r>
      <w:r w:rsidRPr="002821E4">
        <w:fldChar w:fldCharType="separate"/>
      </w:r>
      <w:r w:rsidR="00F6057F" w:rsidRPr="00CE10AB">
        <w:rPr>
          <w:rFonts w:cs="Times New Roman"/>
          <w:color w:val="000000" w:themeColor="text1"/>
        </w:rPr>
        <w:t>Recommendation 1</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the Attorney-General’s Department adopt a blend of Options 2 and 3, so all relevant industries have strong input into the development of an enforceable government code.</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t>Recommendation 2</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the transportation of chemicals is identified as a section within the new code, to minimise the risk of transport companies being required to comply with multiple site requirements across multiple industry sectors in relation to chemicals of security concern.</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t>Recommendation 3</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the requirements for security checks be streamlined into a one-check process, with one identification card provided to an applicant, which is presentable at any of the areas where such a card may be required (for example, ports or airports). Further, the proposed Code of Practice identifies the type of training and topics required to be covered for employees to ensure uniformity across the nation.</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t>Recommendation 4</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the courier and taxi truck sector be considered when determining potential controls to manage the security of chemicals that are not moved in bulk.</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t>Recommendation 5</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that the Attorney-General’s Department works with state based organisations that develop training for Dangerous Goods, with a view to including the management of chemicals of security concern as a module within this training.</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t>Recommendation 6</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that a list of parties involved in the commercial use or transportation of chemicals be established to clearly identify relevant groups required to comply with the code. This will reduce the requirement for the general public to comply with the code when a product may be used strictly for personal reasons.</w:t>
      </w:r>
    </w:p>
    <w:p w:rsidR="00F6057F" w:rsidRDefault="00F6057F">
      <w:pPr>
        <w:pStyle w:val="TOC1"/>
        <w:rPr>
          <w:rFonts w:asciiTheme="minorHAnsi" w:eastAsiaTheme="minorEastAsia" w:hAnsiTheme="minorHAnsi" w:cstheme="minorBidi"/>
          <w:b w:val="0"/>
          <w:sz w:val="22"/>
          <w:szCs w:val="22"/>
          <w:lang w:eastAsia="en-AU"/>
        </w:rPr>
      </w:pPr>
      <w:r w:rsidRPr="00CE10AB">
        <w:rPr>
          <w:rFonts w:cs="Times New Roman"/>
          <w:color w:val="000000" w:themeColor="text1"/>
        </w:rPr>
        <w:lastRenderedPageBreak/>
        <w:t>Recommendation 7</w:t>
      </w:r>
    </w:p>
    <w:p w:rsidR="00F6057F" w:rsidRDefault="00F6057F">
      <w:pPr>
        <w:pStyle w:val="TOC2"/>
        <w:rPr>
          <w:rFonts w:asciiTheme="minorHAnsi" w:eastAsiaTheme="minorEastAsia" w:hAnsiTheme="minorHAnsi" w:cstheme="minorBidi"/>
          <w:color w:val="auto"/>
          <w:sz w:val="22"/>
          <w:lang w:eastAsia="en-AU"/>
        </w:rPr>
      </w:pPr>
      <w:r w:rsidRPr="00CE10AB">
        <w:rPr>
          <w:color w:val="000000" w:themeColor="text1"/>
        </w:rPr>
        <w:t>The ATA recommends that if legislation changes are considered to introduce chemicals of security concern into dangerous goods or hazardous facilities legislation, that the legislation be Commonwealth law, not state law, thus reducing the risk of multiple sets of legislation for industry to comply with.</w:t>
      </w:r>
    </w:p>
    <w:p w:rsidR="002A3673" w:rsidRDefault="002821E4" w:rsidP="002A3673">
      <w:pPr>
        <w:spacing w:line="269" w:lineRule="auto"/>
        <w:rPr>
          <w:rFonts w:ascii="Arial" w:hAnsi="Arial" w:cs="Arial"/>
          <w:b/>
          <w:noProof/>
          <w:color w:val="000000" w:themeColor="text1"/>
          <w:sz w:val="20"/>
          <w:szCs w:val="20"/>
        </w:rPr>
      </w:pPr>
      <w:r w:rsidRPr="00DB17ED">
        <w:rPr>
          <w:rFonts w:ascii="Arial" w:hAnsi="Arial" w:cs="Arial"/>
          <w:b/>
          <w:noProof/>
          <w:color w:val="000000" w:themeColor="text1"/>
          <w:sz w:val="20"/>
          <w:szCs w:val="20"/>
        </w:rPr>
        <w:fldChar w:fldCharType="end"/>
      </w:r>
    </w:p>
    <w:p w:rsidR="00F6057F" w:rsidRDefault="00F6057F" w:rsidP="002A3673">
      <w:pPr>
        <w:spacing w:line="269" w:lineRule="auto"/>
        <w:rPr>
          <w:rFonts w:ascii="Arial" w:hAnsi="Arial" w:cs="Arial"/>
          <w:b/>
          <w:noProof/>
          <w:color w:val="000000" w:themeColor="text1"/>
          <w:sz w:val="20"/>
          <w:szCs w:val="20"/>
        </w:rPr>
      </w:pPr>
    </w:p>
    <w:p w:rsidR="00415126" w:rsidRPr="00F6057F" w:rsidRDefault="00415126" w:rsidP="0076474B">
      <w:pPr>
        <w:pStyle w:val="Heading1"/>
      </w:pPr>
      <w:bookmarkStart w:id="4" w:name="_Toc321401432"/>
      <w:r w:rsidRPr="00F6057F">
        <w:t>Commentary</w:t>
      </w:r>
      <w:bookmarkEnd w:id="4"/>
    </w:p>
    <w:p w:rsidR="00415126" w:rsidRPr="00F6057F" w:rsidRDefault="00BD63D8" w:rsidP="0076474B">
      <w:pPr>
        <w:pStyle w:val="ATAHeading2"/>
        <w:ind w:left="851" w:hanging="851"/>
      </w:pPr>
      <w:bookmarkStart w:id="5" w:name="_Toc321401433"/>
      <w:r w:rsidRPr="00F6057F">
        <w:t>Statement of the problem</w:t>
      </w:r>
      <w:bookmarkEnd w:id="5"/>
    </w:p>
    <w:p w:rsidR="007C3F49" w:rsidRDefault="00BD63D8" w:rsidP="0076474B">
      <w:pPr>
        <w:pStyle w:val="BodyText2"/>
        <w:spacing w:line="269" w:lineRule="auto"/>
        <w:rPr>
          <w:b w:val="0"/>
          <w:color w:val="000000" w:themeColor="text1"/>
          <w:sz w:val="20"/>
        </w:rPr>
      </w:pPr>
      <w:r>
        <w:rPr>
          <w:b w:val="0"/>
          <w:color w:val="000000" w:themeColor="text1"/>
          <w:sz w:val="20"/>
        </w:rPr>
        <w:t>After attending various meetings and demonstration days with the Attorney-General’s Department, Australian Federal Police and Defence, the ATA acknowledges the issues highlighted in PwC’s paper regarding the use of homemade explosives are real and of significant concern.</w:t>
      </w:r>
    </w:p>
    <w:p w:rsidR="00BD63D8" w:rsidRDefault="00BD63D8" w:rsidP="0076474B">
      <w:pPr>
        <w:pStyle w:val="BodyText2"/>
        <w:spacing w:line="269" w:lineRule="auto"/>
        <w:rPr>
          <w:b w:val="0"/>
          <w:color w:val="000000" w:themeColor="text1"/>
          <w:sz w:val="20"/>
        </w:rPr>
      </w:pPr>
    </w:p>
    <w:p w:rsidR="00BD63D8" w:rsidRDefault="00BD63D8" w:rsidP="0076474B">
      <w:pPr>
        <w:pStyle w:val="BodyText2"/>
        <w:spacing w:line="269" w:lineRule="auto"/>
        <w:rPr>
          <w:b w:val="0"/>
          <w:color w:val="000000" w:themeColor="text1"/>
          <w:sz w:val="20"/>
        </w:rPr>
      </w:pPr>
      <w:r>
        <w:rPr>
          <w:b w:val="0"/>
          <w:color w:val="000000" w:themeColor="text1"/>
          <w:sz w:val="20"/>
        </w:rPr>
        <w:t xml:space="preserve">The </w:t>
      </w:r>
      <w:r w:rsidR="00E37998">
        <w:rPr>
          <w:b w:val="0"/>
          <w:color w:val="000000" w:themeColor="text1"/>
          <w:sz w:val="20"/>
        </w:rPr>
        <w:t xml:space="preserve">11 identified </w:t>
      </w:r>
      <w:r>
        <w:rPr>
          <w:b w:val="0"/>
          <w:color w:val="000000" w:themeColor="text1"/>
          <w:sz w:val="20"/>
        </w:rPr>
        <w:t>chemicals of security concern can be utilised by both terrorists and criminals. However, it would be impossible to ban these chemical</w:t>
      </w:r>
      <w:r w:rsidR="00E37998">
        <w:rPr>
          <w:b w:val="0"/>
          <w:color w:val="000000" w:themeColor="text1"/>
          <w:sz w:val="20"/>
        </w:rPr>
        <w:t>s</w:t>
      </w:r>
      <w:r>
        <w:rPr>
          <w:b w:val="0"/>
          <w:color w:val="000000" w:themeColor="text1"/>
          <w:sz w:val="20"/>
        </w:rPr>
        <w:t xml:space="preserve"> altogether, as they are used daily by thousands of Australians in </w:t>
      </w:r>
      <w:r w:rsidR="00D42CE3">
        <w:rPr>
          <w:b w:val="0"/>
          <w:color w:val="000000" w:themeColor="text1"/>
          <w:sz w:val="20"/>
        </w:rPr>
        <w:t xml:space="preserve">our </w:t>
      </w:r>
      <w:r w:rsidR="00697124">
        <w:rPr>
          <w:b w:val="0"/>
          <w:color w:val="000000" w:themeColor="text1"/>
          <w:sz w:val="20"/>
        </w:rPr>
        <w:t>every-day life</w:t>
      </w:r>
      <w:r>
        <w:rPr>
          <w:b w:val="0"/>
          <w:color w:val="000000" w:themeColor="text1"/>
          <w:sz w:val="20"/>
        </w:rPr>
        <w:t>. In 20</w:t>
      </w:r>
      <w:r w:rsidR="00D42CE3">
        <w:rPr>
          <w:b w:val="0"/>
          <w:color w:val="000000" w:themeColor="text1"/>
          <w:sz w:val="20"/>
        </w:rPr>
        <w:t>10</w:t>
      </w:r>
      <w:r>
        <w:rPr>
          <w:b w:val="0"/>
          <w:color w:val="000000" w:themeColor="text1"/>
          <w:sz w:val="20"/>
        </w:rPr>
        <w:t xml:space="preserve">, </w:t>
      </w:r>
      <w:r w:rsidR="00D42CE3">
        <w:rPr>
          <w:b w:val="0"/>
          <w:color w:val="000000" w:themeColor="text1"/>
          <w:sz w:val="20"/>
        </w:rPr>
        <w:t xml:space="preserve">Access Economics prepared the regulatory impact statement for the </w:t>
      </w:r>
      <w:r w:rsidR="00D42CE3" w:rsidRPr="00D42CE3">
        <w:rPr>
          <w:b w:val="0"/>
          <w:color w:val="000000" w:themeColor="text1"/>
          <w:sz w:val="20"/>
        </w:rPr>
        <w:t xml:space="preserve">Office of the Australian Safety and Compensation Council </w:t>
      </w:r>
      <w:r>
        <w:rPr>
          <w:b w:val="0"/>
          <w:color w:val="000000" w:themeColor="text1"/>
          <w:sz w:val="20"/>
        </w:rPr>
        <w:t>(now Safe Work Australia)</w:t>
      </w:r>
      <w:r w:rsidR="00D42CE3">
        <w:rPr>
          <w:b w:val="0"/>
          <w:color w:val="000000" w:themeColor="text1"/>
          <w:sz w:val="20"/>
        </w:rPr>
        <w:t>, which</w:t>
      </w:r>
      <w:r>
        <w:rPr>
          <w:b w:val="0"/>
          <w:color w:val="000000" w:themeColor="text1"/>
          <w:sz w:val="20"/>
        </w:rPr>
        <w:t xml:space="preserve"> estimated there were</w:t>
      </w:r>
      <w:r w:rsidR="00D42CE3">
        <w:rPr>
          <w:b w:val="0"/>
          <w:color w:val="000000" w:themeColor="text1"/>
          <w:sz w:val="20"/>
        </w:rPr>
        <w:t xml:space="preserve"> approximately</w:t>
      </w:r>
      <w:r>
        <w:rPr>
          <w:b w:val="0"/>
          <w:color w:val="000000" w:themeColor="text1"/>
          <w:sz w:val="20"/>
        </w:rPr>
        <w:t xml:space="preserve"> </w:t>
      </w:r>
      <w:r w:rsidR="00D42CE3">
        <w:rPr>
          <w:b w:val="0"/>
          <w:color w:val="000000" w:themeColor="text1"/>
          <w:sz w:val="20"/>
        </w:rPr>
        <w:t>600,000</w:t>
      </w:r>
      <w:r>
        <w:rPr>
          <w:b w:val="0"/>
          <w:color w:val="000000" w:themeColor="text1"/>
          <w:sz w:val="20"/>
        </w:rPr>
        <w:t xml:space="preserve"> workplaces in Australia with chemical users.</w:t>
      </w:r>
      <w:r w:rsidR="00872B38">
        <w:rPr>
          <w:rStyle w:val="FootnoteReference"/>
          <w:b w:val="0"/>
          <w:color w:val="000000" w:themeColor="text1"/>
          <w:sz w:val="20"/>
        </w:rPr>
        <w:footnoteReference w:id="1"/>
      </w:r>
    </w:p>
    <w:p w:rsidR="00697124" w:rsidRDefault="00697124" w:rsidP="0076474B">
      <w:pPr>
        <w:pStyle w:val="BodyText2"/>
        <w:spacing w:line="269" w:lineRule="auto"/>
        <w:rPr>
          <w:b w:val="0"/>
          <w:color w:val="000000" w:themeColor="text1"/>
          <w:sz w:val="20"/>
        </w:rPr>
      </w:pPr>
    </w:p>
    <w:p w:rsidR="00CD7D50" w:rsidRDefault="00490A42" w:rsidP="00CD7D50">
      <w:pPr>
        <w:pStyle w:val="BodyText2"/>
        <w:spacing w:line="269" w:lineRule="auto"/>
        <w:rPr>
          <w:b w:val="0"/>
          <w:color w:val="000000" w:themeColor="text1"/>
          <w:sz w:val="20"/>
        </w:rPr>
      </w:pPr>
      <w:r>
        <w:rPr>
          <w:b w:val="0"/>
          <w:color w:val="000000" w:themeColor="text1"/>
          <w:sz w:val="20"/>
        </w:rPr>
        <w:t>The development of risk assessments by the Chemical Security Risk Assessment Unit identified the transport of hydrogen peroxide and nitric acid as very high risks. This is mainly due to the transportation of these chemicals in small amounts, such as those undertaken by couriers and taxi trucks, rather than transportation of chemicals in bulk amounts, such as in a tanker.</w:t>
      </w:r>
    </w:p>
    <w:p w:rsidR="00CD7D50" w:rsidRDefault="00CD7D50" w:rsidP="00CD7D50">
      <w:pPr>
        <w:pStyle w:val="BodyText2"/>
        <w:spacing w:line="269" w:lineRule="auto"/>
        <w:rPr>
          <w:b w:val="0"/>
          <w:color w:val="000000" w:themeColor="text1"/>
          <w:sz w:val="20"/>
        </w:rPr>
      </w:pPr>
    </w:p>
    <w:p w:rsidR="00CD7D50" w:rsidRDefault="00C54B9E" w:rsidP="00CD7D50">
      <w:pPr>
        <w:pStyle w:val="BodyText2"/>
        <w:spacing w:line="269" w:lineRule="auto"/>
        <w:rPr>
          <w:b w:val="0"/>
          <w:color w:val="000000" w:themeColor="text1"/>
          <w:sz w:val="20"/>
        </w:rPr>
      </w:pPr>
      <w:r>
        <w:rPr>
          <w:b w:val="0"/>
          <w:color w:val="000000" w:themeColor="text1"/>
          <w:sz w:val="20"/>
        </w:rPr>
        <w:t>While the chemicals of security concern have complex scientific names, they are commonly used in every-day items. We have provided a table below showing some of the common uses for these chemicals.</w:t>
      </w:r>
    </w:p>
    <w:p w:rsidR="00C54B9E" w:rsidRDefault="00C54B9E" w:rsidP="00CD7D50">
      <w:pPr>
        <w:pStyle w:val="BodyText2"/>
        <w:spacing w:line="269" w:lineRule="auto"/>
        <w:rPr>
          <w:b w:val="0"/>
          <w:color w:val="000000" w:themeColor="text1"/>
          <w:sz w:val="20"/>
        </w:rPr>
      </w:pPr>
    </w:p>
    <w:p w:rsidR="003766FD" w:rsidRPr="003766FD" w:rsidRDefault="003766FD" w:rsidP="00CD7D50">
      <w:pPr>
        <w:pStyle w:val="BodyText2"/>
        <w:spacing w:line="269" w:lineRule="auto"/>
        <w:rPr>
          <w:i/>
          <w:color w:val="000000" w:themeColor="text1"/>
          <w:sz w:val="20"/>
        </w:rPr>
      </w:pPr>
      <w:r w:rsidRPr="003766FD">
        <w:rPr>
          <w:i/>
          <w:color w:val="000000" w:themeColor="text1"/>
          <w:sz w:val="20"/>
        </w:rPr>
        <w:t>Table 1 – Scientific name and common uses of chemicals of security concern</w:t>
      </w:r>
    </w:p>
    <w:tbl>
      <w:tblPr>
        <w:tblStyle w:val="TableGrid"/>
        <w:tblW w:w="0" w:type="auto"/>
        <w:tblLook w:val="04A0"/>
      </w:tblPr>
      <w:tblGrid>
        <w:gridCol w:w="4927"/>
        <w:gridCol w:w="4927"/>
      </w:tblGrid>
      <w:tr w:rsidR="00C54B9E" w:rsidRPr="00C54B9E" w:rsidTr="00F6057F">
        <w:trPr>
          <w:trHeight w:val="464"/>
        </w:trPr>
        <w:tc>
          <w:tcPr>
            <w:tcW w:w="4927" w:type="dxa"/>
            <w:vAlign w:val="center"/>
          </w:tcPr>
          <w:p w:rsidR="00C54B9E" w:rsidRPr="00C54B9E" w:rsidRDefault="00C54B9E" w:rsidP="00C54B9E">
            <w:pPr>
              <w:pStyle w:val="BodyText2"/>
              <w:spacing w:line="269" w:lineRule="auto"/>
              <w:rPr>
                <w:color w:val="000000" w:themeColor="text1"/>
                <w:sz w:val="20"/>
              </w:rPr>
            </w:pPr>
            <w:r>
              <w:rPr>
                <w:color w:val="000000" w:themeColor="text1"/>
                <w:sz w:val="20"/>
              </w:rPr>
              <w:t>Scientific name</w:t>
            </w:r>
          </w:p>
        </w:tc>
        <w:tc>
          <w:tcPr>
            <w:tcW w:w="4927" w:type="dxa"/>
            <w:vAlign w:val="center"/>
          </w:tcPr>
          <w:p w:rsidR="00C54B9E" w:rsidRPr="00C54B9E" w:rsidRDefault="00C54B9E" w:rsidP="00C54B9E">
            <w:pPr>
              <w:pStyle w:val="BodyText2"/>
              <w:spacing w:line="269" w:lineRule="auto"/>
              <w:rPr>
                <w:color w:val="000000" w:themeColor="text1"/>
                <w:sz w:val="20"/>
              </w:rPr>
            </w:pPr>
            <w:r>
              <w:rPr>
                <w:color w:val="000000" w:themeColor="text1"/>
                <w:sz w:val="20"/>
              </w:rPr>
              <w:t>Common use</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Hydrogen peroxide</w:t>
            </w:r>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Hair bleach</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Sodium chlorate</w:t>
            </w:r>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Herbicide</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Nitric acid</w:t>
            </w:r>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Used to artificially age wood; used in the production of fertilizers</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Potassium chlorate</w:t>
            </w:r>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Fireworks; disinfectant</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 xml:space="preserve">Sodium </w:t>
            </w:r>
            <w:proofErr w:type="spellStart"/>
            <w:r>
              <w:rPr>
                <w:b w:val="0"/>
                <w:color w:val="000000" w:themeColor="text1"/>
                <w:sz w:val="20"/>
              </w:rPr>
              <w:t>perchlorate</w:t>
            </w:r>
            <w:proofErr w:type="spellEnd"/>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I</w:t>
            </w:r>
            <w:r w:rsidRPr="00C54B9E">
              <w:rPr>
                <w:b w:val="0"/>
                <w:color w:val="000000" w:themeColor="text1"/>
                <w:sz w:val="20"/>
              </w:rPr>
              <w:t>ngredient of bleaching powder used in paper and pulp processing</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 xml:space="preserve">Potassium </w:t>
            </w:r>
            <w:proofErr w:type="spellStart"/>
            <w:r>
              <w:rPr>
                <w:b w:val="0"/>
                <w:color w:val="000000" w:themeColor="text1"/>
                <w:sz w:val="20"/>
              </w:rPr>
              <w:t>perchlorate</w:t>
            </w:r>
            <w:proofErr w:type="spellEnd"/>
          </w:p>
        </w:tc>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Used in medication for hyperthyroidism</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 xml:space="preserve">Ammonium </w:t>
            </w:r>
            <w:proofErr w:type="spellStart"/>
            <w:r>
              <w:rPr>
                <w:b w:val="0"/>
                <w:color w:val="000000" w:themeColor="text1"/>
                <w:sz w:val="20"/>
              </w:rPr>
              <w:t>perchlorate</w:t>
            </w:r>
            <w:proofErr w:type="spellEnd"/>
          </w:p>
        </w:tc>
        <w:tc>
          <w:tcPr>
            <w:tcW w:w="4927" w:type="dxa"/>
            <w:vAlign w:val="center"/>
          </w:tcPr>
          <w:p w:rsidR="00C54B9E" w:rsidRDefault="003766FD" w:rsidP="00C54B9E">
            <w:pPr>
              <w:pStyle w:val="BodyText2"/>
              <w:spacing w:line="269" w:lineRule="auto"/>
              <w:rPr>
                <w:b w:val="0"/>
                <w:color w:val="000000" w:themeColor="text1"/>
                <w:sz w:val="20"/>
              </w:rPr>
            </w:pPr>
            <w:r>
              <w:rPr>
                <w:b w:val="0"/>
                <w:color w:val="000000" w:themeColor="text1"/>
                <w:sz w:val="20"/>
              </w:rPr>
              <w:t>Fireworks</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Sodium nitrate</w:t>
            </w:r>
          </w:p>
        </w:tc>
        <w:tc>
          <w:tcPr>
            <w:tcW w:w="4927" w:type="dxa"/>
            <w:vAlign w:val="center"/>
          </w:tcPr>
          <w:p w:rsidR="00C54B9E" w:rsidRDefault="003766FD" w:rsidP="00C54B9E">
            <w:pPr>
              <w:pStyle w:val="BodyText2"/>
              <w:spacing w:line="269" w:lineRule="auto"/>
              <w:rPr>
                <w:b w:val="0"/>
                <w:color w:val="000000" w:themeColor="text1"/>
                <w:sz w:val="20"/>
              </w:rPr>
            </w:pPr>
            <w:r>
              <w:rPr>
                <w:b w:val="0"/>
                <w:color w:val="000000" w:themeColor="text1"/>
                <w:sz w:val="20"/>
              </w:rPr>
              <w:t>Glass manufacture; food preservative</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Potassium nitrate</w:t>
            </w:r>
          </w:p>
        </w:tc>
        <w:tc>
          <w:tcPr>
            <w:tcW w:w="4927" w:type="dxa"/>
            <w:vAlign w:val="center"/>
          </w:tcPr>
          <w:p w:rsidR="00C54B9E" w:rsidRDefault="003766FD" w:rsidP="00C54B9E">
            <w:pPr>
              <w:pStyle w:val="BodyText2"/>
              <w:spacing w:line="269" w:lineRule="auto"/>
              <w:rPr>
                <w:b w:val="0"/>
                <w:color w:val="000000" w:themeColor="text1"/>
                <w:sz w:val="20"/>
              </w:rPr>
            </w:pPr>
            <w:r>
              <w:rPr>
                <w:b w:val="0"/>
                <w:color w:val="000000" w:themeColor="text1"/>
                <w:sz w:val="20"/>
              </w:rPr>
              <w:t>Used in toothpaste for sensitive teeth</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proofErr w:type="spellStart"/>
            <w:r>
              <w:rPr>
                <w:b w:val="0"/>
                <w:color w:val="000000" w:themeColor="text1"/>
                <w:sz w:val="20"/>
              </w:rPr>
              <w:t>Nitromethane</w:t>
            </w:r>
            <w:proofErr w:type="spellEnd"/>
          </w:p>
        </w:tc>
        <w:tc>
          <w:tcPr>
            <w:tcW w:w="4927" w:type="dxa"/>
            <w:vAlign w:val="center"/>
          </w:tcPr>
          <w:p w:rsidR="00C54B9E" w:rsidRDefault="003766FD" w:rsidP="00C54B9E">
            <w:pPr>
              <w:pStyle w:val="BodyText2"/>
              <w:spacing w:line="269" w:lineRule="auto"/>
              <w:rPr>
                <w:b w:val="0"/>
                <w:color w:val="000000" w:themeColor="text1"/>
                <w:sz w:val="20"/>
              </w:rPr>
            </w:pPr>
            <w:r>
              <w:rPr>
                <w:b w:val="0"/>
                <w:color w:val="000000" w:themeColor="text1"/>
                <w:sz w:val="20"/>
              </w:rPr>
              <w:t>Pharmaceuticals; pesticides; drag car racing</w:t>
            </w:r>
          </w:p>
        </w:tc>
      </w:tr>
      <w:tr w:rsidR="00C54B9E" w:rsidTr="00F6057F">
        <w:trPr>
          <w:trHeight w:val="516"/>
        </w:trPr>
        <w:tc>
          <w:tcPr>
            <w:tcW w:w="4927" w:type="dxa"/>
            <w:vAlign w:val="center"/>
          </w:tcPr>
          <w:p w:rsidR="00C54B9E" w:rsidRDefault="00C54B9E" w:rsidP="00C54B9E">
            <w:pPr>
              <w:pStyle w:val="BodyText2"/>
              <w:spacing w:line="269" w:lineRule="auto"/>
              <w:rPr>
                <w:b w:val="0"/>
                <w:color w:val="000000" w:themeColor="text1"/>
                <w:sz w:val="20"/>
              </w:rPr>
            </w:pPr>
            <w:r>
              <w:rPr>
                <w:b w:val="0"/>
                <w:color w:val="000000" w:themeColor="text1"/>
                <w:sz w:val="20"/>
              </w:rPr>
              <w:t xml:space="preserve">Sodium </w:t>
            </w:r>
            <w:proofErr w:type="spellStart"/>
            <w:r>
              <w:rPr>
                <w:b w:val="0"/>
                <w:color w:val="000000" w:themeColor="text1"/>
                <w:sz w:val="20"/>
              </w:rPr>
              <w:t>azide</w:t>
            </w:r>
            <w:proofErr w:type="spellEnd"/>
          </w:p>
        </w:tc>
        <w:tc>
          <w:tcPr>
            <w:tcW w:w="4927" w:type="dxa"/>
            <w:vAlign w:val="center"/>
          </w:tcPr>
          <w:p w:rsidR="00C54B9E" w:rsidRDefault="003766FD" w:rsidP="00C54B9E">
            <w:pPr>
              <w:pStyle w:val="BodyText2"/>
              <w:spacing w:line="269" w:lineRule="auto"/>
              <w:rPr>
                <w:b w:val="0"/>
                <w:color w:val="000000" w:themeColor="text1"/>
                <w:sz w:val="20"/>
              </w:rPr>
            </w:pPr>
            <w:r>
              <w:rPr>
                <w:b w:val="0"/>
                <w:color w:val="000000" w:themeColor="text1"/>
                <w:sz w:val="20"/>
              </w:rPr>
              <w:t>Used in detonation of car air-bags during a crash</w:t>
            </w:r>
          </w:p>
        </w:tc>
      </w:tr>
    </w:tbl>
    <w:p w:rsidR="003479E1" w:rsidRPr="00F6057F" w:rsidRDefault="003479E1" w:rsidP="00F6057F">
      <w:pPr>
        <w:rPr>
          <w:rFonts w:ascii="Arial" w:eastAsia="Times New Roman" w:hAnsi="Arial" w:cs="Arial"/>
          <w:bCs/>
          <w:color w:val="000000" w:themeColor="text1"/>
          <w:sz w:val="16"/>
          <w:szCs w:val="16"/>
        </w:rPr>
      </w:pPr>
      <w:r w:rsidRPr="00F6057F">
        <w:rPr>
          <w:rFonts w:ascii="Arial" w:hAnsi="Arial" w:cs="Arial"/>
          <w:b/>
          <w:color w:val="000000" w:themeColor="text1"/>
          <w:sz w:val="16"/>
          <w:szCs w:val="16"/>
        </w:rPr>
        <w:br w:type="page"/>
      </w:r>
    </w:p>
    <w:p w:rsidR="003479E1" w:rsidRPr="00F6057F" w:rsidRDefault="003479E1" w:rsidP="003479E1">
      <w:pPr>
        <w:pStyle w:val="ATAHeading2"/>
        <w:ind w:left="851" w:hanging="851"/>
      </w:pPr>
      <w:bookmarkStart w:id="6" w:name="_Toc321401434"/>
      <w:r w:rsidRPr="00F6057F">
        <w:lastRenderedPageBreak/>
        <w:t>Potential solutions</w:t>
      </w:r>
      <w:bookmarkEnd w:id="6"/>
    </w:p>
    <w:p w:rsidR="00F96282" w:rsidRDefault="00F96282" w:rsidP="00F96282">
      <w:pPr>
        <w:pStyle w:val="BodyText2"/>
        <w:spacing w:line="269" w:lineRule="auto"/>
        <w:rPr>
          <w:b w:val="0"/>
          <w:color w:val="000000" w:themeColor="text1"/>
          <w:sz w:val="20"/>
        </w:rPr>
      </w:pPr>
      <w:r w:rsidRPr="00CD7D50">
        <w:rPr>
          <w:b w:val="0"/>
          <w:color w:val="000000" w:themeColor="text1"/>
          <w:sz w:val="20"/>
        </w:rPr>
        <w:t xml:space="preserve">The Federal Government can be used as a way of </w:t>
      </w:r>
      <w:r>
        <w:rPr>
          <w:b w:val="0"/>
          <w:color w:val="000000" w:themeColor="text1"/>
          <w:sz w:val="20"/>
        </w:rPr>
        <w:t>streamlining</w:t>
      </w:r>
      <w:r w:rsidRPr="00CD7D50">
        <w:rPr>
          <w:b w:val="0"/>
          <w:color w:val="000000" w:themeColor="text1"/>
          <w:sz w:val="20"/>
        </w:rPr>
        <w:t xml:space="preserve"> the handling of chemicals of security concern. By adopting a government code of practice, where industry has significant input into the requirements of the code, all industries involved in the use of these chemicals will be acting in unison, following a uniform set of guidelines to ensure the security of chemicals is maintained to the highest level.</w:t>
      </w:r>
    </w:p>
    <w:p w:rsidR="00F96282" w:rsidRDefault="00F96282" w:rsidP="00F96282">
      <w:pPr>
        <w:rPr>
          <w:rFonts w:ascii="Arial" w:eastAsia="Times New Roman" w:hAnsi="Arial" w:cs="Arial"/>
          <w:bCs/>
          <w:color w:val="000000" w:themeColor="text1"/>
          <w:sz w:val="20"/>
          <w:szCs w:val="20"/>
        </w:rPr>
      </w:pPr>
    </w:p>
    <w:p w:rsidR="003766FD" w:rsidRDefault="003766FD" w:rsidP="00CD7D50">
      <w:pPr>
        <w:pStyle w:val="BodyText2"/>
        <w:spacing w:line="269" w:lineRule="auto"/>
        <w:rPr>
          <w:b w:val="0"/>
          <w:color w:val="000000" w:themeColor="text1"/>
          <w:sz w:val="20"/>
        </w:rPr>
      </w:pPr>
      <w:r>
        <w:rPr>
          <w:b w:val="0"/>
          <w:color w:val="000000" w:themeColor="text1"/>
          <w:sz w:val="20"/>
        </w:rPr>
        <w:t xml:space="preserve">The ATA is supportive of a code that has enforceable penalties for non-compliance. Previous codes in the transport sector have proven fallible, with the best operators who work hard to achieve compliance losing </w:t>
      </w:r>
      <w:r w:rsidR="00E37998">
        <w:rPr>
          <w:b w:val="0"/>
          <w:color w:val="000000" w:themeColor="text1"/>
          <w:sz w:val="20"/>
        </w:rPr>
        <w:t xml:space="preserve">out </w:t>
      </w:r>
      <w:r>
        <w:rPr>
          <w:b w:val="0"/>
          <w:color w:val="000000" w:themeColor="text1"/>
          <w:sz w:val="20"/>
        </w:rPr>
        <w:t>financially to operators who have little interest in compliance, and who therefore receive an unfair commercial advantage. We understand this may not be the view of other sectors who are involved with chemicals of security concern</w:t>
      </w:r>
      <w:r w:rsidR="00D21236">
        <w:rPr>
          <w:b w:val="0"/>
          <w:color w:val="000000" w:themeColor="text1"/>
          <w:sz w:val="20"/>
        </w:rPr>
        <w:t>. I</w:t>
      </w:r>
      <w:r>
        <w:rPr>
          <w:b w:val="0"/>
          <w:color w:val="000000" w:themeColor="text1"/>
          <w:sz w:val="20"/>
        </w:rPr>
        <w:t xml:space="preserve">t should be </w:t>
      </w:r>
      <w:r w:rsidR="00D21236">
        <w:rPr>
          <w:b w:val="0"/>
          <w:color w:val="000000" w:themeColor="text1"/>
          <w:sz w:val="20"/>
        </w:rPr>
        <w:t>remembered</w:t>
      </w:r>
      <w:r>
        <w:rPr>
          <w:b w:val="0"/>
          <w:color w:val="000000" w:themeColor="text1"/>
          <w:sz w:val="20"/>
        </w:rPr>
        <w:t xml:space="preserve"> there is little risk of penalty if compliance is maintained.</w:t>
      </w:r>
    </w:p>
    <w:p w:rsidR="00046EB1" w:rsidRDefault="00046EB1" w:rsidP="00CD7D50">
      <w:pPr>
        <w:pStyle w:val="BodyText2"/>
        <w:spacing w:line="269" w:lineRule="auto"/>
        <w:rPr>
          <w:b w:val="0"/>
          <w:color w:val="000000" w:themeColor="text1"/>
          <w:sz w:val="20"/>
        </w:rPr>
      </w:pPr>
    </w:p>
    <w:p w:rsidR="00046EB1" w:rsidRDefault="00046EB1" w:rsidP="00046EB1">
      <w:pPr>
        <w:pStyle w:val="BodyText2"/>
        <w:spacing w:line="269" w:lineRule="auto"/>
        <w:rPr>
          <w:b w:val="0"/>
          <w:color w:val="000000" w:themeColor="text1"/>
          <w:sz w:val="20"/>
        </w:rPr>
      </w:pPr>
      <w:r>
        <w:rPr>
          <w:b w:val="0"/>
          <w:color w:val="000000" w:themeColor="text1"/>
          <w:sz w:val="20"/>
        </w:rPr>
        <w:t>The ATA has been advised by its members that initiatives are already in place in most trucking businesses that move chemical freight to ensure security of the freight. This may include employee checks (such as police and ASI</w:t>
      </w:r>
      <w:r w:rsidR="00FF71F6">
        <w:rPr>
          <w:b w:val="0"/>
          <w:color w:val="000000" w:themeColor="text1"/>
          <w:sz w:val="20"/>
        </w:rPr>
        <w:t>O</w:t>
      </w:r>
      <w:r>
        <w:rPr>
          <w:b w:val="0"/>
          <w:color w:val="000000" w:themeColor="text1"/>
          <w:sz w:val="20"/>
        </w:rPr>
        <w:t xml:space="preserve"> checks), monitoring of freight en route, and site security if freight is stored at a depot. Many of these initiatives could be included in a code to ensure best practice is being adopted by companies that are involved in moving chemical freight.</w:t>
      </w:r>
    </w:p>
    <w:p w:rsidR="000C53DD" w:rsidRPr="003766FD" w:rsidRDefault="000C53DD" w:rsidP="000C53DD">
      <w:pPr>
        <w:pStyle w:val="RecommendationStyle"/>
        <w:tabs>
          <w:tab w:val="clear" w:pos="57"/>
        </w:tabs>
        <w:rPr>
          <w:color w:val="000000" w:themeColor="text1"/>
        </w:rPr>
      </w:pPr>
      <w:bookmarkStart w:id="7" w:name="_Toc321401033"/>
      <w:bookmarkStart w:id="8" w:name="_Toc321401222"/>
      <w:bookmarkEnd w:id="7"/>
      <w:bookmarkEnd w:id="8"/>
    </w:p>
    <w:p w:rsidR="000C53DD" w:rsidRPr="003766FD" w:rsidRDefault="000C53DD" w:rsidP="000C53DD">
      <w:pPr>
        <w:pStyle w:val="RecommendationStyle2"/>
        <w:spacing w:line="269" w:lineRule="auto"/>
        <w:jc w:val="left"/>
        <w:rPr>
          <w:color w:val="000000" w:themeColor="text1"/>
        </w:rPr>
      </w:pPr>
      <w:bookmarkStart w:id="9" w:name="_Toc321149943"/>
      <w:bookmarkStart w:id="10" w:name="_Toc321150591"/>
      <w:bookmarkStart w:id="11" w:name="_Toc321210292"/>
      <w:bookmarkStart w:id="12" w:name="_Toc321210333"/>
      <w:bookmarkStart w:id="13" w:name="_Toc321211047"/>
      <w:bookmarkStart w:id="14" w:name="_Toc321215476"/>
      <w:bookmarkStart w:id="15" w:name="_Toc321401034"/>
      <w:bookmarkStart w:id="16" w:name="_Toc321401223"/>
      <w:r w:rsidRPr="003766FD">
        <w:rPr>
          <w:color w:val="000000" w:themeColor="text1"/>
        </w:rPr>
        <w:t xml:space="preserve">The ATA recommends the Attorney-General’s Department adopt a blend of Options 2 and 3, </w:t>
      </w:r>
      <w:r>
        <w:rPr>
          <w:color w:val="000000" w:themeColor="text1"/>
        </w:rPr>
        <w:t>so</w:t>
      </w:r>
      <w:r w:rsidRPr="003766FD">
        <w:rPr>
          <w:color w:val="000000" w:themeColor="text1"/>
        </w:rPr>
        <w:t xml:space="preserve"> all relevant industries have strong input into the development of an enforceable </w:t>
      </w:r>
      <w:r>
        <w:rPr>
          <w:color w:val="000000" w:themeColor="text1"/>
        </w:rPr>
        <w:t xml:space="preserve">government </w:t>
      </w:r>
      <w:r w:rsidRPr="003766FD">
        <w:rPr>
          <w:color w:val="000000" w:themeColor="text1"/>
        </w:rPr>
        <w:t>code.</w:t>
      </w:r>
      <w:bookmarkEnd w:id="9"/>
      <w:bookmarkEnd w:id="10"/>
      <w:bookmarkEnd w:id="11"/>
      <w:bookmarkEnd w:id="12"/>
      <w:bookmarkEnd w:id="13"/>
      <w:bookmarkEnd w:id="14"/>
      <w:bookmarkEnd w:id="15"/>
      <w:bookmarkEnd w:id="16"/>
    </w:p>
    <w:p w:rsidR="000C53DD" w:rsidRPr="003766FD" w:rsidRDefault="000C53DD" w:rsidP="000C53DD">
      <w:pPr>
        <w:pStyle w:val="RecommendationStyle"/>
        <w:tabs>
          <w:tab w:val="clear" w:pos="57"/>
        </w:tabs>
        <w:rPr>
          <w:color w:val="000000" w:themeColor="text1"/>
        </w:rPr>
      </w:pPr>
      <w:bookmarkStart w:id="17" w:name="_Toc321210293"/>
      <w:bookmarkStart w:id="18" w:name="_Toc321210334"/>
      <w:bookmarkStart w:id="19" w:name="_Toc321211048"/>
      <w:bookmarkStart w:id="20" w:name="_Toc321215477"/>
      <w:bookmarkStart w:id="21" w:name="_Toc321401035"/>
      <w:bookmarkStart w:id="22" w:name="_Toc321401224"/>
      <w:bookmarkEnd w:id="17"/>
      <w:bookmarkEnd w:id="18"/>
      <w:bookmarkEnd w:id="19"/>
      <w:bookmarkEnd w:id="20"/>
      <w:bookmarkEnd w:id="21"/>
      <w:bookmarkEnd w:id="22"/>
    </w:p>
    <w:p w:rsidR="000C53DD" w:rsidRDefault="000C53DD" w:rsidP="000C53DD">
      <w:pPr>
        <w:pStyle w:val="RecommendationStyle2"/>
        <w:spacing w:line="269" w:lineRule="auto"/>
        <w:jc w:val="left"/>
        <w:rPr>
          <w:color w:val="000000" w:themeColor="text1"/>
        </w:rPr>
      </w:pPr>
      <w:bookmarkStart w:id="23" w:name="_Toc321149945"/>
      <w:bookmarkStart w:id="24" w:name="_Toc321150593"/>
      <w:bookmarkStart w:id="25" w:name="_Toc321210294"/>
      <w:bookmarkStart w:id="26" w:name="_Toc321210335"/>
      <w:bookmarkStart w:id="27" w:name="_Toc321211049"/>
      <w:bookmarkStart w:id="28" w:name="_Toc321215478"/>
      <w:bookmarkStart w:id="29" w:name="_Toc321401036"/>
      <w:bookmarkStart w:id="30" w:name="_Toc321401225"/>
      <w:r w:rsidRPr="003766FD">
        <w:rPr>
          <w:color w:val="000000" w:themeColor="text1"/>
        </w:rPr>
        <w:t xml:space="preserve">The ATA recommends the transportation of chemicals is identified as a section within the new code, to minimise the risk of transport companies being required to comply with multiple </w:t>
      </w:r>
      <w:r>
        <w:rPr>
          <w:color w:val="000000" w:themeColor="text1"/>
        </w:rPr>
        <w:t>site requirements</w:t>
      </w:r>
      <w:r w:rsidRPr="003766FD">
        <w:rPr>
          <w:color w:val="000000" w:themeColor="text1"/>
        </w:rPr>
        <w:t xml:space="preserve"> across multiple industry sectors in relation to chemicals of security concern.</w:t>
      </w:r>
      <w:bookmarkEnd w:id="23"/>
      <w:bookmarkEnd w:id="24"/>
      <w:bookmarkEnd w:id="25"/>
      <w:bookmarkEnd w:id="26"/>
      <w:bookmarkEnd w:id="27"/>
      <w:bookmarkEnd w:id="28"/>
      <w:bookmarkEnd w:id="29"/>
      <w:bookmarkEnd w:id="30"/>
    </w:p>
    <w:p w:rsidR="000C53DD" w:rsidRDefault="000C53DD" w:rsidP="00046EB1">
      <w:pPr>
        <w:pStyle w:val="BodyText2"/>
        <w:spacing w:line="269" w:lineRule="auto"/>
        <w:rPr>
          <w:b w:val="0"/>
          <w:color w:val="000000" w:themeColor="text1"/>
          <w:sz w:val="20"/>
        </w:rPr>
      </w:pPr>
    </w:p>
    <w:p w:rsidR="000C53DD" w:rsidRDefault="000C53DD" w:rsidP="000C53DD">
      <w:pPr>
        <w:pStyle w:val="BodyText2"/>
        <w:spacing w:line="264" w:lineRule="auto"/>
        <w:rPr>
          <w:b w:val="0"/>
          <w:bCs w:val="0"/>
          <w:color w:val="000000"/>
          <w:sz w:val="20"/>
        </w:rPr>
      </w:pPr>
      <w:r>
        <w:rPr>
          <w:b w:val="0"/>
          <w:bCs w:val="0"/>
          <w:color w:val="000000"/>
          <w:sz w:val="20"/>
        </w:rPr>
        <w:t>It is important that in order to prevent duplication of process, applications for security cards and licences is streamlined. Currently, an applicant seeking a Maritime Security Identification Card (MSIC) is required to complete a police check and an ASIO check. If that applicant then wishes to apply for an Unsupervised Handling Licence (UHL), the same checks need to be undertaken again, which means increased cost to industry, and duplication in terms of the type of checks being undertaken. Further, if the applicant then wishes to obtain an Airport Security Identification Card, the full process must be undertaken a third time.</w:t>
      </w:r>
    </w:p>
    <w:p w:rsidR="000C53DD" w:rsidRDefault="000C53DD" w:rsidP="000C53DD">
      <w:pPr>
        <w:pStyle w:val="BodyText2"/>
        <w:spacing w:line="264" w:lineRule="auto"/>
        <w:rPr>
          <w:b w:val="0"/>
          <w:bCs w:val="0"/>
          <w:color w:val="000000"/>
          <w:sz w:val="20"/>
        </w:rPr>
      </w:pPr>
    </w:p>
    <w:p w:rsidR="000C53DD" w:rsidRDefault="000C53DD" w:rsidP="000C53DD">
      <w:pPr>
        <w:pStyle w:val="BodyText2"/>
        <w:spacing w:line="264" w:lineRule="auto"/>
        <w:rPr>
          <w:b w:val="0"/>
          <w:bCs w:val="0"/>
          <w:color w:val="000000"/>
          <w:sz w:val="20"/>
        </w:rPr>
      </w:pPr>
      <w:r>
        <w:rPr>
          <w:b w:val="0"/>
          <w:bCs w:val="0"/>
          <w:color w:val="000000"/>
          <w:sz w:val="20"/>
        </w:rPr>
        <w:t xml:space="preserve">This is inefficient and a waste of our government resources. Instead, the parameters surrounding the types of checks undertaken should be integrated into one check, with the one security identification card providing clearance for all the relevant sectors. This means, one card for MSIC, UHL, ASIC (airports), dangerous goods (although would not replace the dangerous goods licence issued by state </w:t>
      </w:r>
      <w:proofErr w:type="spellStart"/>
      <w:r>
        <w:rPr>
          <w:b w:val="0"/>
          <w:bCs w:val="0"/>
          <w:color w:val="000000"/>
          <w:sz w:val="20"/>
        </w:rPr>
        <w:t>WorkCover</w:t>
      </w:r>
      <w:proofErr w:type="spellEnd"/>
      <w:r>
        <w:rPr>
          <w:b w:val="0"/>
          <w:bCs w:val="0"/>
          <w:color w:val="000000"/>
          <w:sz w:val="20"/>
        </w:rPr>
        <w:t xml:space="preserve"> authorities, as additional nationally recognised training is required) and chemicals of security concern.</w:t>
      </w:r>
    </w:p>
    <w:p w:rsidR="000C53DD" w:rsidRDefault="000C53DD" w:rsidP="000C53DD">
      <w:pPr>
        <w:pStyle w:val="BodyText2"/>
        <w:spacing w:line="264" w:lineRule="auto"/>
        <w:rPr>
          <w:b w:val="0"/>
          <w:bCs w:val="0"/>
          <w:color w:val="000000"/>
          <w:sz w:val="20"/>
        </w:rPr>
      </w:pPr>
    </w:p>
    <w:p w:rsidR="000C53DD" w:rsidRDefault="000C53DD" w:rsidP="000C53DD">
      <w:pPr>
        <w:pStyle w:val="BodyText2"/>
        <w:spacing w:line="264" w:lineRule="auto"/>
        <w:rPr>
          <w:b w:val="0"/>
          <w:bCs w:val="0"/>
          <w:color w:val="000000"/>
          <w:sz w:val="20"/>
        </w:rPr>
      </w:pPr>
      <w:r>
        <w:rPr>
          <w:b w:val="0"/>
          <w:bCs w:val="0"/>
          <w:color w:val="000000"/>
          <w:sz w:val="20"/>
        </w:rPr>
        <w:t>The various security checks and licences required by employees to handle chemicals and explosives could be streamlined and integrated into one check. Presently, the requirements for UHL checks are different in each jurisdiction. This needs to be addressed, to ensure consistency between jurisdictions and the most efficient, secure check is being conducted. This prevents applicants from applying in a jurisdiction that has low levels of checks or none at all. It is essential when addressing security concerns that COAG’s directive of national harmonisation be addressed.</w:t>
      </w:r>
    </w:p>
    <w:p w:rsidR="00904795" w:rsidRDefault="00904795" w:rsidP="000C53DD">
      <w:pPr>
        <w:pStyle w:val="BodyText2"/>
        <w:spacing w:line="264" w:lineRule="auto"/>
        <w:rPr>
          <w:b w:val="0"/>
          <w:bCs w:val="0"/>
          <w:color w:val="000000"/>
          <w:sz w:val="20"/>
        </w:rPr>
      </w:pPr>
    </w:p>
    <w:p w:rsidR="00904795" w:rsidRDefault="00904795" w:rsidP="000C53DD">
      <w:pPr>
        <w:pStyle w:val="BodyText2"/>
        <w:spacing w:line="264" w:lineRule="auto"/>
        <w:rPr>
          <w:b w:val="0"/>
          <w:bCs w:val="0"/>
          <w:color w:val="000000"/>
          <w:sz w:val="20"/>
        </w:rPr>
      </w:pPr>
      <w:r>
        <w:rPr>
          <w:b w:val="0"/>
          <w:bCs w:val="0"/>
          <w:color w:val="000000"/>
          <w:sz w:val="20"/>
        </w:rPr>
        <w:t xml:space="preserve">The security checks should specifically relate to potential terrorist or criminal activity in relation to the chemicals, and should not seek to punish individuals with a criminal history or some unrelated objective. The ATA has previously made submissions to government arguing that the range of offences covered by the MSIC and ASIC regimes is too </w:t>
      </w:r>
      <w:proofErr w:type="spellStart"/>
      <w:r>
        <w:rPr>
          <w:b w:val="0"/>
          <w:bCs w:val="0"/>
          <w:color w:val="000000"/>
          <w:sz w:val="20"/>
        </w:rPr>
        <w:t>extensive</w:t>
      </w:r>
      <w:proofErr w:type="spellEnd"/>
      <w:r>
        <w:rPr>
          <w:b w:val="0"/>
          <w:bCs w:val="0"/>
          <w:color w:val="000000"/>
          <w:sz w:val="20"/>
        </w:rPr>
        <w:t xml:space="preserve"> for any useful purpose, and simply punishes people who ran off the rails early in life.</w:t>
      </w:r>
    </w:p>
    <w:p w:rsidR="00904795" w:rsidRDefault="00904795">
      <w:pPr>
        <w:rPr>
          <w:rFonts w:ascii="Arial" w:eastAsia="Times New Roman" w:hAnsi="Arial" w:cs="Arial"/>
          <w:color w:val="000000"/>
          <w:sz w:val="20"/>
          <w:szCs w:val="20"/>
        </w:rPr>
      </w:pPr>
      <w:r>
        <w:rPr>
          <w:b/>
          <w:bCs/>
          <w:color w:val="000000"/>
          <w:sz w:val="20"/>
        </w:rPr>
        <w:br w:type="page"/>
      </w:r>
    </w:p>
    <w:p w:rsidR="003479E1" w:rsidRPr="00F10FC8" w:rsidRDefault="003479E1" w:rsidP="003479E1">
      <w:pPr>
        <w:pStyle w:val="RecommendationStyle"/>
        <w:tabs>
          <w:tab w:val="clear" w:pos="57"/>
        </w:tabs>
        <w:rPr>
          <w:color w:val="000000" w:themeColor="text1"/>
        </w:rPr>
      </w:pPr>
      <w:bookmarkStart w:id="31" w:name="_Toc321210291"/>
      <w:bookmarkStart w:id="32" w:name="_Toc321210332"/>
      <w:bookmarkStart w:id="33" w:name="_Toc321211046"/>
      <w:bookmarkStart w:id="34" w:name="_Toc321215475"/>
      <w:bookmarkStart w:id="35" w:name="_Toc321401037"/>
      <w:bookmarkStart w:id="36" w:name="_Toc321401226"/>
      <w:bookmarkEnd w:id="31"/>
      <w:bookmarkEnd w:id="32"/>
      <w:bookmarkEnd w:id="33"/>
      <w:bookmarkEnd w:id="34"/>
      <w:bookmarkEnd w:id="35"/>
      <w:bookmarkEnd w:id="36"/>
    </w:p>
    <w:p w:rsidR="003479E1" w:rsidRPr="00F10FC8" w:rsidRDefault="003479E1" w:rsidP="003479E1">
      <w:pPr>
        <w:pStyle w:val="RecommendationStyle2"/>
        <w:spacing w:line="269" w:lineRule="auto"/>
        <w:jc w:val="left"/>
        <w:rPr>
          <w:color w:val="000000" w:themeColor="text1"/>
        </w:rPr>
      </w:pPr>
      <w:bookmarkStart w:id="37" w:name="_Toc321401038"/>
      <w:bookmarkStart w:id="38" w:name="_Toc321401227"/>
      <w:r w:rsidRPr="00F10FC8">
        <w:rPr>
          <w:color w:val="000000" w:themeColor="text1"/>
        </w:rPr>
        <w:t xml:space="preserve">The ATA recommends the requirements for security checks be streamlined into a one-check process, with one identification card provided to an applicant, which is presentable at any of the areas where such a card may be required (for example, ports or airports). </w:t>
      </w:r>
      <w:r w:rsidR="00904795">
        <w:rPr>
          <w:color w:val="000000" w:themeColor="text1"/>
        </w:rPr>
        <w:t xml:space="preserve">The criminal offence covered by the check should be pared back to those that genuinely create security risks. </w:t>
      </w:r>
      <w:r w:rsidRPr="00F10FC8">
        <w:rPr>
          <w:color w:val="000000" w:themeColor="text1"/>
        </w:rPr>
        <w:t xml:space="preserve">Further, the proposed Code of Practice </w:t>
      </w:r>
      <w:r w:rsidR="00904795">
        <w:rPr>
          <w:color w:val="000000" w:themeColor="text1"/>
        </w:rPr>
        <w:t xml:space="preserve">should </w:t>
      </w:r>
      <w:r w:rsidRPr="00F10FC8">
        <w:rPr>
          <w:color w:val="000000" w:themeColor="text1"/>
        </w:rPr>
        <w:t>identif</w:t>
      </w:r>
      <w:r w:rsidR="00904795">
        <w:rPr>
          <w:color w:val="000000" w:themeColor="text1"/>
        </w:rPr>
        <w:t>y</w:t>
      </w:r>
      <w:r w:rsidRPr="00F10FC8">
        <w:rPr>
          <w:color w:val="000000" w:themeColor="text1"/>
        </w:rPr>
        <w:t xml:space="preserve"> the type of training and topics required to be covered for employees to ensure uniformity across the nation.</w:t>
      </w:r>
      <w:bookmarkEnd w:id="37"/>
      <w:bookmarkEnd w:id="38"/>
    </w:p>
    <w:p w:rsidR="003479E1" w:rsidRPr="003479E1" w:rsidRDefault="003479E1" w:rsidP="003479E1">
      <w:pPr>
        <w:pStyle w:val="BodyText2"/>
        <w:spacing w:line="264" w:lineRule="auto"/>
        <w:rPr>
          <w:b w:val="0"/>
          <w:bCs w:val="0"/>
          <w:color w:val="000000"/>
          <w:sz w:val="20"/>
        </w:rPr>
      </w:pPr>
    </w:p>
    <w:p w:rsidR="00857D4F" w:rsidRDefault="00F10FC8" w:rsidP="00CD7D50">
      <w:pPr>
        <w:pStyle w:val="BodyText2"/>
        <w:spacing w:line="269" w:lineRule="auto"/>
        <w:rPr>
          <w:b w:val="0"/>
          <w:color w:val="000000" w:themeColor="text1"/>
          <w:sz w:val="20"/>
        </w:rPr>
      </w:pPr>
      <w:r>
        <w:rPr>
          <w:b w:val="0"/>
          <w:color w:val="000000" w:themeColor="text1"/>
          <w:sz w:val="20"/>
        </w:rPr>
        <w:t>An</w:t>
      </w:r>
      <w:r w:rsidR="007D6A0A">
        <w:rPr>
          <w:b w:val="0"/>
          <w:color w:val="000000" w:themeColor="text1"/>
          <w:sz w:val="20"/>
        </w:rPr>
        <w:t xml:space="preserve"> area that causes </w:t>
      </w:r>
      <w:r>
        <w:rPr>
          <w:b w:val="0"/>
          <w:color w:val="000000" w:themeColor="text1"/>
          <w:sz w:val="20"/>
        </w:rPr>
        <w:t>the</w:t>
      </w:r>
      <w:r w:rsidR="007D6A0A">
        <w:rPr>
          <w:b w:val="0"/>
          <w:color w:val="000000" w:themeColor="text1"/>
          <w:sz w:val="20"/>
        </w:rPr>
        <w:t xml:space="preserve"> most concern is the courier and taxi truck sector. This division within transport may often transport chemicals in small amounts, individually packaged, and potentially have a higher level of risk in terms of theft or diversion of chemicals. Often, the driver of the smaller delivery vehicle may be completely unaware of the</w:t>
      </w:r>
      <w:r w:rsidR="00857D4F">
        <w:rPr>
          <w:b w:val="0"/>
          <w:color w:val="000000" w:themeColor="text1"/>
          <w:sz w:val="20"/>
        </w:rPr>
        <w:t xml:space="preserve"> ty</w:t>
      </w:r>
      <w:r w:rsidR="00677114">
        <w:rPr>
          <w:b w:val="0"/>
          <w:color w:val="000000" w:themeColor="text1"/>
          <w:sz w:val="20"/>
        </w:rPr>
        <w:t>pe of freight being carried</w:t>
      </w:r>
      <w:r w:rsidR="00E37998">
        <w:rPr>
          <w:b w:val="0"/>
          <w:color w:val="000000" w:themeColor="text1"/>
          <w:sz w:val="20"/>
        </w:rPr>
        <w:t>, and probably hasn’t completed any dangerous goods training</w:t>
      </w:r>
      <w:r w:rsidR="00677114">
        <w:rPr>
          <w:b w:val="0"/>
          <w:color w:val="000000" w:themeColor="text1"/>
          <w:sz w:val="20"/>
        </w:rPr>
        <w:t xml:space="preserve">. We </w:t>
      </w:r>
      <w:r w:rsidR="00857D4F">
        <w:rPr>
          <w:b w:val="0"/>
          <w:color w:val="000000" w:themeColor="text1"/>
          <w:sz w:val="20"/>
        </w:rPr>
        <w:t xml:space="preserve">are unsure how to </w:t>
      </w:r>
      <w:r w:rsidR="00D21236">
        <w:rPr>
          <w:b w:val="0"/>
          <w:color w:val="000000" w:themeColor="text1"/>
          <w:sz w:val="20"/>
        </w:rPr>
        <w:t xml:space="preserve">best </w:t>
      </w:r>
      <w:r w:rsidR="00857D4F">
        <w:rPr>
          <w:b w:val="0"/>
          <w:color w:val="000000" w:themeColor="text1"/>
          <w:sz w:val="20"/>
        </w:rPr>
        <w:t>address this concern.</w:t>
      </w:r>
    </w:p>
    <w:p w:rsidR="00046EB1" w:rsidRPr="003766FD" w:rsidRDefault="00046EB1" w:rsidP="00046EB1">
      <w:pPr>
        <w:pStyle w:val="RecommendationStyle"/>
        <w:tabs>
          <w:tab w:val="clear" w:pos="57"/>
        </w:tabs>
        <w:rPr>
          <w:color w:val="000000" w:themeColor="text1"/>
        </w:rPr>
      </w:pPr>
      <w:bookmarkStart w:id="39" w:name="_Toc321210295"/>
      <w:bookmarkStart w:id="40" w:name="_Toc321210336"/>
      <w:bookmarkStart w:id="41" w:name="_Toc321211050"/>
      <w:bookmarkStart w:id="42" w:name="_Toc321215479"/>
      <w:bookmarkStart w:id="43" w:name="_Toc321401039"/>
      <w:bookmarkStart w:id="44" w:name="_Toc321401228"/>
      <w:bookmarkEnd w:id="39"/>
      <w:bookmarkEnd w:id="40"/>
      <w:bookmarkEnd w:id="41"/>
      <w:bookmarkEnd w:id="42"/>
      <w:bookmarkEnd w:id="43"/>
      <w:bookmarkEnd w:id="44"/>
    </w:p>
    <w:p w:rsidR="00046EB1" w:rsidRPr="003766FD" w:rsidRDefault="00046EB1" w:rsidP="00046EB1">
      <w:pPr>
        <w:pStyle w:val="RecommendationStyle2"/>
        <w:spacing w:line="269" w:lineRule="auto"/>
        <w:jc w:val="left"/>
        <w:rPr>
          <w:color w:val="000000" w:themeColor="text1"/>
        </w:rPr>
      </w:pPr>
      <w:bookmarkStart w:id="45" w:name="_Toc321210296"/>
      <w:bookmarkStart w:id="46" w:name="_Toc321210337"/>
      <w:bookmarkStart w:id="47" w:name="_Toc321211051"/>
      <w:bookmarkStart w:id="48" w:name="_Toc321215480"/>
      <w:bookmarkStart w:id="49" w:name="_Toc321401040"/>
      <w:bookmarkStart w:id="50" w:name="_Toc321401229"/>
      <w:r w:rsidRPr="003766FD">
        <w:rPr>
          <w:color w:val="000000" w:themeColor="text1"/>
        </w:rPr>
        <w:t xml:space="preserve">The ATA recommends the </w:t>
      </w:r>
      <w:r>
        <w:rPr>
          <w:color w:val="000000" w:themeColor="text1"/>
        </w:rPr>
        <w:t>courier and taxi truck sector be considered when determining potential controls to manage the security of chemicals that are not moved in bulk</w:t>
      </w:r>
      <w:r w:rsidRPr="003766FD">
        <w:rPr>
          <w:color w:val="000000" w:themeColor="text1"/>
        </w:rPr>
        <w:t>.</w:t>
      </w:r>
      <w:bookmarkEnd w:id="45"/>
      <w:bookmarkEnd w:id="46"/>
      <w:bookmarkEnd w:id="47"/>
      <w:bookmarkEnd w:id="48"/>
      <w:bookmarkEnd w:id="49"/>
      <w:bookmarkEnd w:id="50"/>
    </w:p>
    <w:p w:rsidR="00046EB1" w:rsidRDefault="00046EB1" w:rsidP="00CD7D50">
      <w:pPr>
        <w:pStyle w:val="BodyText2"/>
        <w:spacing w:line="269" w:lineRule="auto"/>
        <w:rPr>
          <w:b w:val="0"/>
          <w:color w:val="000000" w:themeColor="text1"/>
          <w:sz w:val="20"/>
        </w:rPr>
      </w:pPr>
    </w:p>
    <w:p w:rsidR="00E37998" w:rsidRDefault="00E37998" w:rsidP="00E37998">
      <w:pPr>
        <w:pStyle w:val="BodyText2"/>
        <w:spacing w:line="269" w:lineRule="auto"/>
        <w:rPr>
          <w:b w:val="0"/>
          <w:color w:val="000000" w:themeColor="text1"/>
          <w:sz w:val="20"/>
        </w:rPr>
      </w:pPr>
      <w:r>
        <w:rPr>
          <w:b w:val="0"/>
          <w:color w:val="000000" w:themeColor="text1"/>
          <w:sz w:val="20"/>
        </w:rPr>
        <w:t xml:space="preserve">We have identified that some of the chemicals are not identified as dangerous goods, and that the management and training provided to obtain a dangerous goods licence is currently managed by state based organisations, such as </w:t>
      </w:r>
      <w:proofErr w:type="spellStart"/>
      <w:r>
        <w:rPr>
          <w:b w:val="0"/>
          <w:color w:val="000000" w:themeColor="text1"/>
          <w:sz w:val="20"/>
        </w:rPr>
        <w:t>WorkSafe</w:t>
      </w:r>
      <w:proofErr w:type="spellEnd"/>
      <w:r>
        <w:rPr>
          <w:b w:val="0"/>
          <w:color w:val="000000" w:themeColor="text1"/>
          <w:sz w:val="20"/>
        </w:rPr>
        <w:t xml:space="preserve">. To ensure information regarding chemicals of security concern is addressed, we believe a module within dangerous goods training should be adopted to cover only chemicals </w:t>
      </w:r>
      <w:r w:rsidR="00046EB1">
        <w:rPr>
          <w:b w:val="0"/>
          <w:color w:val="000000" w:themeColor="text1"/>
          <w:sz w:val="20"/>
        </w:rPr>
        <w:t>of security concern.</w:t>
      </w:r>
    </w:p>
    <w:p w:rsidR="00046EB1" w:rsidRPr="003766FD" w:rsidRDefault="00046EB1" w:rsidP="00046EB1">
      <w:pPr>
        <w:pStyle w:val="RecommendationStyle"/>
        <w:tabs>
          <w:tab w:val="clear" w:pos="57"/>
        </w:tabs>
        <w:rPr>
          <w:color w:val="000000" w:themeColor="text1"/>
        </w:rPr>
      </w:pPr>
      <w:bookmarkStart w:id="51" w:name="_Toc321210297"/>
      <w:bookmarkStart w:id="52" w:name="_Toc321210338"/>
      <w:bookmarkStart w:id="53" w:name="_Toc321211052"/>
      <w:bookmarkStart w:id="54" w:name="_Toc321215481"/>
      <w:bookmarkStart w:id="55" w:name="_Toc321401041"/>
      <w:bookmarkStart w:id="56" w:name="_Toc321401230"/>
      <w:bookmarkEnd w:id="51"/>
      <w:bookmarkEnd w:id="52"/>
      <w:bookmarkEnd w:id="53"/>
      <w:bookmarkEnd w:id="54"/>
      <w:bookmarkEnd w:id="55"/>
      <w:bookmarkEnd w:id="56"/>
    </w:p>
    <w:p w:rsidR="00046EB1" w:rsidRPr="003766FD" w:rsidRDefault="00046EB1" w:rsidP="00046EB1">
      <w:pPr>
        <w:pStyle w:val="RecommendationStyle2"/>
        <w:spacing w:line="269" w:lineRule="auto"/>
        <w:jc w:val="left"/>
        <w:rPr>
          <w:color w:val="000000" w:themeColor="text1"/>
        </w:rPr>
      </w:pPr>
      <w:bookmarkStart w:id="57" w:name="_Toc321210298"/>
      <w:bookmarkStart w:id="58" w:name="_Toc321210339"/>
      <w:bookmarkStart w:id="59" w:name="_Toc321211053"/>
      <w:bookmarkStart w:id="60" w:name="_Toc321215482"/>
      <w:bookmarkStart w:id="61" w:name="_Toc321401042"/>
      <w:bookmarkStart w:id="62" w:name="_Toc321401231"/>
      <w:r w:rsidRPr="003766FD">
        <w:rPr>
          <w:color w:val="000000" w:themeColor="text1"/>
        </w:rPr>
        <w:t xml:space="preserve">The ATA recommends </w:t>
      </w:r>
      <w:r>
        <w:rPr>
          <w:color w:val="000000" w:themeColor="text1"/>
        </w:rPr>
        <w:t>that the Attorney-General’s Department works with state based organisations that develop training for Dangerous Goods, with a view to including the management of chemicals of security concern as a module within this training.</w:t>
      </w:r>
      <w:bookmarkEnd w:id="57"/>
      <w:bookmarkEnd w:id="58"/>
      <w:bookmarkEnd w:id="59"/>
      <w:bookmarkEnd w:id="60"/>
      <w:bookmarkEnd w:id="61"/>
      <w:bookmarkEnd w:id="62"/>
    </w:p>
    <w:p w:rsidR="00E37998" w:rsidRDefault="00E37998" w:rsidP="00E37998">
      <w:pPr>
        <w:pStyle w:val="BodyText2"/>
        <w:spacing w:line="269" w:lineRule="auto"/>
        <w:rPr>
          <w:b w:val="0"/>
          <w:color w:val="000000" w:themeColor="text1"/>
          <w:sz w:val="20"/>
        </w:rPr>
      </w:pPr>
    </w:p>
    <w:p w:rsidR="002A3673" w:rsidRDefault="002A3673" w:rsidP="002A3673">
      <w:pPr>
        <w:pStyle w:val="BodyText2"/>
        <w:spacing w:line="269" w:lineRule="auto"/>
        <w:rPr>
          <w:b w:val="0"/>
          <w:color w:val="000000" w:themeColor="text1"/>
          <w:sz w:val="20"/>
        </w:rPr>
      </w:pPr>
      <w:r>
        <w:rPr>
          <w:b w:val="0"/>
          <w:color w:val="000000" w:themeColor="text1"/>
          <w:sz w:val="20"/>
        </w:rPr>
        <w:t>The ATA suggests that a list of parties that move or use the chemicals of security concern be established to clearly identify who needs to comply with the code. For example, farmers, hairdressers and pharmaceutical companies might be examples of groups that would be required to comply with the code, whereas personal use of chemicals (such as hair dye or medication) may be identified as not needing to comply with the code.</w:t>
      </w:r>
    </w:p>
    <w:p w:rsidR="00F96282" w:rsidRPr="003766FD" w:rsidRDefault="00F96282" w:rsidP="00F96282">
      <w:pPr>
        <w:pStyle w:val="RecommendationStyle"/>
        <w:tabs>
          <w:tab w:val="clear" w:pos="57"/>
        </w:tabs>
        <w:rPr>
          <w:color w:val="000000" w:themeColor="text1"/>
        </w:rPr>
      </w:pPr>
      <w:bookmarkStart w:id="63" w:name="_Toc321211054"/>
      <w:bookmarkStart w:id="64" w:name="_Toc321215483"/>
      <w:bookmarkStart w:id="65" w:name="_Toc321401043"/>
      <w:bookmarkStart w:id="66" w:name="_Toc321401232"/>
      <w:bookmarkEnd w:id="63"/>
      <w:bookmarkEnd w:id="64"/>
      <w:bookmarkEnd w:id="65"/>
      <w:bookmarkEnd w:id="66"/>
    </w:p>
    <w:p w:rsidR="00046EB1" w:rsidRDefault="00F96282" w:rsidP="00F96282">
      <w:pPr>
        <w:pStyle w:val="RecommendationStyle2"/>
        <w:spacing w:line="269" w:lineRule="auto"/>
        <w:jc w:val="left"/>
        <w:rPr>
          <w:rFonts w:eastAsia="Times New Roman"/>
          <w:bCs/>
          <w:color w:val="000000" w:themeColor="text1"/>
        </w:rPr>
      </w:pPr>
      <w:bookmarkStart w:id="67" w:name="_Toc321150595"/>
      <w:bookmarkStart w:id="68" w:name="_Toc321210300"/>
      <w:bookmarkStart w:id="69" w:name="_Toc321210341"/>
      <w:bookmarkStart w:id="70" w:name="_Toc321211055"/>
      <w:bookmarkStart w:id="71" w:name="_Toc321215484"/>
      <w:bookmarkStart w:id="72" w:name="_Toc321401044"/>
      <w:bookmarkStart w:id="73" w:name="_Toc321401233"/>
      <w:r w:rsidRPr="003766FD">
        <w:rPr>
          <w:color w:val="000000" w:themeColor="text1"/>
        </w:rPr>
        <w:t xml:space="preserve">The ATA recommends </w:t>
      </w:r>
      <w:r>
        <w:rPr>
          <w:color w:val="000000" w:themeColor="text1"/>
        </w:rPr>
        <w:t>that a list of parties involved in the commercial use or transportation of chemicals be established to clearly identify relevant groups required to comply with the code. This will reduce the requirement for the general public to comply with the code when a product may be used strictly for personal reasons.</w:t>
      </w:r>
      <w:bookmarkEnd w:id="67"/>
      <w:bookmarkEnd w:id="68"/>
      <w:bookmarkEnd w:id="69"/>
      <w:bookmarkEnd w:id="70"/>
      <w:bookmarkEnd w:id="71"/>
      <w:bookmarkEnd w:id="72"/>
      <w:bookmarkEnd w:id="73"/>
    </w:p>
    <w:p w:rsidR="000F7F6F" w:rsidRDefault="000F7F6F" w:rsidP="002A3673">
      <w:pPr>
        <w:pStyle w:val="BodyText2"/>
        <w:spacing w:line="269" w:lineRule="auto"/>
        <w:rPr>
          <w:b w:val="0"/>
          <w:color w:val="000000" w:themeColor="text1"/>
          <w:sz w:val="20"/>
        </w:rPr>
      </w:pPr>
      <w:bookmarkStart w:id="74" w:name="_Toc301962922"/>
      <w:bookmarkStart w:id="75" w:name="_Toc301963179"/>
      <w:bookmarkStart w:id="76" w:name="_Toc310334025"/>
      <w:bookmarkStart w:id="77" w:name="_Toc321149942"/>
      <w:bookmarkStart w:id="78" w:name="_Toc321150590"/>
      <w:bookmarkStart w:id="79" w:name="_Toc301962924"/>
      <w:bookmarkStart w:id="80" w:name="_Toc301963181"/>
      <w:bookmarkStart w:id="81" w:name="_Toc310334027"/>
      <w:bookmarkStart w:id="82" w:name="_Toc321149944"/>
      <w:bookmarkStart w:id="83" w:name="_Toc321150592"/>
      <w:bookmarkStart w:id="84" w:name="_Toc301962926"/>
      <w:bookmarkStart w:id="85" w:name="_Toc292437885"/>
      <w:bookmarkStart w:id="86" w:name="_Toc292438370"/>
      <w:bookmarkStart w:id="87" w:name="_Toc292438581"/>
      <w:bookmarkStart w:id="88" w:name="_Toc292438793"/>
      <w:bookmarkStart w:id="89" w:name="_Toc292439004"/>
      <w:bookmarkStart w:id="90" w:name="_Toc292439218"/>
      <w:bookmarkStart w:id="91" w:name="_Toc292439429"/>
      <w:bookmarkStart w:id="92" w:name="_Toc292439640"/>
      <w:bookmarkStart w:id="93" w:name="_Toc292448896"/>
      <w:bookmarkStart w:id="94" w:name="_Toc292455397"/>
      <w:bookmarkStart w:id="95" w:name="_Toc292455721"/>
      <w:bookmarkStart w:id="96" w:name="_Toc292457142"/>
      <w:bookmarkStart w:id="97" w:name="_Toc292460806"/>
      <w:bookmarkStart w:id="98" w:name="_Toc292461008"/>
      <w:bookmarkStart w:id="99" w:name="_Toc321150594"/>
      <w:bookmarkStart w:id="100" w:name="_Toc321210299"/>
      <w:bookmarkStart w:id="101" w:name="_Toc32121034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479E1" w:rsidRDefault="00046EB1" w:rsidP="002A3673">
      <w:pPr>
        <w:pStyle w:val="BodyText2"/>
        <w:spacing w:line="269" w:lineRule="auto"/>
        <w:rPr>
          <w:b w:val="0"/>
          <w:color w:val="000000" w:themeColor="text1"/>
          <w:sz w:val="20"/>
        </w:rPr>
      </w:pPr>
      <w:bookmarkStart w:id="102" w:name="_Toc321210301"/>
      <w:r w:rsidRPr="002A3673">
        <w:rPr>
          <w:b w:val="0"/>
          <w:color w:val="000000" w:themeColor="text1"/>
          <w:sz w:val="20"/>
        </w:rPr>
        <w:t xml:space="preserve">There is already legislation in place to manage dangerous goods and hazardous facilities, and an option that has been anecdotally considered is a review of this legislation with a view to including management of chemicals of security concern. However, the problem then arises that this legislation is </w:t>
      </w:r>
      <w:r w:rsidR="002A3673" w:rsidRPr="002A3673">
        <w:rPr>
          <w:b w:val="0"/>
          <w:color w:val="000000" w:themeColor="text1"/>
          <w:sz w:val="20"/>
        </w:rPr>
        <w:t xml:space="preserve">presently </w:t>
      </w:r>
      <w:r w:rsidRPr="002A3673">
        <w:rPr>
          <w:b w:val="0"/>
          <w:color w:val="000000" w:themeColor="text1"/>
          <w:sz w:val="20"/>
        </w:rPr>
        <w:t>state-based, and unless model law is developed,</w:t>
      </w:r>
      <w:r w:rsidR="002A3673" w:rsidRPr="002A3673">
        <w:rPr>
          <w:b w:val="0"/>
          <w:color w:val="000000" w:themeColor="text1"/>
          <w:sz w:val="20"/>
        </w:rPr>
        <w:t xml:space="preserve"> with states implementing the model law without change,</w:t>
      </w:r>
      <w:r w:rsidRPr="002A3673">
        <w:rPr>
          <w:b w:val="0"/>
          <w:color w:val="000000" w:themeColor="text1"/>
          <w:sz w:val="20"/>
        </w:rPr>
        <w:t xml:space="preserve"> there is a real risk of each state implementing its own requirements with legislation. The issue then arises </w:t>
      </w:r>
      <w:r w:rsidR="002A3673" w:rsidRPr="002A3673">
        <w:rPr>
          <w:b w:val="0"/>
          <w:color w:val="000000" w:themeColor="text1"/>
          <w:sz w:val="20"/>
        </w:rPr>
        <w:t>of t</w:t>
      </w:r>
      <w:r w:rsidRPr="002A3673">
        <w:rPr>
          <w:b w:val="0"/>
          <w:color w:val="000000" w:themeColor="text1"/>
          <w:sz w:val="20"/>
        </w:rPr>
        <w:t xml:space="preserve">he requirement of industries </w:t>
      </w:r>
      <w:r w:rsidR="002A3673" w:rsidRPr="002A3673">
        <w:rPr>
          <w:b w:val="0"/>
          <w:color w:val="000000" w:themeColor="text1"/>
          <w:sz w:val="20"/>
        </w:rPr>
        <w:t xml:space="preserve">whose business </w:t>
      </w:r>
      <w:r w:rsidRPr="002A3673">
        <w:rPr>
          <w:b w:val="0"/>
          <w:color w:val="000000" w:themeColor="text1"/>
          <w:sz w:val="20"/>
        </w:rPr>
        <w:t>cross</w:t>
      </w:r>
      <w:r w:rsidR="002A3673" w:rsidRPr="002A3673">
        <w:rPr>
          <w:b w:val="0"/>
          <w:color w:val="000000" w:themeColor="text1"/>
          <w:sz w:val="20"/>
        </w:rPr>
        <w:t>es</w:t>
      </w:r>
      <w:r w:rsidRPr="002A3673">
        <w:rPr>
          <w:b w:val="0"/>
          <w:color w:val="000000" w:themeColor="text1"/>
          <w:sz w:val="20"/>
        </w:rPr>
        <w:t xml:space="preserve"> state borders to comply with </w:t>
      </w:r>
      <w:r w:rsidR="002A3673" w:rsidRPr="002A3673">
        <w:rPr>
          <w:b w:val="0"/>
          <w:color w:val="000000" w:themeColor="text1"/>
          <w:sz w:val="20"/>
        </w:rPr>
        <w:t>multiple sets of legislation.</w:t>
      </w:r>
      <w:bookmarkEnd w:id="102"/>
    </w:p>
    <w:p w:rsidR="002A3673" w:rsidRPr="003766FD" w:rsidRDefault="002A3673" w:rsidP="002A3673">
      <w:pPr>
        <w:pStyle w:val="RecommendationStyle"/>
        <w:tabs>
          <w:tab w:val="clear" w:pos="57"/>
        </w:tabs>
        <w:rPr>
          <w:color w:val="000000" w:themeColor="text1"/>
        </w:rPr>
      </w:pPr>
      <w:bookmarkStart w:id="103" w:name="_Toc321210302"/>
      <w:bookmarkStart w:id="104" w:name="_Toc321210342"/>
      <w:bookmarkStart w:id="105" w:name="_Toc321211056"/>
      <w:bookmarkStart w:id="106" w:name="_Toc321215485"/>
      <w:bookmarkStart w:id="107" w:name="_Toc321401045"/>
      <w:bookmarkStart w:id="108" w:name="_Toc321401234"/>
      <w:bookmarkEnd w:id="103"/>
      <w:bookmarkEnd w:id="104"/>
      <w:bookmarkEnd w:id="105"/>
      <w:bookmarkEnd w:id="106"/>
      <w:bookmarkEnd w:id="107"/>
      <w:bookmarkEnd w:id="108"/>
    </w:p>
    <w:p w:rsidR="002A3673" w:rsidRPr="003766FD" w:rsidRDefault="002A3673" w:rsidP="002A3673">
      <w:pPr>
        <w:pStyle w:val="RecommendationStyle2"/>
        <w:spacing w:line="269" w:lineRule="auto"/>
        <w:jc w:val="left"/>
        <w:rPr>
          <w:color w:val="000000" w:themeColor="text1"/>
        </w:rPr>
      </w:pPr>
      <w:bookmarkStart w:id="109" w:name="_Toc321210303"/>
      <w:bookmarkStart w:id="110" w:name="_Toc321210343"/>
      <w:bookmarkStart w:id="111" w:name="_Toc321211057"/>
      <w:bookmarkStart w:id="112" w:name="_Toc321215486"/>
      <w:bookmarkStart w:id="113" w:name="_Toc321401046"/>
      <w:bookmarkStart w:id="114" w:name="_Toc321401235"/>
      <w:r w:rsidRPr="003766FD">
        <w:rPr>
          <w:color w:val="000000" w:themeColor="text1"/>
        </w:rPr>
        <w:t xml:space="preserve">The ATA recommends </w:t>
      </w:r>
      <w:r>
        <w:rPr>
          <w:color w:val="000000" w:themeColor="text1"/>
        </w:rPr>
        <w:t>that if legislation changes are considered to introduce chemicals of security concern into dangerous goods or hazardous facilities legislation, that the legislation be Commonwealth law, not state law, thus reducing the risk of multiple sets of legislation for industry to comply with.</w:t>
      </w:r>
      <w:bookmarkEnd w:id="109"/>
      <w:bookmarkEnd w:id="110"/>
      <w:bookmarkEnd w:id="111"/>
      <w:bookmarkEnd w:id="112"/>
      <w:bookmarkEnd w:id="113"/>
      <w:bookmarkEnd w:id="114"/>
    </w:p>
    <w:p w:rsidR="002A3673" w:rsidRDefault="002A3673" w:rsidP="0076474B">
      <w:pPr>
        <w:pStyle w:val="RecommendationStyle2"/>
        <w:spacing w:line="269" w:lineRule="auto"/>
        <w:jc w:val="left"/>
        <w:rPr>
          <w:b w:val="0"/>
          <w:color w:val="000000" w:themeColor="text1"/>
        </w:rPr>
      </w:pPr>
    </w:p>
    <w:p w:rsidR="003479E1" w:rsidRDefault="003479E1">
      <w:pPr>
        <w:rPr>
          <w:rFonts w:ascii="Arial" w:hAnsi="Arial" w:cs="Arial"/>
          <w:color w:val="000000" w:themeColor="text1"/>
          <w:sz w:val="20"/>
          <w:szCs w:val="20"/>
        </w:rPr>
      </w:pPr>
      <w:r>
        <w:rPr>
          <w:b/>
          <w:color w:val="000000" w:themeColor="text1"/>
        </w:rPr>
        <w:br w:type="page"/>
      </w:r>
    </w:p>
    <w:p w:rsidR="002A3673" w:rsidRPr="00046EB1" w:rsidRDefault="002A3673" w:rsidP="0076474B">
      <w:pPr>
        <w:pStyle w:val="RecommendationStyle2"/>
        <w:spacing w:line="269" w:lineRule="auto"/>
        <w:jc w:val="left"/>
        <w:rPr>
          <w:b w:val="0"/>
          <w:color w:val="000000" w:themeColor="text1"/>
        </w:rPr>
      </w:pPr>
    </w:p>
    <w:p w:rsidR="00D735FF" w:rsidRPr="00F6057F" w:rsidRDefault="00D735FF" w:rsidP="0076474B">
      <w:pPr>
        <w:pStyle w:val="Heading1"/>
      </w:pPr>
      <w:bookmarkStart w:id="115" w:name="_Toc321401435"/>
      <w:r w:rsidRPr="00F6057F">
        <w:t>Conclusion</w:t>
      </w:r>
      <w:bookmarkEnd w:id="115"/>
    </w:p>
    <w:p w:rsidR="00D735FF" w:rsidRPr="00A300E2" w:rsidRDefault="00D735FF" w:rsidP="0076474B">
      <w:pPr>
        <w:spacing w:line="269" w:lineRule="auto"/>
        <w:rPr>
          <w:rFonts w:ascii="Arial" w:hAnsi="Arial" w:cs="Arial"/>
          <w:color w:val="000000" w:themeColor="text1"/>
          <w:sz w:val="20"/>
          <w:szCs w:val="20"/>
        </w:rPr>
      </w:pPr>
    </w:p>
    <w:p w:rsidR="002A3673" w:rsidRDefault="002A3673" w:rsidP="002A3673">
      <w:pPr>
        <w:pStyle w:val="BodyText2"/>
        <w:spacing w:line="269" w:lineRule="auto"/>
        <w:rPr>
          <w:b w:val="0"/>
          <w:color w:val="000000" w:themeColor="text1"/>
          <w:sz w:val="20"/>
        </w:rPr>
      </w:pPr>
      <w:r>
        <w:rPr>
          <w:b w:val="0"/>
          <w:color w:val="000000" w:themeColor="text1"/>
          <w:sz w:val="20"/>
        </w:rPr>
        <w:t>The Australian Trucking Association appreciates the opportunity to contribute to this consultation regulatory impact statement. Our members are concerned about the potential outcome of the options provided, and trust the Attorney-General’s Department will continue to communicate closely with the ATA in relation to this matter.</w:t>
      </w:r>
    </w:p>
    <w:p w:rsidR="002A3673" w:rsidRDefault="002A3673" w:rsidP="002A3673">
      <w:pPr>
        <w:pStyle w:val="BodyText2"/>
        <w:spacing w:line="269" w:lineRule="auto"/>
        <w:rPr>
          <w:b w:val="0"/>
          <w:color w:val="000000" w:themeColor="text1"/>
          <w:sz w:val="20"/>
        </w:rPr>
      </w:pPr>
    </w:p>
    <w:p w:rsidR="002A3673" w:rsidRDefault="002A3673" w:rsidP="002A3673">
      <w:pPr>
        <w:pStyle w:val="BodyText2"/>
        <w:spacing w:line="269" w:lineRule="auto"/>
        <w:rPr>
          <w:b w:val="0"/>
          <w:color w:val="000000" w:themeColor="text1"/>
          <w:sz w:val="20"/>
        </w:rPr>
      </w:pPr>
      <w:r>
        <w:rPr>
          <w:b w:val="0"/>
          <w:color w:val="000000" w:themeColor="text1"/>
          <w:sz w:val="20"/>
        </w:rPr>
        <w:t>At a recent Power of Explo</w:t>
      </w:r>
      <w:r w:rsidR="00F96282">
        <w:rPr>
          <w:b w:val="0"/>
          <w:color w:val="000000" w:themeColor="text1"/>
          <w:sz w:val="20"/>
        </w:rPr>
        <w:t>sives day, organised by the Attorney-General’s Department with demonstrations conducted by Australian Federal Police and Defence, it was clear the amount of damage a small amount of chemical can cause when used for illegal purposes. The trucking industry has strong procedures and protocols in place to provide assurance that illegal use of chemical is minimised. Should a code be developed, we would expect that some of these controls would be implemented as requirements of the code.</w:t>
      </w:r>
    </w:p>
    <w:p w:rsidR="002A3673" w:rsidRDefault="002A3673" w:rsidP="002A3673">
      <w:pPr>
        <w:pStyle w:val="BodyText2"/>
        <w:spacing w:line="269" w:lineRule="auto"/>
        <w:rPr>
          <w:b w:val="0"/>
          <w:color w:val="000000" w:themeColor="text1"/>
          <w:sz w:val="20"/>
        </w:rPr>
      </w:pPr>
    </w:p>
    <w:p w:rsidR="002A3673" w:rsidRDefault="00F96282" w:rsidP="002A3673">
      <w:pPr>
        <w:pStyle w:val="BodyText2"/>
        <w:spacing w:line="269" w:lineRule="auto"/>
        <w:rPr>
          <w:b w:val="0"/>
          <w:color w:val="000000" w:themeColor="text1"/>
          <w:sz w:val="20"/>
        </w:rPr>
      </w:pPr>
      <w:r>
        <w:rPr>
          <w:b w:val="0"/>
          <w:color w:val="000000" w:themeColor="text1"/>
          <w:sz w:val="20"/>
        </w:rPr>
        <w:t>We also endorse the work being done by the Attorney-General’s Department, and look forward to working closely with the department to further contribute to this work. We anticipate the opportunity to provide a relevant and operational view from the trucking industry through consultation with our members.</w:t>
      </w:r>
    </w:p>
    <w:p w:rsidR="00413868" w:rsidRPr="00A300E2" w:rsidRDefault="00413868" w:rsidP="0076474B">
      <w:pPr>
        <w:spacing w:line="269" w:lineRule="auto"/>
        <w:rPr>
          <w:rFonts w:ascii="Arial" w:hAnsi="Arial" w:cs="Arial"/>
          <w:color w:val="000000" w:themeColor="text1"/>
          <w:sz w:val="20"/>
          <w:szCs w:val="20"/>
        </w:rPr>
      </w:pPr>
    </w:p>
    <w:sectPr w:rsidR="00413868" w:rsidRPr="00A300E2"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DD" w:rsidRDefault="000C53DD" w:rsidP="000F3D9F">
      <w:r>
        <w:separator/>
      </w:r>
    </w:p>
  </w:endnote>
  <w:endnote w:type="continuationSeparator" w:id="0">
    <w:p w:rsidR="000C53DD" w:rsidRDefault="000C53DD"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0C53DD"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0C53DD" w:rsidRPr="00E8056B" w:rsidRDefault="000C53DD" w:rsidP="00E8056B">
    <w:pPr>
      <w:jc w:val="right"/>
      <w:rPr>
        <w:rFonts w:ascii="Arial" w:hAnsi="Arial" w:cs="Arial"/>
        <w:sz w:val="16"/>
        <w:szCs w:val="16"/>
      </w:rPr>
    </w:pPr>
  </w:p>
  <w:p w:rsidR="000C53DD" w:rsidRPr="00E8056B" w:rsidRDefault="000C53DD"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0C53DD" w:rsidRPr="00E8056B" w:rsidRDefault="000C53DD"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2821E4">
    <w:pPr>
      <w:pStyle w:val="Footer"/>
      <w:jc w:val="right"/>
    </w:pPr>
    <w:fldSimple w:instr=" PAGE   \* MERGEFORMAT ">
      <w:r w:rsidR="000C53DD">
        <w:rPr>
          <w:noProof/>
        </w:rPr>
        <w:t>7</w:t>
      </w:r>
    </w:fldSimple>
  </w:p>
  <w:p w:rsidR="000C53DD" w:rsidRDefault="000C5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0C53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0C53DD" w:rsidRPr="00A91411" w:rsidTr="00D735FF">
      <w:trPr>
        <w:trHeight w:val="278"/>
      </w:trPr>
      <w:tc>
        <w:tcPr>
          <w:tcW w:w="4927" w:type="dxa"/>
          <w:vAlign w:val="center"/>
        </w:tcPr>
        <w:p w:rsidR="000C53DD" w:rsidRDefault="000C53DD" w:rsidP="007D6A0A">
          <w:pPr>
            <w:pStyle w:val="Footer"/>
            <w:rPr>
              <w:rFonts w:ascii="Arial" w:hAnsi="Arial" w:cs="Arial"/>
              <w:sz w:val="14"/>
              <w:szCs w:val="14"/>
            </w:rPr>
          </w:pPr>
          <w:r w:rsidRPr="007D6A0A">
            <w:rPr>
              <w:rFonts w:ascii="Arial" w:hAnsi="Arial" w:cs="Arial"/>
              <w:sz w:val="14"/>
              <w:szCs w:val="14"/>
            </w:rPr>
            <w:t xml:space="preserve">Chemical Security – Precursors to homemade explosives – </w:t>
          </w:r>
        </w:p>
        <w:p w:rsidR="000C53DD" w:rsidRPr="00A91411" w:rsidRDefault="000C53DD" w:rsidP="007D6A0A">
          <w:pPr>
            <w:pStyle w:val="Footer"/>
            <w:rPr>
              <w:rFonts w:ascii="Arial" w:hAnsi="Arial" w:cs="Arial"/>
              <w:sz w:val="14"/>
              <w:szCs w:val="14"/>
            </w:rPr>
          </w:pPr>
          <w:r w:rsidRPr="007D6A0A">
            <w:rPr>
              <w:rFonts w:ascii="Arial" w:hAnsi="Arial" w:cs="Arial"/>
              <w:sz w:val="14"/>
              <w:szCs w:val="14"/>
            </w:rPr>
            <w:t>Consultation Regulation Impact Statement</w:t>
          </w:r>
        </w:p>
      </w:tc>
      <w:tc>
        <w:tcPr>
          <w:tcW w:w="4927" w:type="dxa"/>
          <w:vAlign w:val="center"/>
        </w:tcPr>
        <w:p w:rsidR="000C53DD" w:rsidRPr="00A91411" w:rsidRDefault="000C53DD" w:rsidP="00D735FF">
          <w:pPr>
            <w:pStyle w:val="Footer"/>
            <w:jc w:val="right"/>
            <w:rPr>
              <w:rFonts w:ascii="Arial" w:hAnsi="Arial" w:cs="Arial"/>
              <w:sz w:val="14"/>
              <w:szCs w:val="14"/>
            </w:rPr>
          </w:pPr>
          <w:r w:rsidRPr="00A91411">
            <w:rPr>
              <w:rFonts w:ascii="Arial" w:hAnsi="Arial" w:cs="Arial"/>
              <w:sz w:val="14"/>
              <w:szCs w:val="14"/>
            </w:rPr>
            <w:t xml:space="preserve">Page </w:t>
          </w:r>
          <w:r w:rsidR="002821E4"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2821E4" w:rsidRPr="00A91411">
            <w:rPr>
              <w:rFonts w:ascii="Arial" w:hAnsi="Arial" w:cs="Arial"/>
              <w:sz w:val="14"/>
              <w:szCs w:val="14"/>
            </w:rPr>
            <w:fldChar w:fldCharType="separate"/>
          </w:r>
          <w:r w:rsidR="00FB4D1A">
            <w:rPr>
              <w:rFonts w:ascii="Arial" w:hAnsi="Arial" w:cs="Arial"/>
              <w:noProof/>
              <w:sz w:val="14"/>
              <w:szCs w:val="14"/>
            </w:rPr>
            <w:t>2</w:t>
          </w:r>
          <w:r w:rsidR="002821E4" w:rsidRPr="00A91411">
            <w:rPr>
              <w:rFonts w:ascii="Arial" w:hAnsi="Arial" w:cs="Arial"/>
              <w:sz w:val="14"/>
              <w:szCs w:val="14"/>
            </w:rPr>
            <w:fldChar w:fldCharType="end"/>
          </w:r>
        </w:p>
      </w:tc>
    </w:tr>
  </w:tbl>
  <w:p w:rsidR="000C53DD" w:rsidRPr="00A91411" w:rsidRDefault="000C53D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0C5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DD" w:rsidRDefault="000C53DD" w:rsidP="000F3D9F">
      <w:r>
        <w:separator/>
      </w:r>
    </w:p>
  </w:footnote>
  <w:footnote w:type="continuationSeparator" w:id="0">
    <w:p w:rsidR="000C53DD" w:rsidRDefault="000C53DD" w:rsidP="000F3D9F">
      <w:r>
        <w:continuationSeparator/>
      </w:r>
    </w:p>
  </w:footnote>
  <w:footnote w:id="1">
    <w:p w:rsidR="000C53DD" w:rsidRPr="00F6057F" w:rsidRDefault="000C53DD" w:rsidP="00D42CE3">
      <w:pPr>
        <w:autoSpaceDE w:val="0"/>
        <w:autoSpaceDN w:val="0"/>
        <w:adjustRightInd w:val="0"/>
        <w:rPr>
          <w:rFonts w:ascii="Arial Narrow" w:hAnsi="Arial Narrow"/>
          <w:color w:val="000000" w:themeColor="text1"/>
          <w:sz w:val="16"/>
          <w:szCs w:val="16"/>
        </w:rPr>
      </w:pPr>
      <w:r>
        <w:rPr>
          <w:rStyle w:val="FootnoteReference"/>
        </w:rPr>
        <w:footnoteRef/>
      </w:r>
      <w:r>
        <w:t xml:space="preserve"> </w:t>
      </w:r>
      <w:r w:rsidRPr="00F6057F">
        <w:rPr>
          <w:rFonts w:ascii="Arial Narrow" w:hAnsi="Arial Narrow"/>
          <w:color w:val="000000" w:themeColor="text1"/>
          <w:sz w:val="16"/>
          <w:szCs w:val="16"/>
        </w:rPr>
        <w:t>Australian Safety and Compensation Council (2010), ‘Regulatory Impact Statement: Proposed Revisions to the National OHS Framework for the Control of Workplace Hazardous Substances and Dangerous Goods’, September, http://www.safeworkaustralia.gov.au/AboutSafeWorkAustralia/WhatWeDo/Publications/Documents/472/Chemicals_RIS_Jan_2010_PDF.pdf. Accessed on 30 March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Pr="00E8056B" w:rsidRDefault="000C53D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0C53DD" w:rsidRDefault="000C5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0C5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Pr="0019542E" w:rsidRDefault="000C53DD"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DD" w:rsidRDefault="000C5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CB3"/>
    <w:multiLevelType w:val="hybridMultilevel"/>
    <w:tmpl w:val="D2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227D2"/>
    <w:multiLevelType w:val="multilevel"/>
    <w:tmpl w:val="98847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DA40C0"/>
    <w:multiLevelType w:val="hybridMultilevel"/>
    <w:tmpl w:val="385C8472"/>
    <w:lvl w:ilvl="0" w:tplc="BA9A37F6">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516A172E"/>
    <w:multiLevelType w:val="hybridMultilevel"/>
    <w:tmpl w:val="D40EDE30"/>
    <w:lvl w:ilvl="0" w:tplc="64DA77A8">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79D7783"/>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F572C2D"/>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2087E9F"/>
    <w:multiLevelType w:val="hybridMultilevel"/>
    <w:tmpl w:val="F31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0"/>
  </w:num>
  <w:num w:numId="8">
    <w:abstractNumId w:val="4"/>
  </w:num>
  <w:num w:numId="9">
    <w:abstractNumId w:val="5"/>
  </w:num>
  <w:num w:numId="10">
    <w:abstractNumId w:val="6"/>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1627A"/>
    <w:rsid w:val="00005E0D"/>
    <w:rsid w:val="000156D1"/>
    <w:rsid w:val="00035CFC"/>
    <w:rsid w:val="00040876"/>
    <w:rsid w:val="00046EB1"/>
    <w:rsid w:val="00052E9C"/>
    <w:rsid w:val="0006283B"/>
    <w:rsid w:val="0007542B"/>
    <w:rsid w:val="00075E7B"/>
    <w:rsid w:val="00083C15"/>
    <w:rsid w:val="000848A1"/>
    <w:rsid w:val="00095C3B"/>
    <w:rsid w:val="000A2BCF"/>
    <w:rsid w:val="000A4EB0"/>
    <w:rsid w:val="000B069A"/>
    <w:rsid w:val="000C0C35"/>
    <w:rsid w:val="000C53DD"/>
    <w:rsid w:val="000E7B14"/>
    <w:rsid w:val="000F0F7B"/>
    <w:rsid w:val="000F3D9F"/>
    <w:rsid w:val="000F53C2"/>
    <w:rsid w:val="000F566E"/>
    <w:rsid w:val="000F7F6F"/>
    <w:rsid w:val="00110610"/>
    <w:rsid w:val="00121A53"/>
    <w:rsid w:val="00123C47"/>
    <w:rsid w:val="0013041A"/>
    <w:rsid w:val="001368EB"/>
    <w:rsid w:val="00141274"/>
    <w:rsid w:val="0014683D"/>
    <w:rsid w:val="00150065"/>
    <w:rsid w:val="00152A71"/>
    <w:rsid w:val="00160FE3"/>
    <w:rsid w:val="001611AB"/>
    <w:rsid w:val="0017729B"/>
    <w:rsid w:val="001811B8"/>
    <w:rsid w:val="0019542E"/>
    <w:rsid w:val="001A0DC3"/>
    <w:rsid w:val="001A6510"/>
    <w:rsid w:val="001B3E52"/>
    <w:rsid w:val="001C125D"/>
    <w:rsid w:val="001C3659"/>
    <w:rsid w:val="001D50C7"/>
    <w:rsid w:val="001D77A8"/>
    <w:rsid w:val="001D7817"/>
    <w:rsid w:val="001E0A75"/>
    <w:rsid w:val="001F187C"/>
    <w:rsid w:val="002041FF"/>
    <w:rsid w:val="00216CE6"/>
    <w:rsid w:val="00230DFC"/>
    <w:rsid w:val="00241C15"/>
    <w:rsid w:val="0025342D"/>
    <w:rsid w:val="002543DF"/>
    <w:rsid w:val="00262C0A"/>
    <w:rsid w:val="00266915"/>
    <w:rsid w:val="002821E4"/>
    <w:rsid w:val="00296633"/>
    <w:rsid w:val="002A3673"/>
    <w:rsid w:val="002A4859"/>
    <w:rsid w:val="002B381D"/>
    <w:rsid w:val="002C1799"/>
    <w:rsid w:val="002D592D"/>
    <w:rsid w:val="002E453E"/>
    <w:rsid w:val="002E5D82"/>
    <w:rsid w:val="002E7897"/>
    <w:rsid w:val="002E7F28"/>
    <w:rsid w:val="002F2F65"/>
    <w:rsid w:val="002F632C"/>
    <w:rsid w:val="00306FBF"/>
    <w:rsid w:val="00320AFE"/>
    <w:rsid w:val="0032189C"/>
    <w:rsid w:val="00321A43"/>
    <w:rsid w:val="0032308F"/>
    <w:rsid w:val="00325A6C"/>
    <w:rsid w:val="00336760"/>
    <w:rsid w:val="00342826"/>
    <w:rsid w:val="003479E1"/>
    <w:rsid w:val="003533CA"/>
    <w:rsid w:val="00354394"/>
    <w:rsid w:val="0035493A"/>
    <w:rsid w:val="00360759"/>
    <w:rsid w:val="003766FD"/>
    <w:rsid w:val="00384772"/>
    <w:rsid w:val="0039063B"/>
    <w:rsid w:val="003911E4"/>
    <w:rsid w:val="003B1937"/>
    <w:rsid w:val="003B74E4"/>
    <w:rsid w:val="003C2311"/>
    <w:rsid w:val="003C528E"/>
    <w:rsid w:val="003E2B20"/>
    <w:rsid w:val="003F6CA9"/>
    <w:rsid w:val="004008C7"/>
    <w:rsid w:val="00403823"/>
    <w:rsid w:val="00404731"/>
    <w:rsid w:val="004053D4"/>
    <w:rsid w:val="004115B6"/>
    <w:rsid w:val="00413868"/>
    <w:rsid w:val="00415126"/>
    <w:rsid w:val="00420F75"/>
    <w:rsid w:val="00421306"/>
    <w:rsid w:val="0042163C"/>
    <w:rsid w:val="00422BB7"/>
    <w:rsid w:val="00423CCC"/>
    <w:rsid w:val="00424D3E"/>
    <w:rsid w:val="0042557B"/>
    <w:rsid w:val="004353C2"/>
    <w:rsid w:val="00440231"/>
    <w:rsid w:val="00445C07"/>
    <w:rsid w:val="00445CDC"/>
    <w:rsid w:val="00446B80"/>
    <w:rsid w:val="00450FF8"/>
    <w:rsid w:val="004640D1"/>
    <w:rsid w:val="00475C39"/>
    <w:rsid w:val="00484068"/>
    <w:rsid w:val="00487F0F"/>
    <w:rsid w:val="00490A42"/>
    <w:rsid w:val="00493435"/>
    <w:rsid w:val="004977DE"/>
    <w:rsid w:val="004A2F6F"/>
    <w:rsid w:val="004B26EB"/>
    <w:rsid w:val="004B6187"/>
    <w:rsid w:val="004C21BB"/>
    <w:rsid w:val="004C3CC3"/>
    <w:rsid w:val="004E1EBB"/>
    <w:rsid w:val="004E5EA3"/>
    <w:rsid w:val="004F112A"/>
    <w:rsid w:val="004F18F6"/>
    <w:rsid w:val="004F3B07"/>
    <w:rsid w:val="00510952"/>
    <w:rsid w:val="005223FD"/>
    <w:rsid w:val="00525303"/>
    <w:rsid w:val="0053137B"/>
    <w:rsid w:val="00532BFB"/>
    <w:rsid w:val="005365E0"/>
    <w:rsid w:val="00540B27"/>
    <w:rsid w:val="00550256"/>
    <w:rsid w:val="0056179B"/>
    <w:rsid w:val="00565DE9"/>
    <w:rsid w:val="00565F92"/>
    <w:rsid w:val="00576ED0"/>
    <w:rsid w:val="00576F0D"/>
    <w:rsid w:val="00580BDF"/>
    <w:rsid w:val="00587C8F"/>
    <w:rsid w:val="00593217"/>
    <w:rsid w:val="005A2A86"/>
    <w:rsid w:val="005B3729"/>
    <w:rsid w:val="005C31A0"/>
    <w:rsid w:val="005C4952"/>
    <w:rsid w:val="005C63F7"/>
    <w:rsid w:val="005D2355"/>
    <w:rsid w:val="005D6CD2"/>
    <w:rsid w:val="005E11FC"/>
    <w:rsid w:val="005E28FB"/>
    <w:rsid w:val="005E6294"/>
    <w:rsid w:val="005E6D8B"/>
    <w:rsid w:val="005F1009"/>
    <w:rsid w:val="005F21D1"/>
    <w:rsid w:val="005F5ACC"/>
    <w:rsid w:val="005F69CC"/>
    <w:rsid w:val="005F6C8C"/>
    <w:rsid w:val="006109E9"/>
    <w:rsid w:val="00610CFE"/>
    <w:rsid w:val="006244DA"/>
    <w:rsid w:val="00640DAD"/>
    <w:rsid w:val="00674356"/>
    <w:rsid w:val="00677114"/>
    <w:rsid w:val="00683D7C"/>
    <w:rsid w:val="006859F7"/>
    <w:rsid w:val="0069019B"/>
    <w:rsid w:val="00693363"/>
    <w:rsid w:val="00697124"/>
    <w:rsid w:val="006A797E"/>
    <w:rsid w:val="006B4BE2"/>
    <w:rsid w:val="006C38AD"/>
    <w:rsid w:val="006D4D41"/>
    <w:rsid w:val="006F050F"/>
    <w:rsid w:val="006F0C79"/>
    <w:rsid w:val="00704511"/>
    <w:rsid w:val="007162A5"/>
    <w:rsid w:val="0071762D"/>
    <w:rsid w:val="00725BC0"/>
    <w:rsid w:val="00726797"/>
    <w:rsid w:val="00740005"/>
    <w:rsid w:val="00740DF8"/>
    <w:rsid w:val="0075427A"/>
    <w:rsid w:val="0076304F"/>
    <w:rsid w:val="0076474B"/>
    <w:rsid w:val="00772B68"/>
    <w:rsid w:val="007742BE"/>
    <w:rsid w:val="00791216"/>
    <w:rsid w:val="00792CEB"/>
    <w:rsid w:val="007A69C1"/>
    <w:rsid w:val="007B3B54"/>
    <w:rsid w:val="007B3BE2"/>
    <w:rsid w:val="007B711A"/>
    <w:rsid w:val="007C3F49"/>
    <w:rsid w:val="007D608A"/>
    <w:rsid w:val="007D6A0A"/>
    <w:rsid w:val="007E241C"/>
    <w:rsid w:val="007E6319"/>
    <w:rsid w:val="007E6A67"/>
    <w:rsid w:val="007F4404"/>
    <w:rsid w:val="007F44BE"/>
    <w:rsid w:val="007F4C48"/>
    <w:rsid w:val="00821537"/>
    <w:rsid w:val="00825C08"/>
    <w:rsid w:val="0083058C"/>
    <w:rsid w:val="00836304"/>
    <w:rsid w:val="00852A83"/>
    <w:rsid w:val="00853473"/>
    <w:rsid w:val="00854B78"/>
    <w:rsid w:val="00854D3E"/>
    <w:rsid w:val="00857D4F"/>
    <w:rsid w:val="00861D20"/>
    <w:rsid w:val="00872B38"/>
    <w:rsid w:val="00872E19"/>
    <w:rsid w:val="00874AAE"/>
    <w:rsid w:val="00874DEA"/>
    <w:rsid w:val="00875BF1"/>
    <w:rsid w:val="00877FD8"/>
    <w:rsid w:val="00881A97"/>
    <w:rsid w:val="00890346"/>
    <w:rsid w:val="008A5088"/>
    <w:rsid w:val="008A6128"/>
    <w:rsid w:val="008B0EEF"/>
    <w:rsid w:val="008B7312"/>
    <w:rsid w:val="008C1818"/>
    <w:rsid w:val="008C38B7"/>
    <w:rsid w:val="008C7BDC"/>
    <w:rsid w:val="008D5D5E"/>
    <w:rsid w:val="008E1721"/>
    <w:rsid w:val="008E3865"/>
    <w:rsid w:val="008F11A3"/>
    <w:rsid w:val="00904795"/>
    <w:rsid w:val="00907971"/>
    <w:rsid w:val="009132E3"/>
    <w:rsid w:val="009148AC"/>
    <w:rsid w:val="00914C1D"/>
    <w:rsid w:val="0091747C"/>
    <w:rsid w:val="00940D05"/>
    <w:rsid w:val="00943829"/>
    <w:rsid w:val="00946E17"/>
    <w:rsid w:val="00960FE0"/>
    <w:rsid w:val="0098465E"/>
    <w:rsid w:val="00986804"/>
    <w:rsid w:val="00993BAE"/>
    <w:rsid w:val="0099546D"/>
    <w:rsid w:val="009A3853"/>
    <w:rsid w:val="009B0520"/>
    <w:rsid w:val="009B4220"/>
    <w:rsid w:val="009B5742"/>
    <w:rsid w:val="009C5B87"/>
    <w:rsid w:val="009D1F79"/>
    <w:rsid w:val="009D2F28"/>
    <w:rsid w:val="009D3731"/>
    <w:rsid w:val="009E77F2"/>
    <w:rsid w:val="00A0156A"/>
    <w:rsid w:val="00A01A64"/>
    <w:rsid w:val="00A047CA"/>
    <w:rsid w:val="00A109D4"/>
    <w:rsid w:val="00A12D70"/>
    <w:rsid w:val="00A1430A"/>
    <w:rsid w:val="00A158AC"/>
    <w:rsid w:val="00A2215A"/>
    <w:rsid w:val="00A300E2"/>
    <w:rsid w:val="00A37A93"/>
    <w:rsid w:val="00A44995"/>
    <w:rsid w:val="00A57D2F"/>
    <w:rsid w:val="00A87317"/>
    <w:rsid w:val="00A91411"/>
    <w:rsid w:val="00A94647"/>
    <w:rsid w:val="00AA2D57"/>
    <w:rsid w:val="00AB6D11"/>
    <w:rsid w:val="00AD29E4"/>
    <w:rsid w:val="00AD51CE"/>
    <w:rsid w:val="00AD7650"/>
    <w:rsid w:val="00AE44CD"/>
    <w:rsid w:val="00AE7959"/>
    <w:rsid w:val="00B05F83"/>
    <w:rsid w:val="00B07162"/>
    <w:rsid w:val="00B13B6B"/>
    <w:rsid w:val="00B15CA5"/>
    <w:rsid w:val="00B23EC7"/>
    <w:rsid w:val="00B31461"/>
    <w:rsid w:val="00B31649"/>
    <w:rsid w:val="00B43E2A"/>
    <w:rsid w:val="00B53589"/>
    <w:rsid w:val="00B56443"/>
    <w:rsid w:val="00B636DC"/>
    <w:rsid w:val="00B867DD"/>
    <w:rsid w:val="00B90EA0"/>
    <w:rsid w:val="00BA0CE8"/>
    <w:rsid w:val="00BA19BE"/>
    <w:rsid w:val="00BD63D8"/>
    <w:rsid w:val="00BE46AC"/>
    <w:rsid w:val="00BE639D"/>
    <w:rsid w:val="00C061E3"/>
    <w:rsid w:val="00C119C2"/>
    <w:rsid w:val="00C14967"/>
    <w:rsid w:val="00C1627A"/>
    <w:rsid w:val="00C26E47"/>
    <w:rsid w:val="00C3083F"/>
    <w:rsid w:val="00C33062"/>
    <w:rsid w:val="00C33404"/>
    <w:rsid w:val="00C42CE4"/>
    <w:rsid w:val="00C533FE"/>
    <w:rsid w:val="00C54B9E"/>
    <w:rsid w:val="00C676E5"/>
    <w:rsid w:val="00C926AD"/>
    <w:rsid w:val="00CA0ADF"/>
    <w:rsid w:val="00CA5938"/>
    <w:rsid w:val="00CB2486"/>
    <w:rsid w:val="00CB7F0D"/>
    <w:rsid w:val="00CC1DF7"/>
    <w:rsid w:val="00CC28C6"/>
    <w:rsid w:val="00CC4808"/>
    <w:rsid w:val="00CD4C8E"/>
    <w:rsid w:val="00CD7D50"/>
    <w:rsid w:val="00CE0D2C"/>
    <w:rsid w:val="00CE1B8A"/>
    <w:rsid w:val="00CE4936"/>
    <w:rsid w:val="00D06F27"/>
    <w:rsid w:val="00D21236"/>
    <w:rsid w:val="00D24520"/>
    <w:rsid w:val="00D262EA"/>
    <w:rsid w:val="00D40AAD"/>
    <w:rsid w:val="00D42CE3"/>
    <w:rsid w:val="00D47ACC"/>
    <w:rsid w:val="00D51FE7"/>
    <w:rsid w:val="00D53EBB"/>
    <w:rsid w:val="00D61332"/>
    <w:rsid w:val="00D72C8D"/>
    <w:rsid w:val="00D735FF"/>
    <w:rsid w:val="00D73A3C"/>
    <w:rsid w:val="00D9098B"/>
    <w:rsid w:val="00D91BC7"/>
    <w:rsid w:val="00D9288B"/>
    <w:rsid w:val="00DA6F20"/>
    <w:rsid w:val="00DB17ED"/>
    <w:rsid w:val="00DE1245"/>
    <w:rsid w:val="00DE3A75"/>
    <w:rsid w:val="00DF54C2"/>
    <w:rsid w:val="00DF5787"/>
    <w:rsid w:val="00E02DF9"/>
    <w:rsid w:val="00E1630A"/>
    <w:rsid w:val="00E23208"/>
    <w:rsid w:val="00E24A15"/>
    <w:rsid w:val="00E24F4E"/>
    <w:rsid w:val="00E275CC"/>
    <w:rsid w:val="00E3023E"/>
    <w:rsid w:val="00E34B78"/>
    <w:rsid w:val="00E37998"/>
    <w:rsid w:val="00E51FE7"/>
    <w:rsid w:val="00E72B4C"/>
    <w:rsid w:val="00E8056B"/>
    <w:rsid w:val="00EA1831"/>
    <w:rsid w:val="00EA2204"/>
    <w:rsid w:val="00EA3251"/>
    <w:rsid w:val="00EB0C47"/>
    <w:rsid w:val="00ED2995"/>
    <w:rsid w:val="00EE4129"/>
    <w:rsid w:val="00F10FC8"/>
    <w:rsid w:val="00F16C2D"/>
    <w:rsid w:val="00F17E6F"/>
    <w:rsid w:val="00F21CE8"/>
    <w:rsid w:val="00F26132"/>
    <w:rsid w:val="00F33008"/>
    <w:rsid w:val="00F51B8C"/>
    <w:rsid w:val="00F52310"/>
    <w:rsid w:val="00F6057F"/>
    <w:rsid w:val="00F96282"/>
    <w:rsid w:val="00F971D6"/>
    <w:rsid w:val="00FB4D1A"/>
    <w:rsid w:val="00FC3859"/>
    <w:rsid w:val="00FC4F53"/>
    <w:rsid w:val="00FF4F15"/>
    <w:rsid w:val="00FF71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ind w:left="284" w:hanging="284"/>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2A3673"/>
    <w:pPr>
      <w:tabs>
        <w:tab w:val="right" w:leader="dot" w:pos="9628"/>
      </w:tabs>
      <w:spacing w:before="240" w:after="100"/>
    </w:pPr>
    <w:rPr>
      <w:rFonts w:ascii="Arial" w:hAnsi="Arial" w:cs="Arial"/>
      <w:b/>
      <w:noProof/>
      <w:sz w:val="20"/>
      <w:szCs w:val="20"/>
    </w:rPr>
  </w:style>
  <w:style w:type="paragraph" w:styleId="TOC2">
    <w:name w:val="toc 2"/>
    <w:basedOn w:val="Normal"/>
    <w:next w:val="Normal"/>
    <w:autoRedefine/>
    <w:uiPriority w:val="39"/>
    <w:locked/>
    <w:rsid w:val="003479E1"/>
    <w:pPr>
      <w:tabs>
        <w:tab w:val="left" w:pos="880"/>
        <w:tab w:val="right" w:leader="dot" w:pos="9628"/>
      </w:tabs>
      <w:spacing w:after="120"/>
      <w:ind w:left="221"/>
    </w:pPr>
    <w:rPr>
      <w:rFonts w:ascii="Arial" w:hAnsi="Arial"/>
      <w:noProof/>
      <w:color w:val="0F243E" w:themeColor="text2" w:themeShade="80"/>
      <w:sz w:val="20"/>
    </w:rPr>
  </w:style>
  <w:style w:type="paragraph" w:customStyle="1" w:styleId="RecommendationStyle">
    <w:name w:val="Recommendation Style"/>
    <w:basedOn w:val="ATARecommendationHeading"/>
    <w:link w:val="RecommendationStyleChar"/>
    <w:qFormat/>
    <w:rsid w:val="00907971"/>
    <w:pPr>
      <w:numPr>
        <w:numId w:val="3"/>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72B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4897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03D4-C7BB-4ED4-B8F3-C74CEF0D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2800</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broadbentj</cp:lastModifiedBy>
  <cp:revision>4</cp:revision>
  <cp:lastPrinted>2012-04-05T05:32:00Z</cp:lastPrinted>
  <dcterms:created xsi:type="dcterms:W3CDTF">2012-04-05T05:02:00Z</dcterms:created>
  <dcterms:modified xsi:type="dcterms:W3CDTF">2012-04-05T05:41:00Z</dcterms:modified>
</cp:coreProperties>
</file>