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2660"/>
        <w:gridCol w:w="5670"/>
      </w:tblGrid>
      <w:tr w:rsidR="005E5E23" w:rsidTr="005E5E23">
        <w:trPr>
          <w:trHeight w:val="756"/>
        </w:trPr>
        <w:tc>
          <w:tcPr>
            <w:tcW w:w="2660" w:type="dxa"/>
            <w:vAlign w:val="center"/>
          </w:tcPr>
          <w:p w:rsidR="005E5E23" w:rsidRPr="00D735FF" w:rsidRDefault="005E5E23" w:rsidP="005E5E23">
            <w:pPr>
              <w:pStyle w:val="Header"/>
              <w:rPr>
                <w:rFonts w:ascii="Arial" w:hAnsi="Arial" w:cs="Arial"/>
                <w:b/>
                <w:sz w:val="28"/>
                <w:szCs w:val="28"/>
              </w:rPr>
            </w:pPr>
            <w:r>
              <w:rPr>
                <w:rFonts w:ascii="Arial" w:hAnsi="Arial" w:cs="Arial"/>
                <w:b/>
                <w:sz w:val="28"/>
                <w:szCs w:val="28"/>
              </w:rPr>
              <w:t>Submission to:</w:t>
            </w:r>
          </w:p>
        </w:tc>
        <w:tc>
          <w:tcPr>
            <w:tcW w:w="5670" w:type="dxa"/>
            <w:vAlign w:val="center"/>
          </w:tcPr>
          <w:p w:rsidR="005E5E23" w:rsidRPr="00D735FF" w:rsidRDefault="005E5E23" w:rsidP="00190635">
            <w:pPr>
              <w:pStyle w:val="Header"/>
              <w:tabs>
                <w:tab w:val="clear" w:pos="4513"/>
              </w:tabs>
              <w:rPr>
                <w:rFonts w:ascii="Arial" w:hAnsi="Arial" w:cs="Arial"/>
                <w:sz w:val="28"/>
                <w:szCs w:val="28"/>
              </w:rPr>
            </w:pPr>
            <w:r>
              <w:rPr>
                <w:rFonts w:ascii="Arial" w:hAnsi="Arial" w:cs="Arial"/>
                <w:sz w:val="28"/>
                <w:szCs w:val="28"/>
              </w:rPr>
              <w:t>NSW Minister for Roads and Ports</w:t>
            </w:r>
          </w:p>
        </w:tc>
      </w:tr>
      <w:tr w:rsidR="005E5E23" w:rsidTr="005E5E23">
        <w:trPr>
          <w:trHeight w:val="756"/>
        </w:trPr>
        <w:tc>
          <w:tcPr>
            <w:tcW w:w="2660" w:type="dxa"/>
            <w:vAlign w:val="center"/>
          </w:tcPr>
          <w:p w:rsidR="005E5E23" w:rsidRPr="00D735FF" w:rsidRDefault="005E5E23" w:rsidP="005E5E23">
            <w:pPr>
              <w:pStyle w:val="Header"/>
              <w:rPr>
                <w:rFonts w:ascii="Arial" w:hAnsi="Arial" w:cs="Arial"/>
                <w:b/>
                <w:sz w:val="28"/>
                <w:szCs w:val="28"/>
              </w:rPr>
            </w:pPr>
            <w:r>
              <w:rPr>
                <w:rFonts w:ascii="Arial" w:hAnsi="Arial" w:cs="Arial"/>
                <w:b/>
                <w:sz w:val="28"/>
                <w:szCs w:val="28"/>
              </w:rPr>
              <w:t>Title:</w:t>
            </w:r>
          </w:p>
        </w:tc>
        <w:tc>
          <w:tcPr>
            <w:tcW w:w="5670" w:type="dxa"/>
            <w:vAlign w:val="center"/>
          </w:tcPr>
          <w:p w:rsidR="005E5E23" w:rsidRPr="00D735FF" w:rsidRDefault="005E5E23" w:rsidP="005E5E23">
            <w:pPr>
              <w:pStyle w:val="Header"/>
              <w:rPr>
                <w:rFonts w:ascii="Arial" w:hAnsi="Arial" w:cs="Arial"/>
                <w:sz w:val="28"/>
                <w:szCs w:val="28"/>
              </w:rPr>
            </w:pPr>
            <w:r>
              <w:rPr>
                <w:rFonts w:ascii="Arial" w:hAnsi="Arial" w:cs="Arial"/>
                <w:sz w:val="28"/>
                <w:szCs w:val="28"/>
              </w:rPr>
              <w:t>The Intelligent Access Program and Prescriptive Modular Combinations</w:t>
            </w:r>
          </w:p>
        </w:tc>
      </w:tr>
      <w:tr w:rsidR="005E5E23" w:rsidTr="005E5E23">
        <w:trPr>
          <w:trHeight w:val="756"/>
        </w:trPr>
        <w:tc>
          <w:tcPr>
            <w:tcW w:w="2660" w:type="dxa"/>
            <w:vAlign w:val="center"/>
          </w:tcPr>
          <w:p w:rsidR="005E5E23" w:rsidRPr="00D735FF" w:rsidRDefault="005E5E23" w:rsidP="005E5E23">
            <w:pPr>
              <w:pStyle w:val="Header"/>
              <w:rPr>
                <w:rFonts w:ascii="Arial" w:hAnsi="Arial" w:cs="Arial"/>
                <w:b/>
                <w:sz w:val="28"/>
                <w:szCs w:val="28"/>
              </w:rPr>
            </w:pPr>
            <w:r w:rsidRPr="00D735FF">
              <w:rPr>
                <w:rFonts w:ascii="Arial" w:hAnsi="Arial" w:cs="Arial"/>
                <w:b/>
                <w:sz w:val="28"/>
                <w:szCs w:val="28"/>
              </w:rPr>
              <w:t>Date:</w:t>
            </w:r>
          </w:p>
        </w:tc>
        <w:tc>
          <w:tcPr>
            <w:tcW w:w="5670" w:type="dxa"/>
            <w:vAlign w:val="center"/>
          </w:tcPr>
          <w:p w:rsidR="005E5E23" w:rsidRPr="00D735FF" w:rsidRDefault="005E5E23" w:rsidP="005E5E23">
            <w:pPr>
              <w:pStyle w:val="Header"/>
              <w:rPr>
                <w:rFonts w:ascii="Arial" w:hAnsi="Arial" w:cs="Arial"/>
                <w:sz w:val="28"/>
                <w:szCs w:val="28"/>
              </w:rPr>
            </w:pPr>
            <w:r>
              <w:rPr>
                <w:rFonts w:ascii="Arial" w:hAnsi="Arial" w:cs="Arial"/>
                <w:sz w:val="28"/>
                <w:szCs w:val="28"/>
              </w:rPr>
              <w:t>August</w:t>
            </w:r>
            <w:r w:rsidRPr="00D735FF">
              <w:rPr>
                <w:rFonts w:ascii="Arial" w:hAnsi="Arial" w:cs="Arial"/>
                <w:sz w:val="28"/>
                <w:szCs w:val="28"/>
              </w:rPr>
              <w:t xml:space="preserve"> 2011</w:t>
            </w:r>
          </w:p>
        </w:tc>
      </w:tr>
    </w:tbl>
    <w:p w:rsidR="005E5E23" w:rsidRDefault="005E5E23" w:rsidP="005E5E23">
      <w:pPr>
        <w:pStyle w:val="Header"/>
        <w:rPr>
          <w:rFonts w:ascii="Arial" w:hAnsi="Arial" w:cs="Arial"/>
          <w:sz w:val="16"/>
          <w:szCs w:val="16"/>
        </w:rPr>
      </w:pPr>
    </w:p>
    <w:p w:rsidR="005E5E23" w:rsidRDefault="005E5E23" w:rsidP="005E5E23">
      <w:pPr>
        <w:pStyle w:val="Header"/>
        <w:rPr>
          <w:rFonts w:ascii="Arial" w:hAnsi="Arial" w:cs="Arial"/>
          <w:sz w:val="16"/>
          <w:szCs w:val="16"/>
        </w:rPr>
      </w:pPr>
    </w:p>
    <w:p w:rsidR="005E5E23" w:rsidRPr="003E2B20" w:rsidRDefault="005E5E23" w:rsidP="005E5E23">
      <w:pPr>
        <w:pStyle w:val="Header"/>
        <w:rPr>
          <w:rFonts w:ascii="Arial" w:hAnsi="Arial" w:cs="Arial"/>
          <w:sz w:val="16"/>
          <w:szCs w:val="16"/>
        </w:rPr>
      </w:pPr>
    </w:p>
    <w:p w:rsidR="005E5E23" w:rsidRDefault="005E5E23" w:rsidP="005E5E23">
      <w:pPr>
        <w:rPr>
          <w:rFonts w:ascii="Arial" w:hAnsi="Arial" w:cs="Arial"/>
        </w:rPr>
        <w:sectPr w:rsidR="005E5E23" w:rsidSect="005E5E23">
          <w:footerReference w:type="default" r:id="rId8"/>
          <w:headerReference w:type="first" r:id="rId9"/>
          <w:footerReference w:type="first" r:id="rId10"/>
          <w:pgSz w:w="11906" w:h="16838"/>
          <w:pgMar w:top="5103" w:right="1133" w:bottom="1418" w:left="1134" w:header="851" w:footer="651" w:gutter="0"/>
          <w:cols w:space="708"/>
          <w:docGrid w:linePitch="360"/>
        </w:sectPr>
      </w:pPr>
    </w:p>
    <w:p w:rsidR="005A5B63" w:rsidRPr="000D2FC9" w:rsidRDefault="005A5B63" w:rsidP="005A5B63">
      <w:pPr>
        <w:spacing w:after="0" w:line="280" w:lineRule="atLeast"/>
        <w:jc w:val="both"/>
        <w:rPr>
          <w:rFonts w:ascii="Arial" w:hAnsi="Arial" w:cs="Arial"/>
          <w:lang w:eastAsia="en-US"/>
        </w:rPr>
      </w:pPr>
    </w:p>
    <w:p w:rsidR="000F7F04" w:rsidRPr="00465517" w:rsidRDefault="000F7F04" w:rsidP="00465517">
      <w:pPr>
        <w:spacing w:after="0" w:line="240" w:lineRule="auto"/>
        <w:rPr>
          <w:rFonts w:ascii="Arial" w:eastAsia="Calibri" w:hAnsi="Arial" w:cs="Arial"/>
          <w:b/>
          <w:color w:val="000064"/>
          <w:sz w:val="28"/>
          <w:szCs w:val="28"/>
          <w:lang w:eastAsia="en-US"/>
        </w:rPr>
      </w:pPr>
      <w:bookmarkStart w:id="0" w:name="_Toc301346291"/>
      <w:r w:rsidRPr="00465517">
        <w:rPr>
          <w:rFonts w:ascii="Arial" w:eastAsia="Calibri" w:hAnsi="Arial" w:cs="Arial"/>
          <w:b/>
          <w:color w:val="000064"/>
          <w:sz w:val="28"/>
          <w:szCs w:val="28"/>
          <w:lang w:eastAsia="en-US"/>
        </w:rPr>
        <w:t>The Intelligent Access Program and Prescriptive Modular Combinations</w:t>
      </w:r>
      <w:bookmarkEnd w:id="0"/>
    </w:p>
    <w:p w:rsidR="005A5B63" w:rsidRPr="000D2FC9" w:rsidRDefault="005A5B63" w:rsidP="005A5B63">
      <w:pPr>
        <w:spacing w:after="0" w:line="280" w:lineRule="atLeast"/>
        <w:jc w:val="both"/>
        <w:rPr>
          <w:rFonts w:ascii="Arial" w:hAnsi="Arial" w:cs="Arial"/>
          <w:lang w:eastAsia="en-US"/>
        </w:rPr>
      </w:pPr>
    </w:p>
    <w:p w:rsidR="000F7F04" w:rsidRPr="00465517" w:rsidRDefault="000F7F04" w:rsidP="00465517">
      <w:pPr>
        <w:spacing w:after="0" w:line="240" w:lineRule="auto"/>
        <w:rPr>
          <w:rFonts w:ascii="Arial" w:eastAsia="Calibri" w:hAnsi="Arial" w:cs="Arial"/>
          <w:b/>
          <w:color w:val="000064"/>
          <w:sz w:val="24"/>
          <w:szCs w:val="24"/>
          <w:lang w:eastAsia="en-US"/>
        </w:rPr>
      </w:pPr>
      <w:bookmarkStart w:id="1" w:name="_Toc301346292"/>
      <w:r w:rsidRPr="00465517">
        <w:rPr>
          <w:rFonts w:ascii="Arial" w:eastAsia="Calibri" w:hAnsi="Arial" w:cs="Arial"/>
          <w:b/>
          <w:color w:val="000064"/>
          <w:sz w:val="24"/>
          <w:szCs w:val="24"/>
          <w:lang w:eastAsia="en-US"/>
        </w:rPr>
        <w:t>Executive Summary</w:t>
      </w:r>
      <w:bookmarkEnd w:id="1"/>
    </w:p>
    <w:p w:rsidR="000F7F04" w:rsidRPr="000D2FC9" w:rsidRDefault="000F7F04" w:rsidP="000B5D2B">
      <w:pPr>
        <w:spacing w:after="0" w:line="300" w:lineRule="atLeast"/>
        <w:jc w:val="both"/>
        <w:rPr>
          <w:rFonts w:ascii="Arial" w:hAnsi="Arial" w:cs="Arial"/>
          <w:lang w:eastAsia="en-US"/>
        </w:rPr>
      </w:pPr>
    </w:p>
    <w:p w:rsidR="000F7F04" w:rsidRPr="000D2FC9" w:rsidRDefault="000F7F04" w:rsidP="000B5D2B">
      <w:pPr>
        <w:spacing w:after="0" w:line="300" w:lineRule="atLeast"/>
        <w:jc w:val="both"/>
        <w:rPr>
          <w:rFonts w:ascii="Arial" w:hAnsi="Arial" w:cs="Arial"/>
          <w:lang w:eastAsia="en-US"/>
        </w:rPr>
      </w:pPr>
      <w:r w:rsidRPr="000D2FC9">
        <w:rPr>
          <w:rFonts w:ascii="Arial" w:hAnsi="Arial" w:cs="Arial"/>
          <w:lang w:eastAsia="en-US"/>
        </w:rPr>
        <w:t>The Australian Trucking Association (ATA) is the peak body that represents the trucking industry. Its members include the state and sector based trucking associations, the Transport Workers Union, some of the nation’s largest transport companies,</w:t>
      </w:r>
      <w:r w:rsidR="00AB78B1" w:rsidRPr="000D2FC9">
        <w:rPr>
          <w:rFonts w:ascii="Arial" w:hAnsi="Arial" w:cs="Arial"/>
          <w:lang w:eastAsia="en-US"/>
        </w:rPr>
        <w:t xml:space="preserve"> and businesses with leading expertise in truck technology.</w:t>
      </w:r>
    </w:p>
    <w:p w:rsidR="0010335B" w:rsidRPr="000D2FC9" w:rsidRDefault="0010335B" w:rsidP="000B5D2B">
      <w:pPr>
        <w:spacing w:after="0" w:line="300" w:lineRule="atLeast"/>
        <w:jc w:val="both"/>
        <w:rPr>
          <w:rFonts w:ascii="Arial" w:hAnsi="Arial" w:cs="Arial"/>
          <w:lang w:eastAsia="en-US"/>
        </w:rPr>
      </w:pPr>
    </w:p>
    <w:p w:rsidR="00E77F66" w:rsidRPr="000D2FC9" w:rsidRDefault="00E77F66" w:rsidP="000B5D2B">
      <w:pPr>
        <w:spacing w:after="0" w:line="300" w:lineRule="atLeast"/>
        <w:jc w:val="both"/>
        <w:rPr>
          <w:rFonts w:ascii="Arial" w:hAnsi="Arial" w:cs="Arial"/>
          <w:lang w:eastAsia="en-US"/>
        </w:rPr>
      </w:pPr>
      <w:r w:rsidRPr="000D2FC9">
        <w:rPr>
          <w:rFonts w:ascii="Arial" w:hAnsi="Arial" w:cs="Arial"/>
          <w:lang w:eastAsia="en-US"/>
        </w:rPr>
        <w:t xml:space="preserve">The Intelligent Access Program </w:t>
      </w:r>
      <w:r w:rsidR="00231A09" w:rsidRPr="000D2FC9">
        <w:rPr>
          <w:rFonts w:ascii="Arial" w:hAnsi="Arial" w:cs="Arial"/>
          <w:lang w:eastAsia="en-US"/>
        </w:rPr>
        <w:t xml:space="preserve">(IAP) </w:t>
      </w:r>
      <w:r w:rsidRPr="000D2FC9">
        <w:rPr>
          <w:rFonts w:ascii="Arial" w:hAnsi="Arial" w:cs="Arial"/>
          <w:lang w:eastAsia="en-US"/>
        </w:rPr>
        <w:t xml:space="preserve">was originally designed as a way for governments to remotely manage the potential risk of sensitive infrastructure being exposed to very heavy vehicles, plant, and equipment that could damage the infrastructure due to </w:t>
      </w:r>
      <w:r w:rsidR="002B73ED" w:rsidRPr="000D2FC9">
        <w:rPr>
          <w:rFonts w:ascii="Arial" w:hAnsi="Arial" w:cs="Arial"/>
          <w:lang w:eastAsia="en-US"/>
        </w:rPr>
        <w:t xml:space="preserve">unusual </w:t>
      </w:r>
      <w:r w:rsidRPr="000D2FC9">
        <w:rPr>
          <w:rFonts w:ascii="Arial" w:hAnsi="Arial" w:cs="Arial"/>
          <w:lang w:eastAsia="en-US"/>
        </w:rPr>
        <w:t>unit mass and mass distribution.</w:t>
      </w:r>
      <w:r w:rsidR="00B06E2E" w:rsidRPr="000D2FC9">
        <w:rPr>
          <w:rFonts w:ascii="Arial" w:hAnsi="Arial" w:cs="Arial"/>
          <w:lang w:eastAsia="en-US"/>
        </w:rPr>
        <w:t xml:space="preserve"> It was also </w:t>
      </w:r>
      <w:r w:rsidR="00AB78B1" w:rsidRPr="000D2FC9">
        <w:rPr>
          <w:rFonts w:ascii="Arial" w:hAnsi="Arial" w:cs="Arial"/>
          <w:lang w:eastAsia="en-US"/>
        </w:rPr>
        <w:t>develop</w:t>
      </w:r>
      <w:r w:rsidR="00B06E2E" w:rsidRPr="000D2FC9">
        <w:rPr>
          <w:rFonts w:ascii="Arial" w:hAnsi="Arial" w:cs="Arial"/>
          <w:lang w:eastAsia="en-US"/>
        </w:rPr>
        <w:t xml:space="preserve">ed for </w:t>
      </w:r>
      <w:r w:rsidR="00AB78B1" w:rsidRPr="000D2FC9">
        <w:rPr>
          <w:rFonts w:ascii="Arial" w:hAnsi="Arial" w:cs="Arial"/>
          <w:lang w:eastAsia="en-US"/>
        </w:rPr>
        <w:t>use</w:t>
      </w:r>
      <w:r w:rsidR="00B06E2E" w:rsidRPr="000D2FC9">
        <w:rPr>
          <w:rFonts w:ascii="Arial" w:hAnsi="Arial" w:cs="Arial"/>
          <w:lang w:eastAsia="en-US"/>
        </w:rPr>
        <w:t xml:space="preserve"> in </w:t>
      </w:r>
      <w:r w:rsidRPr="000D2FC9">
        <w:rPr>
          <w:rFonts w:ascii="Arial" w:hAnsi="Arial" w:cs="Arial"/>
          <w:lang w:eastAsia="en-US"/>
        </w:rPr>
        <w:t>Supervisory Intervention Order</w:t>
      </w:r>
      <w:r w:rsidR="00AB78B1" w:rsidRPr="000D2FC9">
        <w:rPr>
          <w:rFonts w:ascii="Arial" w:hAnsi="Arial" w:cs="Arial"/>
          <w:lang w:eastAsia="en-US"/>
        </w:rPr>
        <w:t>s</w:t>
      </w:r>
      <w:r w:rsidRPr="000D2FC9">
        <w:rPr>
          <w:rFonts w:ascii="Arial" w:hAnsi="Arial" w:cs="Arial"/>
          <w:lang w:eastAsia="en-US"/>
        </w:rPr>
        <w:t xml:space="preserve"> (SIO) for systematic or persistent offences in the mass, dimension and load restraint area.</w:t>
      </w:r>
    </w:p>
    <w:p w:rsidR="00E77F66" w:rsidRPr="000D2FC9" w:rsidRDefault="00E77F66" w:rsidP="000B5D2B">
      <w:pPr>
        <w:spacing w:after="0" w:line="300" w:lineRule="atLeast"/>
        <w:jc w:val="both"/>
        <w:rPr>
          <w:rFonts w:ascii="Arial" w:hAnsi="Arial" w:cs="Arial"/>
          <w:lang w:eastAsia="en-US"/>
        </w:rPr>
      </w:pPr>
    </w:p>
    <w:p w:rsidR="008704C8" w:rsidRPr="000D2FC9" w:rsidRDefault="0010335B" w:rsidP="000B5D2B">
      <w:pPr>
        <w:spacing w:after="0" w:line="300" w:lineRule="atLeast"/>
        <w:jc w:val="both"/>
        <w:rPr>
          <w:rFonts w:ascii="Arial" w:hAnsi="Arial" w:cs="Arial"/>
          <w:color w:val="000000" w:themeColor="text1"/>
          <w:lang w:eastAsia="en-US"/>
        </w:rPr>
      </w:pPr>
      <w:r w:rsidRPr="000D2FC9">
        <w:rPr>
          <w:rFonts w:ascii="Arial" w:hAnsi="Arial" w:cs="Arial"/>
          <w:color w:val="000000" w:themeColor="text1"/>
          <w:lang w:eastAsia="en-US"/>
        </w:rPr>
        <w:t xml:space="preserve">The previous NSW government implemented IAP in an ad hoc, disjointed manner. </w:t>
      </w:r>
      <w:r w:rsidR="008704C8" w:rsidRPr="000D2FC9">
        <w:rPr>
          <w:rFonts w:ascii="Arial" w:hAnsi="Arial" w:cs="Arial"/>
          <w:color w:val="000000" w:themeColor="text1"/>
          <w:lang w:eastAsia="en-US"/>
        </w:rPr>
        <w:t>In NSW</w:t>
      </w:r>
      <w:r w:rsidR="00AB78B1" w:rsidRPr="000D2FC9">
        <w:rPr>
          <w:rFonts w:ascii="Arial" w:hAnsi="Arial" w:cs="Arial"/>
          <w:color w:val="000000" w:themeColor="text1"/>
          <w:lang w:eastAsia="en-US"/>
        </w:rPr>
        <w:t>,</w:t>
      </w:r>
      <w:r w:rsidR="008704C8" w:rsidRPr="000D2FC9">
        <w:rPr>
          <w:rFonts w:ascii="Arial" w:hAnsi="Arial" w:cs="Arial"/>
          <w:color w:val="000000" w:themeColor="text1"/>
          <w:lang w:eastAsia="en-US"/>
        </w:rPr>
        <w:t xml:space="preserve"> the safer B-triple and AB-triple combinations, which provide alternatives to traditional road trains, are subject to additional access hurdles. Specifically, IAP monitoring and individual </w:t>
      </w:r>
      <w:proofErr w:type="gramStart"/>
      <w:r w:rsidR="008704C8" w:rsidRPr="000D2FC9">
        <w:rPr>
          <w:rFonts w:ascii="Arial" w:hAnsi="Arial" w:cs="Arial"/>
          <w:color w:val="000000" w:themeColor="text1"/>
          <w:lang w:eastAsia="en-US"/>
        </w:rPr>
        <w:t>permit</w:t>
      </w:r>
      <w:proofErr w:type="gramEnd"/>
      <w:r w:rsidR="008704C8" w:rsidRPr="000D2FC9">
        <w:rPr>
          <w:rFonts w:ascii="Arial" w:hAnsi="Arial" w:cs="Arial"/>
          <w:color w:val="000000" w:themeColor="text1"/>
          <w:lang w:eastAsia="en-US"/>
        </w:rPr>
        <w:t xml:space="preserve"> applications, whereas road trains operate without monitoring </w:t>
      </w:r>
      <w:r w:rsidR="002B73ED" w:rsidRPr="000D2FC9">
        <w:rPr>
          <w:rFonts w:ascii="Arial" w:hAnsi="Arial" w:cs="Arial"/>
          <w:color w:val="000000" w:themeColor="text1"/>
          <w:lang w:eastAsia="en-US"/>
        </w:rPr>
        <w:t>and</w:t>
      </w:r>
      <w:r w:rsidR="008704C8" w:rsidRPr="000D2FC9">
        <w:rPr>
          <w:rFonts w:ascii="Arial" w:hAnsi="Arial" w:cs="Arial"/>
          <w:color w:val="000000" w:themeColor="text1"/>
          <w:lang w:eastAsia="en-US"/>
        </w:rPr>
        <w:t xml:space="preserve"> </w:t>
      </w:r>
      <w:r w:rsidR="002B73ED" w:rsidRPr="000D2FC9">
        <w:rPr>
          <w:rFonts w:ascii="Arial" w:hAnsi="Arial" w:cs="Arial"/>
          <w:color w:val="000000" w:themeColor="text1"/>
          <w:lang w:eastAsia="en-US"/>
        </w:rPr>
        <w:t xml:space="preserve">on </w:t>
      </w:r>
      <w:r w:rsidR="008704C8" w:rsidRPr="000D2FC9">
        <w:rPr>
          <w:rFonts w:ascii="Arial" w:hAnsi="Arial" w:cs="Arial"/>
          <w:color w:val="000000" w:themeColor="text1"/>
          <w:lang w:eastAsia="en-US"/>
        </w:rPr>
        <w:t>any road in a prescribed area of NSW. Hence, the better, safer combination is disadvantaged, denying NSW productivity, environmental and more importantly safety gains.</w:t>
      </w:r>
    </w:p>
    <w:p w:rsidR="008704C8" w:rsidRPr="000D2FC9" w:rsidRDefault="008704C8" w:rsidP="000B5D2B">
      <w:pPr>
        <w:spacing w:after="0" w:line="300" w:lineRule="atLeast"/>
        <w:jc w:val="both"/>
        <w:rPr>
          <w:rFonts w:ascii="Arial" w:hAnsi="Arial" w:cs="Arial"/>
          <w:color w:val="000000" w:themeColor="text1"/>
          <w:lang w:eastAsia="en-US"/>
        </w:rPr>
      </w:pPr>
    </w:p>
    <w:p w:rsidR="008704C8" w:rsidRPr="000D2FC9" w:rsidRDefault="008704C8" w:rsidP="000B5D2B">
      <w:pPr>
        <w:spacing w:after="0" w:line="300" w:lineRule="atLeast"/>
        <w:jc w:val="both"/>
        <w:rPr>
          <w:rFonts w:ascii="Arial" w:hAnsi="Arial" w:cs="Arial"/>
          <w:lang w:eastAsia="en-US"/>
        </w:rPr>
      </w:pPr>
      <w:r w:rsidRPr="000D2FC9">
        <w:rPr>
          <w:rFonts w:ascii="Arial" w:hAnsi="Arial" w:cs="Arial"/>
          <w:lang w:eastAsia="en-US"/>
        </w:rPr>
        <w:t xml:space="preserve">In 1999 it was nationally agreed that where road friendly suspension was fitted additional mass could be carried with no additional pavement impact. </w:t>
      </w:r>
      <w:r w:rsidR="002B73ED" w:rsidRPr="000D2FC9">
        <w:rPr>
          <w:rFonts w:ascii="Arial" w:hAnsi="Arial" w:cs="Arial"/>
          <w:lang w:eastAsia="en-US"/>
        </w:rPr>
        <w:t xml:space="preserve">With regard to bridges, </w:t>
      </w:r>
      <w:r w:rsidRPr="000D2FC9">
        <w:rPr>
          <w:rFonts w:ascii="Arial" w:hAnsi="Arial" w:cs="Arial"/>
          <w:lang w:eastAsia="en-US"/>
        </w:rPr>
        <w:t xml:space="preserve">the National Road Transport Commission’s </w:t>
      </w:r>
      <w:r w:rsidRPr="000D2FC9">
        <w:rPr>
          <w:rFonts w:ascii="Arial" w:hAnsi="Arial" w:cs="Arial"/>
          <w:i/>
          <w:lang w:eastAsia="en-US"/>
        </w:rPr>
        <w:t>Increased Mass Limits: Compliance and Enforcement Issues</w:t>
      </w:r>
      <w:r w:rsidRPr="000D2FC9">
        <w:rPr>
          <w:rFonts w:ascii="Arial" w:hAnsi="Arial" w:cs="Arial"/>
          <w:lang w:eastAsia="en-US"/>
        </w:rPr>
        <w:t xml:space="preserve"> discussion paper, dated December 1997, </w:t>
      </w:r>
      <w:r w:rsidR="002B73ED" w:rsidRPr="000D2FC9">
        <w:rPr>
          <w:rFonts w:ascii="Arial" w:hAnsi="Arial" w:cs="Arial"/>
          <w:lang w:eastAsia="en-US"/>
        </w:rPr>
        <w:t>t</w:t>
      </w:r>
      <w:r w:rsidRPr="000D2FC9">
        <w:rPr>
          <w:rFonts w:ascii="Arial" w:hAnsi="Arial" w:cs="Arial"/>
          <w:lang w:eastAsia="en-US"/>
        </w:rPr>
        <w:t xml:space="preserve">he </w:t>
      </w:r>
      <w:r w:rsidR="002B73ED" w:rsidRPr="000D2FC9">
        <w:rPr>
          <w:rFonts w:ascii="Arial" w:hAnsi="Arial" w:cs="Arial"/>
          <w:lang w:eastAsia="en-US"/>
        </w:rPr>
        <w:t xml:space="preserve">NSW </w:t>
      </w:r>
      <w:r w:rsidRPr="000D2FC9">
        <w:rPr>
          <w:rFonts w:ascii="Arial" w:hAnsi="Arial" w:cs="Arial"/>
          <w:lang w:eastAsia="en-US"/>
        </w:rPr>
        <w:t>RTA summarised its comments on the effects of gross overloading on bridges as follows:</w:t>
      </w:r>
    </w:p>
    <w:p w:rsidR="008704C8" w:rsidRPr="000D2FC9" w:rsidRDefault="008704C8" w:rsidP="000B5D2B">
      <w:pPr>
        <w:spacing w:after="0" w:line="300" w:lineRule="atLeast"/>
        <w:jc w:val="both"/>
        <w:rPr>
          <w:rFonts w:ascii="Arial" w:hAnsi="Arial" w:cs="Arial"/>
          <w:lang w:eastAsia="en-US"/>
        </w:rPr>
      </w:pPr>
    </w:p>
    <w:p w:rsidR="008704C8" w:rsidRPr="000D2FC9" w:rsidRDefault="008704C8" w:rsidP="000B5D2B">
      <w:pPr>
        <w:spacing w:after="0" w:line="300" w:lineRule="atLeast"/>
        <w:ind w:left="284" w:right="284"/>
        <w:jc w:val="both"/>
        <w:rPr>
          <w:rFonts w:ascii="Arial" w:hAnsi="Arial" w:cs="Arial"/>
          <w:i/>
          <w:lang w:eastAsia="en-US"/>
        </w:rPr>
      </w:pPr>
      <w:r w:rsidRPr="000D2FC9">
        <w:rPr>
          <w:rFonts w:ascii="Arial" w:hAnsi="Arial" w:cs="Arial"/>
          <w:i/>
          <w:lang w:eastAsia="en-US"/>
        </w:rPr>
        <w:t>Concerns about gross overloading are usually related to serviceability issues, such as cracking and local damage, and increased rates of deterioration, rather than catastrophic failure.</w:t>
      </w:r>
    </w:p>
    <w:p w:rsidR="008704C8" w:rsidRPr="000D2FC9" w:rsidRDefault="008704C8" w:rsidP="000B5D2B">
      <w:pPr>
        <w:spacing w:after="0" w:line="300" w:lineRule="atLeast"/>
        <w:jc w:val="both"/>
        <w:rPr>
          <w:rFonts w:ascii="Arial" w:hAnsi="Arial" w:cs="Arial"/>
          <w:lang w:eastAsia="en-US"/>
        </w:rPr>
      </w:pPr>
    </w:p>
    <w:p w:rsidR="008704C8" w:rsidRPr="000D2FC9" w:rsidRDefault="00A26D5C" w:rsidP="000B5D2B">
      <w:pPr>
        <w:spacing w:after="0" w:line="300" w:lineRule="atLeast"/>
        <w:jc w:val="both"/>
        <w:rPr>
          <w:rFonts w:ascii="Arial" w:hAnsi="Arial" w:cs="Arial"/>
          <w:lang w:eastAsia="en-US"/>
        </w:rPr>
      </w:pPr>
      <w:r w:rsidRPr="000D2FC9">
        <w:rPr>
          <w:rFonts w:ascii="Arial" w:hAnsi="Arial" w:cs="Arial"/>
          <w:lang w:eastAsia="en-US"/>
        </w:rPr>
        <w:t xml:space="preserve">Austroads report AP-R239 </w:t>
      </w:r>
      <w:r w:rsidRPr="000D2FC9">
        <w:rPr>
          <w:rFonts w:ascii="Arial" w:hAnsi="Arial" w:cs="Arial"/>
          <w:i/>
          <w:lang w:eastAsia="en-US"/>
        </w:rPr>
        <w:t>Heavy vehicle compliance with speed and mass limits: Evidence from weigh-in-motion devices</w:t>
      </w:r>
      <w:r w:rsidRPr="000D2FC9">
        <w:rPr>
          <w:rFonts w:ascii="Arial" w:hAnsi="Arial" w:cs="Arial"/>
          <w:lang w:eastAsia="en-US"/>
        </w:rPr>
        <w:t xml:space="preserve"> 2003 in the section regarding compliance with speed and mass limits notes the following:</w:t>
      </w:r>
    </w:p>
    <w:p w:rsidR="00A26D5C" w:rsidRPr="000D2FC9" w:rsidRDefault="00A26D5C" w:rsidP="000B5D2B">
      <w:pPr>
        <w:spacing w:after="0" w:line="300" w:lineRule="atLeast"/>
        <w:jc w:val="both"/>
        <w:rPr>
          <w:rFonts w:ascii="Arial" w:hAnsi="Arial" w:cs="Arial"/>
          <w:lang w:eastAsia="en-US"/>
        </w:rPr>
      </w:pPr>
    </w:p>
    <w:p w:rsidR="00A26D5C" w:rsidRPr="000D2FC9" w:rsidRDefault="00A26D5C" w:rsidP="000B5D2B">
      <w:pPr>
        <w:spacing w:after="0" w:line="300" w:lineRule="atLeast"/>
        <w:ind w:left="284" w:right="284"/>
        <w:jc w:val="both"/>
        <w:rPr>
          <w:rFonts w:ascii="Arial" w:hAnsi="Arial" w:cs="Arial"/>
          <w:i/>
          <w:lang w:eastAsia="en-US"/>
        </w:rPr>
      </w:pPr>
      <w:r w:rsidRPr="000D2FC9">
        <w:rPr>
          <w:rFonts w:ascii="Arial" w:hAnsi="Arial" w:cs="Arial"/>
          <w:i/>
          <w:lang w:eastAsia="en-US"/>
        </w:rPr>
        <w:t xml:space="preserve">Koniditsiotis (1997) concluded that … On average 0.16 percent of vehicles in class 8 and above </w:t>
      </w:r>
      <w:r w:rsidR="00344710" w:rsidRPr="000D2FC9">
        <w:rPr>
          <w:rFonts w:ascii="Arial" w:hAnsi="Arial" w:cs="Arial"/>
          <w:i/>
          <w:lang w:eastAsia="en-US"/>
        </w:rPr>
        <w:t>were overloaded by 30% or more.</w:t>
      </w:r>
    </w:p>
    <w:p w:rsidR="00A26D5C" w:rsidRPr="000D2FC9" w:rsidRDefault="00A26D5C" w:rsidP="000B5D2B">
      <w:pPr>
        <w:spacing w:after="0" w:line="300" w:lineRule="atLeast"/>
        <w:jc w:val="both"/>
        <w:rPr>
          <w:rFonts w:ascii="Arial" w:hAnsi="Arial" w:cs="Arial"/>
          <w:lang w:eastAsia="en-US"/>
        </w:rPr>
      </w:pPr>
    </w:p>
    <w:p w:rsidR="009556F4" w:rsidRPr="000D2FC9" w:rsidRDefault="009556F4" w:rsidP="000B5D2B">
      <w:pPr>
        <w:spacing w:after="0" w:line="300" w:lineRule="atLeast"/>
        <w:jc w:val="both"/>
        <w:rPr>
          <w:rFonts w:ascii="Arial" w:hAnsi="Arial" w:cs="Arial"/>
          <w:lang w:eastAsia="en-US"/>
        </w:rPr>
      </w:pPr>
      <w:r w:rsidRPr="000D2FC9">
        <w:rPr>
          <w:rFonts w:ascii="Arial" w:hAnsi="Arial" w:cs="Arial"/>
          <w:lang w:eastAsia="en-US"/>
        </w:rPr>
        <w:t>Since this time, compliance and enforcement enhancements have markedly reduced overloading even further.</w:t>
      </w:r>
      <w:r w:rsidR="002B73ED" w:rsidRPr="000D2FC9">
        <w:rPr>
          <w:rFonts w:ascii="Arial" w:hAnsi="Arial" w:cs="Arial"/>
          <w:lang w:eastAsia="en-US"/>
        </w:rPr>
        <w:t xml:space="preserve"> It is safe to assume that gross overloading is a very rare event, and HMLs effect on bridges is negligible.</w:t>
      </w:r>
    </w:p>
    <w:p w:rsidR="009556F4" w:rsidRPr="000D2FC9" w:rsidRDefault="009556F4" w:rsidP="000B5D2B">
      <w:pPr>
        <w:spacing w:after="0" w:line="300" w:lineRule="atLeast"/>
        <w:jc w:val="both"/>
        <w:rPr>
          <w:rFonts w:ascii="Arial" w:hAnsi="Arial" w:cs="Arial"/>
          <w:lang w:eastAsia="en-US"/>
        </w:rPr>
      </w:pPr>
    </w:p>
    <w:p w:rsidR="00E77F66" w:rsidRPr="000D2FC9" w:rsidRDefault="002B73ED" w:rsidP="000B5D2B">
      <w:pPr>
        <w:spacing w:after="0" w:line="300" w:lineRule="atLeast"/>
        <w:jc w:val="both"/>
        <w:rPr>
          <w:rFonts w:ascii="Arial" w:hAnsi="Arial" w:cs="Arial"/>
          <w:lang w:eastAsia="en-US"/>
        </w:rPr>
      </w:pPr>
      <w:r w:rsidRPr="000D2FC9">
        <w:rPr>
          <w:rFonts w:ascii="Arial" w:hAnsi="Arial" w:cs="Arial"/>
          <w:lang w:eastAsia="en-US"/>
        </w:rPr>
        <w:t xml:space="preserve">Further, the RTA position is at odds to latest national policies. </w:t>
      </w:r>
      <w:r w:rsidR="00E77F66" w:rsidRPr="000D2FC9">
        <w:rPr>
          <w:rFonts w:ascii="Arial" w:hAnsi="Arial" w:cs="Arial"/>
          <w:lang w:eastAsia="en-US"/>
        </w:rPr>
        <w:t xml:space="preserve">The NTC has recently released the </w:t>
      </w:r>
      <w:r w:rsidR="00E77F66" w:rsidRPr="000D2FC9">
        <w:rPr>
          <w:rFonts w:ascii="Arial" w:hAnsi="Arial" w:cs="Arial"/>
          <w:i/>
          <w:lang w:eastAsia="en-US"/>
        </w:rPr>
        <w:t>National in-vehicle telematics strategy: the road freight sector July 2011</w:t>
      </w:r>
      <w:r w:rsidR="00E77F66" w:rsidRPr="000D2FC9">
        <w:rPr>
          <w:rFonts w:ascii="Arial" w:hAnsi="Arial" w:cs="Arial"/>
          <w:lang w:eastAsia="en-US"/>
        </w:rPr>
        <w:t xml:space="preserve"> which was approved by ATC ministers in May 2011. The objective of the strategy is to:</w:t>
      </w:r>
    </w:p>
    <w:p w:rsidR="00E77F66" w:rsidRPr="000D2FC9" w:rsidRDefault="00E77F66" w:rsidP="000B5D2B">
      <w:pPr>
        <w:spacing w:after="0" w:line="300" w:lineRule="atLeast"/>
        <w:jc w:val="both"/>
        <w:rPr>
          <w:rFonts w:ascii="Arial" w:hAnsi="Arial" w:cs="Arial"/>
          <w:lang w:eastAsia="en-US"/>
        </w:rPr>
      </w:pPr>
    </w:p>
    <w:p w:rsidR="00E77F66" w:rsidRPr="000D2FC9" w:rsidRDefault="00E77F66" w:rsidP="000B5D2B">
      <w:pPr>
        <w:spacing w:after="0" w:line="300" w:lineRule="atLeast"/>
        <w:ind w:left="284" w:right="284"/>
        <w:jc w:val="both"/>
        <w:rPr>
          <w:rFonts w:ascii="Arial" w:hAnsi="Arial" w:cs="Arial"/>
          <w:i/>
          <w:lang w:eastAsia="en-US"/>
        </w:rPr>
      </w:pPr>
      <w:r w:rsidRPr="000D2FC9">
        <w:rPr>
          <w:rFonts w:ascii="Arial" w:hAnsi="Arial" w:cs="Arial"/>
          <w:i/>
          <w:lang w:eastAsia="en-US"/>
        </w:rPr>
        <w:lastRenderedPageBreak/>
        <w:t>Increase the potential for in-vehicle telematics to deliver new or greater benefits (better safety, productivity and environmental outcomes) to users and the community through a partnership between industry and government.</w:t>
      </w:r>
    </w:p>
    <w:p w:rsidR="000D2FC9" w:rsidRDefault="000D2FC9" w:rsidP="000B5D2B">
      <w:pPr>
        <w:spacing w:after="0" w:line="300" w:lineRule="atLeast"/>
        <w:rPr>
          <w:rFonts w:ascii="Arial" w:hAnsi="Arial" w:cs="Arial"/>
          <w:sz w:val="20"/>
          <w:szCs w:val="20"/>
          <w:lang w:eastAsia="en-US"/>
        </w:rPr>
      </w:pPr>
    </w:p>
    <w:p w:rsidR="00465CC4" w:rsidRPr="000D2FC9" w:rsidRDefault="00465CC4" w:rsidP="000B5D2B">
      <w:pPr>
        <w:spacing w:after="0" w:line="300" w:lineRule="atLeast"/>
        <w:jc w:val="both"/>
        <w:rPr>
          <w:rFonts w:ascii="Arial" w:hAnsi="Arial" w:cs="Arial"/>
          <w:lang w:eastAsia="en-US"/>
        </w:rPr>
      </w:pPr>
      <w:r w:rsidRPr="000D2FC9">
        <w:rPr>
          <w:rFonts w:ascii="Arial" w:hAnsi="Arial" w:cs="Arial"/>
          <w:lang w:eastAsia="en-US"/>
        </w:rPr>
        <w:t>The new strategy post-dates the previous NSW government’s decision to implement IAP, allowing the current NSW government to take steps to apply the new strategy in their policies.</w:t>
      </w:r>
    </w:p>
    <w:p w:rsidR="0010335B" w:rsidRPr="000D2FC9" w:rsidRDefault="0010335B" w:rsidP="000B5D2B">
      <w:pPr>
        <w:spacing w:after="0" w:line="300" w:lineRule="atLeast"/>
        <w:jc w:val="both"/>
        <w:rPr>
          <w:rFonts w:ascii="Arial" w:hAnsi="Arial" w:cs="Arial"/>
          <w:lang w:eastAsia="en-US"/>
        </w:rPr>
      </w:pPr>
    </w:p>
    <w:p w:rsidR="00E77F66" w:rsidRPr="00C75B7B" w:rsidRDefault="00E77F66" w:rsidP="000B5D2B">
      <w:pPr>
        <w:spacing w:after="0" w:line="300" w:lineRule="atLeast"/>
        <w:jc w:val="both"/>
        <w:rPr>
          <w:rFonts w:ascii="Arial" w:hAnsi="Arial" w:cs="Arial"/>
          <w:b/>
          <w:lang w:eastAsia="en-US"/>
        </w:rPr>
      </w:pPr>
      <w:r w:rsidRPr="00C75B7B">
        <w:rPr>
          <w:rFonts w:ascii="Arial" w:hAnsi="Arial" w:cs="Arial"/>
          <w:b/>
          <w:lang w:eastAsia="en-US"/>
        </w:rPr>
        <w:t xml:space="preserve">The </w:t>
      </w:r>
      <w:r w:rsidR="00EF57A2" w:rsidRPr="00C75B7B">
        <w:rPr>
          <w:rFonts w:ascii="Arial" w:hAnsi="Arial" w:cs="Arial"/>
          <w:b/>
          <w:lang w:eastAsia="en-US"/>
        </w:rPr>
        <w:t>ATA recommends the new NSW government</w:t>
      </w:r>
      <w:r w:rsidR="008F52F5" w:rsidRPr="00C75B7B">
        <w:rPr>
          <w:rFonts w:ascii="Arial" w:hAnsi="Arial" w:cs="Arial"/>
          <w:b/>
          <w:lang w:eastAsia="en-US"/>
        </w:rPr>
        <w:t>:</w:t>
      </w:r>
    </w:p>
    <w:p w:rsidR="008F52F5" w:rsidRPr="00C75B7B" w:rsidRDefault="008F52F5" w:rsidP="000B5D2B">
      <w:pPr>
        <w:spacing w:after="0" w:line="300" w:lineRule="atLeast"/>
        <w:jc w:val="both"/>
        <w:rPr>
          <w:rFonts w:ascii="Arial" w:hAnsi="Arial" w:cs="Arial"/>
          <w:b/>
          <w:lang w:eastAsia="en-US"/>
        </w:rPr>
      </w:pPr>
    </w:p>
    <w:p w:rsidR="00E77F66" w:rsidRPr="00C75B7B" w:rsidRDefault="00EF57A2" w:rsidP="000B5D2B">
      <w:pPr>
        <w:numPr>
          <w:ilvl w:val="0"/>
          <w:numId w:val="31"/>
        </w:numPr>
        <w:spacing w:before="120" w:after="120" w:line="300" w:lineRule="atLeast"/>
        <w:ind w:left="714" w:hanging="357"/>
        <w:jc w:val="both"/>
        <w:rPr>
          <w:rFonts w:ascii="Arial" w:hAnsi="Arial" w:cs="Arial"/>
          <w:b/>
          <w:lang w:eastAsia="en-US"/>
        </w:rPr>
      </w:pPr>
      <w:r w:rsidRPr="00C75B7B">
        <w:rPr>
          <w:rFonts w:ascii="Arial" w:hAnsi="Arial" w:cs="Arial"/>
          <w:b/>
          <w:lang w:eastAsia="en-US"/>
        </w:rPr>
        <w:t>remove</w:t>
      </w:r>
      <w:r w:rsidR="00465CC4" w:rsidRPr="00C75B7B">
        <w:rPr>
          <w:rFonts w:ascii="Arial" w:hAnsi="Arial" w:cs="Arial"/>
          <w:b/>
          <w:lang w:eastAsia="en-US"/>
        </w:rPr>
        <w:t>s</w:t>
      </w:r>
      <w:r w:rsidRPr="00C75B7B">
        <w:rPr>
          <w:rFonts w:ascii="Arial" w:hAnsi="Arial" w:cs="Arial"/>
          <w:b/>
          <w:lang w:eastAsia="en-US"/>
        </w:rPr>
        <w:t xml:space="preserve"> </w:t>
      </w:r>
      <w:r w:rsidR="00E77F66" w:rsidRPr="00C75B7B">
        <w:rPr>
          <w:rFonts w:ascii="Arial" w:hAnsi="Arial" w:cs="Arial"/>
          <w:b/>
          <w:lang w:eastAsia="en-US"/>
        </w:rPr>
        <w:t xml:space="preserve">IAP </w:t>
      </w:r>
      <w:r w:rsidRPr="00C75B7B">
        <w:rPr>
          <w:rFonts w:ascii="Arial" w:hAnsi="Arial" w:cs="Arial"/>
          <w:b/>
          <w:lang w:eastAsia="en-US"/>
        </w:rPr>
        <w:t>from prescriptive modular combinations;</w:t>
      </w:r>
    </w:p>
    <w:p w:rsidR="00465CC4" w:rsidRPr="00C75B7B" w:rsidRDefault="00465CC4" w:rsidP="000B5D2B">
      <w:pPr>
        <w:numPr>
          <w:ilvl w:val="0"/>
          <w:numId w:val="31"/>
        </w:numPr>
        <w:spacing w:before="120" w:after="120" w:line="300" w:lineRule="atLeast"/>
        <w:ind w:left="714" w:hanging="357"/>
        <w:jc w:val="both"/>
        <w:rPr>
          <w:rFonts w:ascii="Arial" w:hAnsi="Arial" w:cs="Arial"/>
          <w:b/>
          <w:lang w:eastAsia="en-US"/>
        </w:rPr>
      </w:pPr>
      <w:r w:rsidRPr="00C75B7B">
        <w:rPr>
          <w:rFonts w:ascii="Arial" w:hAnsi="Arial" w:cs="Arial"/>
          <w:b/>
          <w:lang w:eastAsia="en-US"/>
        </w:rPr>
        <w:t>removes IAP from vehicles accessing HML;</w:t>
      </w:r>
    </w:p>
    <w:p w:rsidR="00E77F66" w:rsidRPr="00C75B7B" w:rsidRDefault="00E77F66" w:rsidP="000B5D2B">
      <w:pPr>
        <w:numPr>
          <w:ilvl w:val="0"/>
          <w:numId w:val="31"/>
        </w:numPr>
        <w:spacing w:before="120" w:after="120" w:line="300" w:lineRule="atLeast"/>
        <w:ind w:left="714" w:hanging="357"/>
        <w:jc w:val="both"/>
        <w:rPr>
          <w:rFonts w:ascii="Arial" w:hAnsi="Arial" w:cs="Arial"/>
          <w:b/>
          <w:color w:val="000000" w:themeColor="text1"/>
          <w:lang w:eastAsia="en-US"/>
        </w:rPr>
      </w:pPr>
      <w:r w:rsidRPr="00C75B7B">
        <w:rPr>
          <w:rFonts w:ascii="Arial" w:hAnsi="Arial" w:cs="Arial"/>
          <w:b/>
          <w:color w:val="000000" w:themeColor="text1"/>
          <w:lang w:eastAsia="en-US"/>
        </w:rPr>
        <w:t>encourage</w:t>
      </w:r>
      <w:r w:rsidR="00465CC4" w:rsidRPr="00C75B7B">
        <w:rPr>
          <w:rFonts w:ascii="Arial" w:hAnsi="Arial" w:cs="Arial"/>
          <w:b/>
          <w:color w:val="000000" w:themeColor="text1"/>
          <w:lang w:eastAsia="en-US"/>
        </w:rPr>
        <w:t>s</w:t>
      </w:r>
      <w:r w:rsidRPr="00C75B7B">
        <w:rPr>
          <w:rFonts w:ascii="Arial" w:hAnsi="Arial" w:cs="Arial"/>
          <w:b/>
          <w:color w:val="000000" w:themeColor="text1"/>
          <w:lang w:eastAsia="en-US"/>
        </w:rPr>
        <w:t xml:space="preserve"> the use of prescriptive modular combinations </w:t>
      </w:r>
      <w:r w:rsidR="008F52F5" w:rsidRPr="00C75B7B">
        <w:rPr>
          <w:rFonts w:ascii="Arial" w:hAnsi="Arial" w:cs="Arial"/>
          <w:b/>
          <w:color w:val="000000" w:themeColor="text1"/>
          <w:lang w:eastAsia="en-US"/>
        </w:rPr>
        <w:t>for productivity, safety and environmental gains</w:t>
      </w:r>
      <w:r w:rsidR="002B73ED" w:rsidRPr="00C75B7B">
        <w:rPr>
          <w:rFonts w:ascii="Arial" w:hAnsi="Arial" w:cs="Arial"/>
          <w:b/>
          <w:color w:val="000000" w:themeColor="text1"/>
          <w:lang w:eastAsia="en-US"/>
        </w:rPr>
        <w:t xml:space="preserve"> by opening the road train network to these vehicles</w:t>
      </w:r>
      <w:r w:rsidR="00EF57A2" w:rsidRPr="00C75B7B">
        <w:rPr>
          <w:rFonts w:ascii="Arial" w:hAnsi="Arial" w:cs="Arial"/>
          <w:b/>
          <w:color w:val="000000" w:themeColor="text1"/>
          <w:lang w:eastAsia="en-US"/>
        </w:rPr>
        <w:t xml:space="preserve"> without the requirement to fit IAP</w:t>
      </w:r>
      <w:r w:rsidR="008F52F5" w:rsidRPr="00C75B7B">
        <w:rPr>
          <w:rFonts w:ascii="Arial" w:hAnsi="Arial" w:cs="Arial"/>
          <w:b/>
          <w:color w:val="000000" w:themeColor="text1"/>
          <w:lang w:eastAsia="en-US"/>
        </w:rPr>
        <w:t>;</w:t>
      </w:r>
      <w:r w:rsidR="00465CC4" w:rsidRPr="00C75B7B">
        <w:rPr>
          <w:rFonts w:ascii="Arial" w:hAnsi="Arial" w:cs="Arial"/>
          <w:b/>
          <w:color w:val="000000" w:themeColor="text1"/>
          <w:lang w:eastAsia="en-US"/>
        </w:rPr>
        <w:t xml:space="preserve"> and</w:t>
      </w:r>
    </w:p>
    <w:p w:rsidR="008F52F5" w:rsidRPr="00C75B7B" w:rsidRDefault="008F52F5" w:rsidP="000B5D2B">
      <w:pPr>
        <w:numPr>
          <w:ilvl w:val="0"/>
          <w:numId w:val="31"/>
        </w:numPr>
        <w:spacing w:before="120" w:after="120" w:line="300" w:lineRule="atLeast"/>
        <w:ind w:left="714" w:hanging="357"/>
        <w:jc w:val="both"/>
        <w:rPr>
          <w:rFonts w:ascii="Arial" w:hAnsi="Arial" w:cs="Arial"/>
          <w:b/>
          <w:lang w:eastAsia="en-US"/>
        </w:rPr>
      </w:pPr>
      <w:proofErr w:type="gramStart"/>
      <w:r w:rsidRPr="00C75B7B">
        <w:rPr>
          <w:rFonts w:ascii="Arial" w:hAnsi="Arial" w:cs="Arial"/>
          <w:b/>
          <w:lang w:eastAsia="en-US"/>
        </w:rPr>
        <w:t>reduce</w:t>
      </w:r>
      <w:r w:rsidR="00465CC4" w:rsidRPr="00C75B7B">
        <w:rPr>
          <w:rFonts w:ascii="Arial" w:hAnsi="Arial" w:cs="Arial"/>
          <w:b/>
          <w:lang w:eastAsia="en-US"/>
        </w:rPr>
        <w:t>s</w:t>
      </w:r>
      <w:proofErr w:type="gramEnd"/>
      <w:r w:rsidRPr="00C75B7B">
        <w:rPr>
          <w:rFonts w:ascii="Arial" w:hAnsi="Arial" w:cs="Arial"/>
          <w:b/>
          <w:lang w:eastAsia="en-US"/>
        </w:rPr>
        <w:t xml:space="preserve"> the administrative burden on the industry</w:t>
      </w:r>
      <w:r w:rsidR="00465CC4" w:rsidRPr="00C75B7B">
        <w:rPr>
          <w:rFonts w:ascii="Arial" w:hAnsi="Arial" w:cs="Arial"/>
          <w:b/>
          <w:lang w:eastAsia="en-US"/>
        </w:rPr>
        <w:t xml:space="preserve"> by removing the requirement for IAP on low risk vehicles.</w:t>
      </w:r>
    </w:p>
    <w:p w:rsidR="00E77F66" w:rsidRPr="000D2FC9" w:rsidRDefault="00E77F66" w:rsidP="000B5D2B">
      <w:pPr>
        <w:spacing w:after="0" w:line="300" w:lineRule="atLeast"/>
        <w:jc w:val="both"/>
        <w:rPr>
          <w:rFonts w:ascii="Arial" w:hAnsi="Arial" w:cs="Arial"/>
          <w:lang w:eastAsia="en-US"/>
        </w:rPr>
      </w:pPr>
    </w:p>
    <w:p w:rsidR="00E77F66" w:rsidRPr="000D2FC9" w:rsidRDefault="008F52F5" w:rsidP="000B5D2B">
      <w:pPr>
        <w:spacing w:after="0" w:line="300" w:lineRule="atLeast"/>
        <w:jc w:val="both"/>
        <w:rPr>
          <w:rFonts w:ascii="Arial" w:hAnsi="Arial" w:cs="Arial"/>
          <w:lang w:eastAsia="en-US"/>
        </w:rPr>
      </w:pPr>
      <w:r w:rsidRPr="000D2FC9">
        <w:rPr>
          <w:rFonts w:ascii="Arial" w:hAnsi="Arial" w:cs="Arial"/>
          <w:lang w:eastAsia="en-US"/>
        </w:rPr>
        <w:t>The recent positive announcement by Minister Gay regarding higher mass limit roads and making the</w:t>
      </w:r>
      <w:r w:rsidR="002B73ED" w:rsidRPr="000D2FC9">
        <w:rPr>
          <w:rFonts w:ascii="Arial" w:hAnsi="Arial" w:cs="Arial"/>
          <w:lang w:eastAsia="en-US"/>
        </w:rPr>
        <w:t xml:space="preserve"> relevant HML</w:t>
      </w:r>
      <w:r w:rsidRPr="000D2FC9">
        <w:rPr>
          <w:rFonts w:ascii="Arial" w:hAnsi="Arial" w:cs="Arial"/>
          <w:lang w:eastAsia="en-US"/>
        </w:rPr>
        <w:t xml:space="preserve"> maps accessible </w:t>
      </w:r>
      <w:r w:rsidR="002B73ED" w:rsidRPr="000D2FC9">
        <w:rPr>
          <w:rFonts w:ascii="Arial" w:hAnsi="Arial" w:cs="Arial"/>
          <w:lang w:eastAsia="en-US"/>
        </w:rPr>
        <w:t xml:space="preserve">without condition </w:t>
      </w:r>
      <w:r w:rsidRPr="000D2FC9">
        <w:rPr>
          <w:rFonts w:ascii="Arial" w:hAnsi="Arial" w:cs="Arial"/>
          <w:lang w:eastAsia="en-US"/>
        </w:rPr>
        <w:t xml:space="preserve">is a step in the right direction. Following through on that common sense decision with further improvements </w:t>
      </w:r>
      <w:r w:rsidR="002B73ED" w:rsidRPr="000D2FC9">
        <w:rPr>
          <w:rFonts w:ascii="Arial" w:hAnsi="Arial" w:cs="Arial"/>
          <w:lang w:eastAsia="en-US"/>
        </w:rPr>
        <w:t xml:space="preserve">by sensible access arrangements without IAP </w:t>
      </w:r>
      <w:r w:rsidRPr="000D2FC9">
        <w:rPr>
          <w:rFonts w:ascii="Arial" w:hAnsi="Arial" w:cs="Arial"/>
          <w:lang w:eastAsia="en-US"/>
        </w:rPr>
        <w:t xml:space="preserve">will garner </w:t>
      </w:r>
      <w:r w:rsidR="00465CC4" w:rsidRPr="000D2FC9">
        <w:rPr>
          <w:rFonts w:ascii="Arial" w:hAnsi="Arial" w:cs="Arial"/>
          <w:lang w:eastAsia="en-US"/>
        </w:rPr>
        <w:t>solid</w:t>
      </w:r>
      <w:r w:rsidRPr="000D2FC9">
        <w:rPr>
          <w:rFonts w:ascii="Arial" w:hAnsi="Arial" w:cs="Arial"/>
          <w:lang w:eastAsia="en-US"/>
        </w:rPr>
        <w:t xml:space="preserve"> support from the transport industry</w:t>
      </w:r>
      <w:r w:rsidR="00465CC4" w:rsidRPr="000D2FC9">
        <w:rPr>
          <w:rFonts w:ascii="Arial" w:hAnsi="Arial" w:cs="Arial"/>
          <w:lang w:eastAsia="en-US"/>
        </w:rPr>
        <w:t>, which will provide ongoing benefits for NSW</w:t>
      </w:r>
      <w:r w:rsidRPr="000D2FC9">
        <w:rPr>
          <w:rFonts w:ascii="Arial" w:hAnsi="Arial" w:cs="Arial"/>
          <w:lang w:eastAsia="en-US"/>
        </w:rPr>
        <w:t>.</w:t>
      </w:r>
    </w:p>
    <w:p w:rsidR="008F52F5" w:rsidRPr="000D2FC9" w:rsidRDefault="008F52F5" w:rsidP="000B5D2B">
      <w:pPr>
        <w:spacing w:after="0" w:line="300" w:lineRule="atLeast"/>
        <w:jc w:val="both"/>
        <w:rPr>
          <w:rFonts w:ascii="Arial" w:hAnsi="Arial" w:cs="Arial"/>
          <w:lang w:eastAsia="en-US"/>
        </w:rPr>
      </w:pPr>
    </w:p>
    <w:p w:rsidR="00465517" w:rsidRDefault="00465517">
      <w:pPr>
        <w:spacing w:after="0" w:line="240" w:lineRule="auto"/>
        <w:rPr>
          <w:rFonts w:ascii="Arial" w:hAnsi="Arial" w:cs="Arial"/>
          <w:b/>
          <w:color w:val="000064"/>
          <w:sz w:val="20"/>
          <w:szCs w:val="20"/>
          <w:lang w:eastAsia="en-US"/>
        </w:rPr>
      </w:pPr>
      <w:r>
        <w:rPr>
          <w:sz w:val="20"/>
          <w:szCs w:val="20"/>
        </w:rPr>
        <w:br w:type="page"/>
      </w:r>
    </w:p>
    <w:p w:rsidR="00465517" w:rsidRDefault="00465517" w:rsidP="00465517">
      <w:pPr>
        <w:spacing w:after="0" w:line="280" w:lineRule="atLeast"/>
        <w:jc w:val="both"/>
        <w:rPr>
          <w:rFonts w:ascii="Arial" w:hAnsi="Arial" w:cs="Arial"/>
          <w:sz w:val="20"/>
          <w:szCs w:val="20"/>
          <w:lang w:eastAsia="en-US"/>
        </w:rPr>
      </w:pPr>
    </w:p>
    <w:p w:rsidR="005F3333" w:rsidRDefault="005F3333" w:rsidP="00465517">
      <w:pPr>
        <w:spacing w:after="0" w:line="280" w:lineRule="atLeast"/>
        <w:jc w:val="both"/>
        <w:rPr>
          <w:rFonts w:ascii="Arial" w:hAnsi="Arial" w:cs="Arial"/>
          <w:sz w:val="20"/>
          <w:szCs w:val="20"/>
          <w:lang w:eastAsia="en-US"/>
        </w:rPr>
      </w:pPr>
    </w:p>
    <w:p w:rsidR="005F3333" w:rsidRDefault="005F3333" w:rsidP="00465517">
      <w:pPr>
        <w:spacing w:after="0" w:line="280" w:lineRule="atLeast"/>
        <w:jc w:val="both"/>
        <w:rPr>
          <w:rFonts w:ascii="Arial" w:hAnsi="Arial" w:cs="Arial"/>
          <w:sz w:val="20"/>
          <w:szCs w:val="20"/>
          <w:lang w:eastAsia="en-US"/>
        </w:rPr>
      </w:pPr>
    </w:p>
    <w:p w:rsidR="005F3333" w:rsidRDefault="005F3333" w:rsidP="00465517">
      <w:pPr>
        <w:spacing w:after="0" w:line="280" w:lineRule="atLeast"/>
        <w:jc w:val="both"/>
        <w:rPr>
          <w:rFonts w:ascii="Arial" w:hAnsi="Arial" w:cs="Arial"/>
          <w:sz w:val="20"/>
          <w:szCs w:val="20"/>
          <w:lang w:eastAsia="en-US"/>
        </w:rPr>
      </w:pPr>
    </w:p>
    <w:p w:rsidR="005F3333" w:rsidRPr="00465517" w:rsidRDefault="005F3333" w:rsidP="005F3333">
      <w:pPr>
        <w:spacing w:after="0" w:line="240" w:lineRule="auto"/>
        <w:rPr>
          <w:rFonts w:ascii="Arial" w:eastAsia="Calibri" w:hAnsi="Arial" w:cs="Arial"/>
          <w:b/>
          <w:color w:val="000064"/>
          <w:sz w:val="28"/>
          <w:szCs w:val="28"/>
          <w:lang w:eastAsia="en-US"/>
        </w:rPr>
      </w:pPr>
      <w:r>
        <w:rPr>
          <w:rFonts w:ascii="Arial" w:eastAsia="Calibri" w:hAnsi="Arial" w:cs="Arial"/>
          <w:b/>
          <w:color w:val="000064"/>
          <w:sz w:val="28"/>
          <w:szCs w:val="28"/>
          <w:lang w:eastAsia="en-US"/>
        </w:rPr>
        <w:t>Contents</w:t>
      </w:r>
    </w:p>
    <w:p w:rsidR="005F3333" w:rsidRDefault="005F3333" w:rsidP="00465517">
      <w:pPr>
        <w:spacing w:after="0" w:line="280" w:lineRule="atLeast"/>
        <w:jc w:val="both"/>
        <w:rPr>
          <w:rFonts w:ascii="Arial" w:hAnsi="Arial" w:cs="Arial"/>
          <w:sz w:val="20"/>
          <w:szCs w:val="20"/>
          <w:lang w:eastAsia="en-US"/>
        </w:rPr>
      </w:pPr>
    </w:p>
    <w:p w:rsidR="005F3333" w:rsidRDefault="005F3333" w:rsidP="00465517">
      <w:pPr>
        <w:spacing w:after="0" w:line="280" w:lineRule="atLeast"/>
        <w:jc w:val="both"/>
        <w:rPr>
          <w:rFonts w:ascii="Arial" w:hAnsi="Arial" w:cs="Arial"/>
          <w:sz w:val="20"/>
          <w:szCs w:val="20"/>
          <w:lang w:eastAsia="en-US"/>
        </w:rPr>
      </w:pPr>
    </w:p>
    <w:p w:rsidR="005B1B70" w:rsidRDefault="00435EF3">
      <w:pPr>
        <w:pStyle w:val="TOC1"/>
        <w:rPr>
          <w:rFonts w:asciiTheme="minorHAnsi" w:eastAsiaTheme="minorEastAsia" w:hAnsiTheme="minorHAnsi" w:cstheme="minorBidi"/>
          <w:b w:val="0"/>
          <w:sz w:val="22"/>
          <w:szCs w:val="22"/>
          <w:lang w:eastAsia="en-AU"/>
        </w:rPr>
      </w:pPr>
      <w:r w:rsidRPr="00435EF3">
        <w:fldChar w:fldCharType="begin"/>
      </w:r>
      <w:r w:rsidR="00465517" w:rsidRPr="00241C15">
        <w:instrText xml:space="preserve"> TOC \o "1-2" \t "ATA Heading 2,2" </w:instrText>
      </w:r>
      <w:r w:rsidRPr="00435EF3">
        <w:fldChar w:fldCharType="separate"/>
      </w:r>
      <w:r w:rsidR="005B1B70" w:rsidRPr="005003A7">
        <w:rPr>
          <w:rFonts w:cs="Times New Roman"/>
        </w:rPr>
        <w:t>1.</w:t>
      </w:r>
      <w:r w:rsidR="005B1B70">
        <w:rPr>
          <w:rFonts w:asciiTheme="minorHAnsi" w:eastAsiaTheme="minorEastAsia" w:hAnsiTheme="minorHAnsi" w:cstheme="minorBidi"/>
          <w:b w:val="0"/>
          <w:sz w:val="22"/>
          <w:szCs w:val="22"/>
          <w:lang w:eastAsia="en-AU"/>
        </w:rPr>
        <w:tab/>
      </w:r>
      <w:r w:rsidR="005B1B70">
        <w:t>Introduction</w:t>
      </w:r>
      <w:r w:rsidR="005B1B70">
        <w:tab/>
      </w:r>
      <w:r w:rsidR="005B1B70">
        <w:fldChar w:fldCharType="begin"/>
      </w:r>
      <w:r w:rsidR="005B1B70">
        <w:instrText xml:space="preserve"> PAGEREF _Toc301363567 \h </w:instrText>
      </w:r>
      <w:r w:rsidR="005B1B70">
        <w:fldChar w:fldCharType="separate"/>
      </w:r>
      <w:r w:rsidR="003E125B">
        <w:t>5</w:t>
      </w:r>
      <w:r w:rsidR="005B1B70">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2.</w:t>
      </w:r>
      <w:r>
        <w:rPr>
          <w:rFonts w:asciiTheme="minorHAnsi" w:eastAsiaTheme="minorEastAsia" w:hAnsiTheme="minorHAnsi" w:cstheme="minorBidi"/>
          <w:b w:val="0"/>
          <w:sz w:val="22"/>
          <w:szCs w:val="22"/>
          <w:lang w:eastAsia="en-AU"/>
        </w:rPr>
        <w:tab/>
      </w:r>
      <w:r>
        <w:t>Original objectives of IAP</w:t>
      </w:r>
      <w:r>
        <w:tab/>
      </w:r>
      <w:r>
        <w:fldChar w:fldCharType="begin"/>
      </w:r>
      <w:r>
        <w:instrText xml:space="preserve"> PAGEREF _Toc301363568 \h </w:instrText>
      </w:r>
      <w:r>
        <w:fldChar w:fldCharType="separate"/>
      </w:r>
      <w:r w:rsidR="003E125B">
        <w:t>5</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3.</w:t>
      </w:r>
      <w:r>
        <w:rPr>
          <w:rFonts w:asciiTheme="minorHAnsi" w:eastAsiaTheme="minorEastAsia" w:hAnsiTheme="minorHAnsi" w:cstheme="minorBidi"/>
          <w:b w:val="0"/>
          <w:sz w:val="22"/>
          <w:szCs w:val="22"/>
          <w:lang w:eastAsia="en-AU"/>
        </w:rPr>
        <w:tab/>
      </w:r>
      <w:r>
        <w:t>What are prescriptive modular combinations?</w:t>
      </w:r>
      <w:r>
        <w:tab/>
      </w:r>
      <w:r>
        <w:fldChar w:fldCharType="begin"/>
      </w:r>
      <w:r>
        <w:instrText xml:space="preserve"> PAGEREF _Toc301363569 \h </w:instrText>
      </w:r>
      <w:r>
        <w:fldChar w:fldCharType="separate"/>
      </w:r>
      <w:r w:rsidR="003E125B">
        <w:t>5</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4.</w:t>
      </w:r>
      <w:r>
        <w:rPr>
          <w:rFonts w:asciiTheme="minorHAnsi" w:eastAsiaTheme="minorEastAsia" w:hAnsiTheme="minorHAnsi" w:cstheme="minorBidi"/>
          <w:b w:val="0"/>
          <w:sz w:val="22"/>
          <w:szCs w:val="22"/>
          <w:lang w:eastAsia="en-AU"/>
        </w:rPr>
        <w:tab/>
      </w:r>
      <w:r>
        <w:t>Mass limits and road impact of prescriptive modular combinations</w:t>
      </w:r>
      <w:r>
        <w:tab/>
      </w:r>
      <w:r>
        <w:fldChar w:fldCharType="begin"/>
      </w:r>
      <w:r>
        <w:instrText xml:space="preserve"> PAGEREF _Toc301363570 \h </w:instrText>
      </w:r>
      <w:r>
        <w:fldChar w:fldCharType="separate"/>
      </w:r>
      <w:r w:rsidR="003E125B">
        <w:t>9</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5.</w:t>
      </w:r>
      <w:r>
        <w:rPr>
          <w:rFonts w:asciiTheme="minorHAnsi" w:eastAsiaTheme="minorEastAsia" w:hAnsiTheme="minorHAnsi" w:cstheme="minorBidi"/>
          <w:b w:val="0"/>
          <w:sz w:val="22"/>
          <w:szCs w:val="22"/>
          <w:lang w:eastAsia="en-AU"/>
        </w:rPr>
        <w:tab/>
      </w:r>
      <w:r>
        <w:t>Prescriptive modular combinations and IAP</w:t>
      </w:r>
      <w:r>
        <w:tab/>
      </w:r>
      <w:r>
        <w:fldChar w:fldCharType="begin"/>
      </w:r>
      <w:r>
        <w:instrText xml:space="preserve"> PAGEREF _Toc301363571 \h </w:instrText>
      </w:r>
      <w:r>
        <w:fldChar w:fldCharType="separate"/>
      </w:r>
      <w:r w:rsidR="003E125B">
        <w:t>10</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6.</w:t>
      </w:r>
      <w:r>
        <w:rPr>
          <w:rFonts w:asciiTheme="minorHAnsi" w:eastAsiaTheme="minorEastAsia" w:hAnsiTheme="minorHAnsi" w:cstheme="minorBidi"/>
          <w:b w:val="0"/>
          <w:sz w:val="22"/>
          <w:szCs w:val="22"/>
          <w:lang w:eastAsia="en-AU"/>
        </w:rPr>
        <w:tab/>
      </w:r>
      <w:r>
        <w:t>Is there a risk?</w:t>
      </w:r>
      <w:r>
        <w:tab/>
      </w:r>
      <w:r>
        <w:fldChar w:fldCharType="begin"/>
      </w:r>
      <w:r>
        <w:instrText xml:space="preserve"> PAGEREF _Toc301363572 \h </w:instrText>
      </w:r>
      <w:r>
        <w:fldChar w:fldCharType="separate"/>
      </w:r>
      <w:r w:rsidR="003E125B">
        <w:t>11</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7.</w:t>
      </w:r>
      <w:r>
        <w:rPr>
          <w:rFonts w:asciiTheme="minorHAnsi" w:eastAsiaTheme="minorEastAsia" w:hAnsiTheme="minorHAnsi" w:cstheme="minorBidi"/>
          <w:b w:val="0"/>
          <w:sz w:val="22"/>
          <w:szCs w:val="22"/>
          <w:lang w:eastAsia="en-AU"/>
        </w:rPr>
        <w:tab/>
      </w:r>
      <w:r>
        <w:t>Costs and accuracy of IAP</w:t>
      </w:r>
      <w:r>
        <w:tab/>
      </w:r>
      <w:r>
        <w:fldChar w:fldCharType="begin"/>
      </w:r>
      <w:r>
        <w:instrText xml:space="preserve"> PAGEREF _Toc301363573 \h </w:instrText>
      </w:r>
      <w:r>
        <w:fldChar w:fldCharType="separate"/>
      </w:r>
      <w:r w:rsidR="003E125B">
        <w:t>12</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8.</w:t>
      </w:r>
      <w:r>
        <w:rPr>
          <w:rFonts w:asciiTheme="minorHAnsi" w:eastAsiaTheme="minorEastAsia" w:hAnsiTheme="minorHAnsi" w:cstheme="minorBidi"/>
          <w:b w:val="0"/>
          <w:sz w:val="22"/>
          <w:szCs w:val="22"/>
          <w:lang w:eastAsia="en-AU"/>
        </w:rPr>
        <w:tab/>
      </w:r>
      <w:r>
        <w:t>Non-direct costs of IAP</w:t>
      </w:r>
      <w:r>
        <w:tab/>
      </w:r>
      <w:r>
        <w:fldChar w:fldCharType="begin"/>
      </w:r>
      <w:r>
        <w:instrText xml:space="preserve"> PAGEREF _Toc301363574 \h </w:instrText>
      </w:r>
      <w:r>
        <w:fldChar w:fldCharType="separate"/>
      </w:r>
      <w:r w:rsidR="003E125B">
        <w:t>13</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9.</w:t>
      </w:r>
      <w:r>
        <w:rPr>
          <w:rFonts w:asciiTheme="minorHAnsi" w:eastAsiaTheme="minorEastAsia" w:hAnsiTheme="minorHAnsi" w:cstheme="minorBidi"/>
          <w:b w:val="0"/>
          <w:sz w:val="22"/>
          <w:szCs w:val="22"/>
          <w:lang w:eastAsia="en-AU"/>
        </w:rPr>
        <w:tab/>
      </w:r>
      <w:r>
        <w:t>IAP vs Self Compliance</w:t>
      </w:r>
      <w:r>
        <w:tab/>
      </w:r>
      <w:r>
        <w:fldChar w:fldCharType="begin"/>
      </w:r>
      <w:r>
        <w:instrText xml:space="preserve"> PAGEREF _Toc301363575 \h </w:instrText>
      </w:r>
      <w:r>
        <w:fldChar w:fldCharType="separate"/>
      </w:r>
      <w:r w:rsidR="003E125B">
        <w:t>14</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10.</w:t>
      </w:r>
      <w:r>
        <w:rPr>
          <w:rFonts w:asciiTheme="minorHAnsi" w:eastAsiaTheme="minorEastAsia" w:hAnsiTheme="minorHAnsi" w:cstheme="minorBidi"/>
          <w:b w:val="0"/>
          <w:sz w:val="22"/>
          <w:szCs w:val="22"/>
          <w:lang w:eastAsia="en-AU"/>
        </w:rPr>
        <w:tab/>
      </w:r>
      <w:r>
        <w:t>Legal Situation</w:t>
      </w:r>
      <w:r>
        <w:tab/>
      </w:r>
      <w:r>
        <w:fldChar w:fldCharType="begin"/>
      </w:r>
      <w:r>
        <w:instrText xml:space="preserve"> PAGEREF _Toc301363576 \h </w:instrText>
      </w:r>
      <w:r>
        <w:fldChar w:fldCharType="separate"/>
      </w:r>
      <w:r w:rsidR="003E125B">
        <w:t>14</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11.</w:t>
      </w:r>
      <w:r>
        <w:rPr>
          <w:rFonts w:asciiTheme="minorHAnsi" w:eastAsiaTheme="minorEastAsia" w:hAnsiTheme="minorHAnsi" w:cstheme="minorBidi"/>
          <w:b w:val="0"/>
          <w:sz w:val="22"/>
          <w:szCs w:val="22"/>
          <w:lang w:eastAsia="en-AU"/>
        </w:rPr>
        <w:tab/>
      </w:r>
      <w:r>
        <w:t>National in-vehicle telematics strategy</w:t>
      </w:r>
      <w:r>
        <w:tab/>
      </w:r>
      <w:r>
        <w:fldChar w:fldCharType="begin"/>
      </w:r>
      <w:r>
        <w:instrText xml:space="preserve"> PAGEREF _Toc301363577 \h </w:instrText>
      </w:r>
      <w:r>
        <w:fldChar w:fldCharType="separate"/>
      </w:r>
      <w:r w:rsidR="003E125B">
        <w:t>15</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12.</w:t>
      </w:r>
      <w:r>
        <w:rPr>
          <w:rFonts w:asciiTheme="minorHAnsi" w:eastAsiaTheme="minorEastAsia" w:hAnsiTheme="minorHAnsi" w:cstheme="minorBidi"/>
          <w:b w:val="0"/>
          <w:sz w:val="22"/>
          <w:szCs w:val="22"/>
          <w:lang w:eastAsia="en-AU"/>
        </w:rPr>
        <w:tab/>
      </w:r>
      <w:r>
        <w:t>Conclusion</w:t>
      </w:r>
      <w:r>
        <w:tab/>
      </w:r>
      <w:r>
        <w:fldChar w:fldCharType="begin"/>
      </w:r>
      <w:r>
        <w:instrText xml:space="preserve"> PAGEREF _Toc301363578 \h </w:instrText>
      </w:r>
      <w:r>
        <w:fldChar w:fldCharType="separate"/>
      </w:r>
      <w:r w:rsidR="003E125B">
        <w:t>16</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13.</w:t>
      </w:r>
      <w:r>
        <w:rPr>
          <w:rFonts w:asciiTheme="minorHAnsi" w:eastAsiaTheme="minorEastAsia" w:hAnsiTheme="minorHAnsi" w:cstheme="minorBidi"/>
          <w:b w:val="0"/>
          <w:sz w:val="22"/>
          <w:szCs w:val="22"/>
          <w:lang w:eastAsia="en-AU"/>
        </w:rPr>
        <w:tab/>
      </w:r>
      <w:r>
        <w:t>Recommendations</w:t>
      </w:r>
      <w:r>
        <w:tab/>
      </w:r>
      <w:r>
        <w:fldChar w:fldCharType="begin"/>
      </w:r>
      <w:r>
        <w:instrText xml:space="preserve"> PAGEREF _Toc301363579 \h </w:instrText>
      </w:r>
      <w:r>
        <w:fldChar w:fldCharType="separate"/>
      </w:r>
      <w:r w:rsidR="003E125B">
        <w:t>17</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15.</w:t>
      </w:r>
      <w:r>
        <w:rPr>
          <w:rFonts w:asciiTheme="minorHAnsi" w:eastAsiaTheme="minorEastAsia" w:hAnsiTheme="minorHAnsi" w:cstheme="minorBidi"/>
          <w:b w:val="0"/>
          <w:sz w:val="22"/>
          <w:szCs w:val="22"/>
          <w:lang w:eastAsia="en-AU"/>
        </w:rPr>
        <w:tab/>
      </w:r>
      <w:r>
        <w:t>Abbreviations</w:t>
      </w:r>
      <w:r>
        <w:tab/>
      </w:r>
      <w:r>
        <w:fldChar w:fldCharType="begin"/>
      </w:r>
      <w:r>
        <w:instrText xml:space="preserve"> PAGEREF _Toc301363580 \h </w:instrText>
      </w:r>
      <w:r>
        <w:fldChar w:fldCharType="separate"/>
      </w:r>
      <w:r w:rsidR="003E125B">
        <w:t>18</w:t>
      </w:r>
      <w:r>
        <w:fldChar w:fldCharType="end"/>
      </w:r>
    </w:p>
    <w:p w:rsidR="005B1B70" w:rsidRDefault="005B1B70">
      <w:pPr>
        <w:pStyle w:val="TOC1"/>
        <w:rPr>
          <w:rFonts w:asciiTheme="minorHAnsi" w:eastAsiaTheme="minorEastAsia" w:hAnsiTheme="minorHAnsi" w:cstheme="minorBidi"/>
          <w:b w:val="0"/>
          <w:sz w:val="22"/>
          <w:szCs w:val="22"/>
          <w:lang w:eastAsia="en-AU"/>
        </w:rPr>
      </w:pPr>
      <w:r w:rsidRPr="005003A7">
        <w:rPr>
          <w:rFonts w:cs="Times New Roman"/>
        </w:rPr>
        <w:t>16.</w:t>
      </w:r>
      <w:r>
        <w:rPr>
          <w:rFonts w:asciiTheme="minorHAnsi" w:eastAsiaTheme="minorEastAsia" w:hAnsiTheme="minorHAnsi" w:cstheme="minorBidi"/>
          <w:b w:val="0"/>
          <w:sz w:val="22"/>
          <w:szCs w:val="22"/>
          <w:lang w:eastAsia="en-AU"/>
        </w:rPr>
        <w:tab/>
      </w:r>
      <w:r>
        <w:t>Prescriptive Modular Vehicles</w:t>
      </w:r>
      <w:r>
        <w:tab/>
      </w:r>
      <w:r>
        <w:fldChar w:fldCharType="begin"/>
      </w:r>
      <w:r>
        <w:instrText xml:space="preserve"> PAGEREF _Toc301363581 \h </w:instrText>
      </w:r>
      <w:r>
        <w:fldChar w:fldCharType="separate"/>
      </w:r>
      <w:r w:rsidR="003E125B">
        <w:t>18</w:t>
      </w:r>
      <w:r>
        <w:fldChar w:fldCharType="end"/>
      </w:r>
    </w:p>
    <w:p w:rsidR="005B1B70" w:rsidRDefault="005B1B70">
      <w:pPr>
        <w:pStyle w:val="TOC1"/>
        <w:rPr>
          <w:rFonts w:asciiTheme="minorHAnsi" w:eastAsiaTheme="minorEastAsia" w:hAnsiTheme="minorHAnsi" w:cstheme="minorBidi"/>
          <w:b w:val="0"/>
          <w:sz w:val="22"/>
          <w:szCs w:val="22"/>
          <w:lang w:eastAsia="en-AU"/>
        </w:rPr>
      </w:pPr>
      <w:r>
        <w:t>Appendix A - The ATA and Barkwood Consulting Pty Ltd Truck Impact Chart</w:t>
      </w:r>
      <w:r>
        <w:tab/>
      </w:r>
      <w:r>
        <w:fldChar w:fldCharType="begin"/>
      </w:r>
      <w:r>
        <w:instrText xml:space="preserve"> PAGEREF _Toc301363582 \h </w:instrText>
      </w:r>
      <w:r>
        <w:fldChar w:fldCharType="separate"/>
      </w:r>
      <w:r w:rsidR="003E125B">
        <w:t>19</w:t>
      </w:r>
      <w:r>
        <w:fldChar w:fldCharType="end"/>
      </w:r>
    </w:p>
    <w:p w:rsidR="005B1B70" w:rsidRDefault="005B1B70">
      <w:pPr>
        <w:pStyle w:val="TOC1"/>
        <w:rPr>
          <w:rFonts w:asciiTheme="minorHAnsi" w:eastAsiaTheme="minorEastAsia" w:hAnsiTheme="minorHAnsi" w:cstheme="minorBidi"/>
          <w:b w:val="0"/>
          <w:sz w:val="22"/>
          <w:szCs w:val="22"/>
          <w:lang w:eastAsia="en-AU"/>
        </w:rPr>
      </w:pPr>
      <w:r>
        <w:t>Appendix B – Legal Advice, Lovegrove &amp; Lord Lawyers</w:t>
      </w:r>
      <w:r>
        <w:tab/>
      </w:r>
      <w:r>
        <w:fldChar w:fldCharType="begin"/>
      </w:r>
      <w:r>
        <w:instrText xml:space="preserve"> PAGEREF _Toc301363583 \h </w:instrText>
      </w:r>
      <w:r>
        <w:fldChar w:fldCharType="separate"/>
      </w:r>
      <w:r w:rsidR="003E125B">
        <w:t>21</w:t>
      </w:r>
      <w:r>
        <w:fldChar w:fldCharType="end"/>
      </w:r>
    </w:p>
    <w:p w:rsidR="005F3333" w:rsidRDefault="00435EF3" w:rsidP="005F3333">
      <w:pPr>
        <w:spacing w:before="360" w:after="360" w:line="280" w:lineRule="atLeast"/>
        <w:jc w:val="both"/>
        <w:rPr>
          <w:rFonts w:ascii="Arial" w:hAnsi="Arial" w:cs="Arial"/>
        </w:rPr>
      </w:pPr>
      <w:r w:rsidRPr="00241C15">
        <w:rPr>
          <w:rFonts w:ascii="Arial" w:hAnsi="Arial" w:cs="Arial"/>
        </w:rPr>
        <w:fldChar w:fldCharType="end"/>
      </w:r>
    </w:p>
    <w:p w:rsidR="00E64EE2" w:rsidRDefault="000F7F04" w:rsidP="00D40CFB">
      <w:pPr>
        <w:pStyle w:val="Heading1"/>
        <w:rPr>
          <w:sz w:val="24"/>
          <w:szCs w:val="24"/>
        </w:rPr>
      </w:pPr>
      <w:r>
        <w:rPr>
          <w:sz w:val="20"/>
          <w:szCs w:val="20"/>
        </w:rPr>
        <w:br w:type="page"/>
      </w:r>
      <w:bookmarkStart w:id="2" w:name="_Toc301346293"/>
      <w:bookmarkStart w:id="3" w:name="_Toc297298073"/>
      <w:bookmarkStart w:id="4" w:name="_Toc301363567"/>
      <w:r w:rsidR="00E64EE2">
        <w:rPr>
          <w:sz w:val="24"/>
          <w:szCs w:val="24"/>
        </w:rPr>
        <w:lastRenderedPageBreak/>
        <w:t>Introduction</w:t>
      </w:r>
      <w:bookmarkEnd w:id="2"/>
      <w:bookmarkEnd w:id="4"/>
    </w:p>
    <w:p w:rsidR="00E64EE2" w:rsidRPr="000D2FC9" w:rsidRDefault="00E64EE2" w:rsidP="000B5D2B">
      <w:pPr>
        <w:spacing w:after="0" w:line="300" w:lineRule="atLeast"/>
        <w:jc w:val="both"/>
        <w:rPr>
          <w:rFonts w:ascii="Arial" w:hAnsi="Arial" w:cs="Arial"/>
          <w:lang w:eastAsia="en-US"/>
        </w:rPr>
      </w:pPr>
    </w:p>
    <w:p w:rsidR="00465CC4" w:rsidRPr="000D2FC9" w:rsidRDefault="00D40CFB" w:rsidP="000B5D2B">
      <w:pPr>
        <w:spacing w:after="0" w:line="300" w:lineRule="atLeast"/>
        <w:jc w:val="both"/>
        <w:rPr>
          <w:rFonts w:ascii="Arial" w:hAnsi="Arial" w:cs="Arial"/>
          <w:lang w:eastAsia="en-US"/>
        </w:rPr>
      </w:pPr>
      <w:r w:rsidRPr="000D2FC9">
        <w:rPr>
          <w:rFonts w:ascii="Arial" w:hAnsi="Arial" w:cs="Arial"/>
          <w:lang w:eastAsia="en-US"/>
        </w:rPr>
        <w:t>The Intelligent Access Program (IAP) was implemented by the previous NSW Labor Government as a way to monitor trucks on our roads. The ATA has long argued that the policy behind this decision was poorly formed and not consistent with other road agency decisions, particular when NSW determined IAP was required for vehicles with low risk to infrastructure.</w:t>
      </w:r>
    </w:p>
    <w:p w:rsidR="00D40CFB" w:rsidRPr="000D2FC9" w:rsidRDefault="00D40CFB" w:rsidP="000B5D2B">
      <w:pPr>
        <w:spacing w:after="0" w:line="300" w:lineRule="atLeast"/>
        <w:jc w:val="both"/>
        <w:rPr>
          <w:rFonts w:ascii="Arial" w:hAnsi="Arial" w:cs="Arial"/>
          <w:lang w:eastAsia="en-US"/>
        </w:rPr>
      </w:pPr>
    </w:p>
    <w:p w:rsidR="00D40CFB" w:rsidRPr="000D2FC9" w:rsidRDefault="00D40CFB" w:rsidP="000B5D2B">
      <w:pPr>
        <w:spacing w:after="0" w:line="300" w:lineRule="atLeast"/>
        <w:jc w:val="both"/>
        <w:rPr>
          <w:rFonts w:ascii="Arial" w:hAnsi="Arial" w:cs="Arial"/>
          <w:lang w:eastAsia="en-US"/>
        </w:rPr>
      </w:pPr>
      <w:r w:rsidRPr="000D2FC9">
        <w:rPr>
          <w:rFonts w:ascii="Arial" w:hAnsi="Arial" w:cs="Arial"/>
          <w:lang w:eastAsia="en-US"/>
        </w:rPr>
        <w:t>This document identifies the types of combinations commonly seen on NSW roads, the impact created on roads from these combinations, and some of the benefits provided to the community from utilising prescriptive modular combinations. It will also show that IAP has been unfairly applied to operators who want to access better efficiencies for their business, and IAP is not the automatic enforcement tool the RTA hoped it would be. In fact, no infringements are issued from IAP non-conformances, so it is not even a strong or worthwhile enforcement tool.</w:t>
      </w:r>
    </w:p>
    <w:p w:rsidR="00D40CFB" w:rsidRPr="000D2FC9" w:rsidRDefault="00D40CFB" w:rsidP="000B5D2B">
      <w:pPr>
        <w:spacing w:after="0" w:line="300" w:lineRule="atLeast"/>
        <w:jc w:val="both"/>
        <w:rPr>
          <w:rFonts w:ascii="Arial" w:hAnsi="Arial" w:cs="Arial"/>
          <w:lang w:eastAsia="en-US"/>
        </w:rPr>
      </w:pPr>
    </w:p>
    <w:p w:rsidR="00D40CFB" w:rsidRPr="000D2FC9" w:rsidRDefault="00C902A6" w:rsidP="000B5D2B">
      <w:pPr>
        <w:spacing w:after="0" w:line="300" w:lineRule="atLeast"/>
        <w:jc w:val="both"/>
        <w:rPr>
          <w:rFonts w:ascii="Arial" w:hAnsi="Arial" w:cs="Arial"/>
          <w:lang w:eastAsia="en-US"/>
        </w:rPr>
      </w:pPr>
      <w:r w:rsidRPr="000D2FC9">
        <w:rPr>
          <w:rFonts w:ascii="Arial" w:hAnsi="Arial" w:cs="Arial"/>
          <w:lang w:eastAsia="en-US"/>
        </w:rPr>
        <w:t>It is anticipated that, after reviewing the information surrounding IAP, a sound policy will be realised that provides for the productivity, safety and environmental benefits available to operators in other jurisdictions, without the negative impact of IAP.</w:t>
      </w:r>
    </w:p>
    <w:p w:rsidR="00465CC4" w:rsidRPr="000D2FC9" w:rsidRDefault="00465CC4" w:rsidP="000B5D2B">
      <w:pPr>
        <w:spacing w:after="0" w:line="300" w:lineRule="atLeast"/>
        <w:jc w:val="both"/>
        <w:rPr>
          <w:rFonts w:ascii="Arial" w:hAnsi="Arial" w:cs="Arial"/>
          <w:lang w:eastAsia="en-US"/>
        </w:rPr>
      </w:pPr>
    </w:p>
    <w:p w:rsidR="00E64EE2" w:rsidRPr="000D2FC9" w:rsidRDefault="00E64EE2" w:rsidP="000B5D2B">
      <w:pPr>
        <w:spacing w:after="0" w:line="300" w:lineRule="atLeast"/>
        <w:jc w:val="both"/>
        <w:rPr>
          <w:rFonts w:ascii="Arial" w:hAnsi="Arial" w:cs="Arial"/>
          <w:lang w:eastAsia="en-US"/>
        </w:rPr>
      </w:pPr>
    </w:p>
    <w:p w:rsidR="00E64EE2" w:rsidRPr="00E761DA" w:rsidRDefault="00E64EE2" w:rsidP="00E64EE2">
      <w:pPr>
        <w:pStyle w:val="Heading1"/>
        <w:rPr>
          <w:sz w:val="24"/>
          <w:szCs w:val="24"/>
        </w:rPr>
      </w:pPr>
      <w:bookmarkStart w:id="5" w:name="_Toc297298074"/>
      <w:bookmarkStart w:id="6" w:name="_Toc301346294"/>
      <w:bookmarkStart w:id="7" w:name="_Toc301363568"/>
      <w:r>
        <w:rPr>
          <w:sz w:val="24"/>
          <w:szCs w:val="24"/>
        </w:rPr>
        <w:t xml:space="preserve">Original </w:t>
      </w:r>
      <w:r w:rsidR="00BA0341">
        <w:rPr>
          <w:sz w:val="24"/>
          <w:szCs w:val="24"/>
        </w:rPr>
        <w:t>o</w:t>
      </w:r>
      <w:r w:rsidRPr="00E761DA">
        <w:rPr>
          <w:sz w:val="24"/>
          <w:szCs w:val="24"/>
        </w:rPr>
        <w:t>bjectives of IAP</w:t>
      </w:r>
      <w:bookmarkEnd w:id="5"/>
      <w:bookmarkEnd w:id="6"/>
      <w:bookmarkEnd w:id="7"/>
    </w:p>
    <w:p w:rsidR="00E64EE2" w:rsidRPr="000D2FC9" w:rsidRDefault="00E64EE2" w:rsidP="000B5D2B">
      <w:pPr>
        <w:spacing w:after="0" w:line="300" w:lineRule="atLeast"/>
        <w:jc w:val="both"/>
        <w:rPr>
          <w:rFonts w:ascii="Arial" w:hAnsi="Arial" w:cs="Arial"/>
          <w:lang w:eastAsia="en-US"/>
        </w:rPr>
      </w:pPr>
    </w:p>
    <w:p w:rsidR="00E64EE2" w:rsidRPr="000D2FC9" w:rsidRDefault="00E64EE2" w:rsidP="000B5D2B">
      <w:pPr>
        <w:spacing w:after="0" w:line="300" w:lineRule="atLeast"/>
        <w:jc w:val="both"/>
        <w:rPr>
          <w:rFonts w:ascii="Arial" w:hAnsi="Arial" w:cs="Arial"/>
          <w:lang w:eastAsia="en-US"/>
        </w:rPr>
      </w:pPr>
      <w:r w:rsidRPr="000D2FC9">
        <w:rPr>
          <w:rFonts w:ascii="Arial" w:hAnsi="Arial" w:cs="Arial"/>
          <w:lang w:eastAsia="en-US"/>
        </w:rPr>
        <w:t>IAP was designed as a way for governments to remotely manage the potential risk of sensitive infrastructure being exposed to very heavy vehicles, plant, and equipment that could damage the infrastructure due to the unusual unit mass and mass distribution. For example, ultra heavy oversize cranes (UHOC) that tare at 200 tonne are a major risk to infrastructure compared to standard vehicles such as B-doubles. The UHOC is almost 5 times heavier than general mass limits for other similar length vehicles, and mass is strongly concentrated over relatively few axles. The consequence is that some infrastructure could be severely damaged in one pass of this vehicle, for example drain covers, bike paths, and low strength pavements in shared zones.</w:t>
      </w:r>
    </w:p>
    <w:p w:rsidR="00E64EE2" w:rsidRPr="000D2FC9" w:rsidRDefault="00E64EE2" w:rsidP="000B5D2B">
      <w:pPr>
        <w:spacing w:after="0" w:line="300" w:lineRule="atLeast"/>
        <w:jc w:val="both"/>
        <w:rPr>
          <w:rFonts w:ascii="Arial" w:hAnsi="Arial" w:cs="Arial"/>
          <w:lang w:eastAsia="en-US"/>
        </w:rPr>
      </w:pPr>
    </w:p>
    <w:p w:rsidR="00E64EE2" w:rsidRPr="000D2FC9" w:rsidRDefault="00E64EE2" w:rsidP="000B5D2B">
      <w:pPr>
        <w:spacing w:after="0" w:line="300" w:lineRule="atLeast"/>
        <w:jc w:val="both"/>
        <w:rPr>
          <w:rFonts w:ascii="Arial" w:hAnsi="Arial" w:cs="Arial"/>
          <w:lang w:eastAsia="en-US"/>
        </w:rPr>
      </w:pPr>
      <w:r w:rsidRPr="000D2FC9">
        <w:rPr>
          <w:rFonts w:ascii="Arial" w:hAnsi="Arial" w:cs="Arial"/>
          <w:lang w:eastAsia="en-US"/>
        </w:rPr>
        <w:t>Other infrastructure may require administrative controls in place to minimise the risk, for example a bridge where the UHOC must travel at low speed, and directly over the main beams in the centre span. Exposure to other vehicles could be managed by placing time-of-day restrictions on the UHOC, so it is not travelling during heavy commute periods, thus reducing the risk of severe traffic delays due to its lower travel speed. In this example, IAP would work well to monitor compliance and assist government in managing the risk to infrastructure, and free the operator from costly direct supervision. But</w:t>
      </w:r>
      <w:r w:rsidR="00A4501C" w:rsidRPr="000D2FC9">
        <w:rPr>
          <w:rFonts w:ascii="Arial" w:hAnsi="Arial" w:cs="Arial"/>
          <w:lang w:eastAsia="en-US"/>
        </w:rPr>
        <w:t>,</w:t>
      </w:r>
      <w:r w:rsidRPr="000D2FC9">
        <w:rPr>
          <w:rFonts w:ascii="Arial" w:hAnsi="Arial" w:cs="Arial"/>
          <w:lang w:eastAsia="en-US"/>
        </w:rPr>
        <w:t xml:space="preserve"> IAP is now applied in NSW (and Qld to a lesser extent) to prescriptive modular combinations.</w:t>
      </w:r>
    </w:p>
    <w:p w:rsidR="00E64EE2" w:rsidRPr="000D2FC9" w:rsidRDefault="00E64EE2" w:rsidP="000B5D2B">
      <w:pPr>
        <w:spacing w:after="0" w:line="300" w:lineRule="atLeast"/>
        <w:jc w:val="both"/>
        <w:rPr>
          <w:rFonts w:ascii="Arial" w:hAnsi="Arial" w:cs="Arial"/>
          <w:lang w:eastAsia="en-US"/>
        </w:rPr>
      </w:pPr>
    </w:p>
    <w:p w:rsidR="00E64EE2" w:rsidRPr="000D2FC9" w:rsidRDefault="00E64EE2" w:rsidP="000B5D2B">
      <w:pPr>
        <w:spacing w:after="0" w:line="300" w:lineRule="atLeast"/>
        <w:jc w:val="both"/>
        <w:rPr>
          <w:rFonts w:ascii="Arial" w:hAnsi="Arial" w:cs="Arial"/>
          <w:lang w:eastAsia="en-US"/>
        </w:rPr>
      </w:pPr>
    </w:p>
    <w:p w:rsidR="005A5B63" w:rsidRPr="00E761DA" w:rsidRDefault="00C75B7B" w:rsidP="005A5B63">
      <w:pPr>
        <w:pStyle w:val="Heading1"/>
        <w:rPr>
          <w:sz w:val="24"/>
          <w:szCs w:val="24"/>
        </w:rPr>
      </w:pPr>
      <w:bookmarkStart w:id="8" w:name="_Toc301346295"/>
      <w:bookmarkStart w:id="9" w:name="_Toc301363569"/>
      <w:r>
        <w:rPr>
          <w:sz w:val="24"/>
          <w:szCs w:val="24"/>
        </w:rPr>
        <w:t>What are p</w:t>
      </w:r>
      <w:r w:rsidR="005A5B63" w:rsidRPr="00E761DA">
        <w:rPr>
          <w:sz w:val="24"/>
          <w:szCs w:val="24"/>
        </w:rPr>
        <w:t xml:space="preserve">rescriptive </w:t>
      </w:r>
      <w:r w:rsidR="00BA0341">
        <w:rPr>
          <w:sz w:val="24"/>
          <w:szCs w:val="24"/>
        </w:rPr>
        <w:t>m</w:t>
      </w:r>
      <w:r w:rsidR="005A5B63">
        <w:rPr>
          <w:sz w:val="24"/>
          <w:szCs w:val="24"/>
        </w:rPr>
        <w:t xml:space="preserve">odular </w:t>
      </w:r>
      <w:r w:rsidR="00BA0341">
        <w:rPr>
          <w:sz w:val="24"/>
          <w:szCs w:val="24"/>
        </w:rPr>
        <w:t>c</w:t>
      </w:r>
      <w:r w:rsidR="005A5B63" w:rsidRPr="00E761DA">
        <w:rPr>
          <w:sz w:val="24"/>
          <w:szCs w:val="24"/>
        </w:rPr>
        <w:t>ombinations</w:t>
      </w:r>
      <w:bookmarkEnd w:id="3"/>
      <w:bookmarkEnd w:id="8"/>
      <w:r>
        <w:rPr>
          <w:sz w:val="24"/>
          <w:szCs w:val="24"/>
        </w:rPr>
        <w:t>?</w:t>
      </w:r>
      <w:bookmarkEnd w:id="9"/>
    </w:p>
    <w:p w:rsidR="00666802" w:rsidRPr="000D2FC9" w:rsidRDefault="00666802" w:rsidP="000B5D2B">
      <w:pPr>
        <w:spacing w:after="0" w:line="300" w:lineRule="atLeast"/>
        <w:jc w:val="both"/>
        <w:rPr>
          <w:rFonts w:ascii="Arial" w:hAnsi="Arial" w:cs="Arial"/>
          <w:lang w:eastAsia="en-US"/>
        </w:rPr>
      </w:pPr>
    </w:p>
    <w:p w:rsidR="00666802" w:rsidRPr="000D2FC9" w:rsidRDefault="00666802" w:rsidP="000B5D2B">
      <w:pPr>
        <w:spacing w:after="0" w:line="300" w:lineRule="atLeast"/>
        <w:jc w:val="both"/>
        <w:rPr>
          <w:rFonts w:ascii="Arial" w:hAnsi="Arial" w:cs="Arial"/>
          <w:lang w:eastAsia="en-US"/>
        </w:rPr>
      </w:pPr>
      <w:r w:rsidRPr="000D2FC9">
        <w:rPr>
          <w:rFonts w:ascii="Arial" w:hAnsi="Arial" w:cs="Arial"/>
          <w:lang w:eastAsia="en-US"/>
        </w:rPr>
        <w:t xml:space="preserve">In prescriptive modular combinations, trailers are connected to a prime mover. Trailers used in a prescriptive modular combination are of a standard length </w:t>
      </w:r>
      <w:r w:rsidR="00A327EA" w:rsidRPr="000D2FC9">
        <w:rPr>
          <w:rFonts w:ascii="Arial" w:hAnsi="Arial" w:cs="Arial"/>
          <w:lang w:eastAsia="en-US"/>
        </w:rPr>
        <w:t>and</w:t>
      </w:r>
      <w:r w:rsidRPr="000D2FC9">
        <w:rPr>
          <w:rFonts w:ascii="Arial" w:hAnsi="Arial" w:cs="Arial"/>
          <w:lang w:eastAsia="en-US"/>
        </w:rPr>
        <w:t xml:space="preserve"> are easily </w:t>
      </w:r>
      <w:r w:rsidR="002B73ED" w:rsidRPr="000D2FC9">
        <w:rPr>
          <w:rFonts w:ascii="Arial" w:hAnsi="Arial" w:cs="Arial"/>
          <w:lang w:eastAsia="en-US"/>
        </w:rPr>
        <w:t>mov</w:t>
      </w:r>
      <w:r w:rsidRPr="000D2FC9">
        <w:rPr>
          <w:rFonts w:ascii="Arial" w:hAnsi="Arial" w:cs="Arial"/>
          <w:lang w:eastAsia="en-US"/>
        </w:rPr>
        <w:t xml:space="preserve">ed between different combinations or </w:t>
      </w:r>
      <w:r w:rsidR="002B73ED" w:rsidRPr="000D2FC9">
        <w:rPr>
          <w:rFonts w:ascii="Arial" w:hAnsi="Arial" w:cs="Arial"/>
          <w:lang w:eastAsia="en-US"/>
        </w:rPr>
        <w:t xml:space="preserve">used </w:t>
      </w:r>
      <w:r w:rsidRPr="000D2FC9">
        <w:rPr>
          <w:rFonts w:ascii="Arial" w:hAnsi="Arial" w:cs="Arial"/>
          <w:lang w:eastAsia="en-US"/>
        </w:rPr>
        <w:t>on their own. The prime mover has a fifth wheel attachment (which is a female attachment point), and the first trailer connects to the prime mover by a kingpin (being a male attachment point). Trailers attached to the first trailer can be connected in two ways, either by an “A” coupling, or a “B” coupling.</w:t>
      </w:r>
    </w:p>
    <w:p w:rsidR="000B5D2B" w:rsidRDefault="000B5D2B" w:rsidP="000B5D2B">
      <w:pPr>
        <w:spacing w:after="0" w:line="240" w:lineRule="auto"/>
        <w:rPr>
          <w:rFonts w:ascii="Arial" w:hAnsi="Arial" w:cs="Arial"/>
          <w:sz w:val="20"/>
          <w:szCs w:val="20"/>
          <w:lang w:eastAsia="en-US"/>
        </w:rPr>
      </w:pPr>
      <w:r>
        <w:rPr>
          <w:rFonts w:ascii="Arial" w:hAnsi="Arial" w:cs="Arial"/>
          <w:sz w:val="20"/>
          <w:szCs w:val="20"/>
          <w:lang w:eastAsia="en-US"/>
        </w:rPr>
        <w:br w:type="page"/>
      </w:r>
    </w:p>
    <w:p w:rsidR="00666802" w:rsidRPr="000D2FC9" w:rsidRDefault="00666802" w:rsidP="000B5D2B">
      <w:pPr>
        <w:spacing w:after="0" w:line="300" w:lineRule="atLeast"/>
        <w:jc w:val="both"/>
        <w:rPr>
          <w:rFonts w:ascii="Arial" w:hAnsi="Arial" w:cs="Arial"/>
          <w:lang w:eastAsia="en-US"/>
        </w:rPr>
      </w:pPr>
      <w:r w:rsidRPr="000D2FC9">
        <w:rPr>
          <w:rFonts w:ascii="Arial" w:hAnsi="Arial" w:cs="Arial"/>
          <w:lang w:eastAsia="en-US"/>
        </w:rPr>
        <w:lastRenderedPageBreak/>
        <w:t xml:space="preserve">An “A” coupling is a joining of the second trailer </w:t>
      </w:r>
      <w:r w:rsidRPr="000D2FC9">
        <w:rPr>
          <w:rFonts w:ascii="Arial" w:hAnsi="Arial" w:cs="Arial"/>
          <w:u w:val="single"/>
          <w:lang w:eastAsia="en-US"/>
        </w:rPr>
        <w:t>behind</w:t>
      </w:r>
      <w:r w:rsidRPr="000D2FC9">
        <w:rPr>
          <w:rFonts w:ascii="Arial" w:hAnsi="Arial" w:cs="Arial"/>
          <w:lang w:eastAsia="en-US"/>
        </w:rPr>
        <w:t xml:space="preserve"> the axles of the first trailer, whereas a “B” coupling places the connection point of the second trailer </w:t>
      </w:r>
      <w:r w:rsidRPr="000D2FC9">
        <w:rPr>
          <w:rFonts w:ascii="Arial" w:hAnsi="Arial" w:cs="Arial"/>
          <w:u w:val="single"/>
          <w:lang w:eastAsia="en-US"/>
        </w:rPr>
        <w:t>above</w:t>
      </w:r>
      <w:r w:rsidRPr="000D2FC9">
        <w:rPr>
          <w:rFonts w:ascii="Arial" w:hAnsi="Arial" w:cs="Arial"/>
          <w:lang w:eastAsia="en-US"/>
        </w:rPr>
        <w:t xml:space="preserve"> the axles of the first trailer, which provides enhanced roll stability through the combinatio</w:t>
      </w:r>
      <w:r w:rsidR="00CF5A61" w:rsidRPr="000D2FC9">
        <w:rPr>
          <w:rFonts w:ascii="Arial" w:hAnsi="Arial" w:cs="Arial"/>
          <w:lang w:eastAsia="en-US"/>
        </w:rPr>
        <w:t>n and damping of trailer swing.</w:t>
      </w:r>
    </w:p>
    <w:p w:rsidR="000B5D2B" w:rsidRDefault="000B5D2B" w:rsidP="00E761DA">
      <w:pPr>
        <w:spacing w:after="0" w:line="280" w:lineRule="atLeast"/>
        <w:jc w:val="both"/>
        <w:rPr>
          <w:rFonts w:ascii="Arial" w:hAnsi="Arial" w:cs="Arial"/>
          <w:lang w:eastAsia="en-US"/>
        </w:rPr>
      </w:pPr>
    </w:p>
    <w:p w:rsidR="00CF5A61" w:rsidRPr="000D2FC9" w:rsidRDefault="00435EF3" w:rsidP="00E761DA">
      <w:pPr>
        <w:spacing w:after="0" w:line="280" w:lineRule="atLeast"/>
        <w:jc w:val="both"/>
        <w:rPr>
          <w:rFonts w:ascii="Arial" w:hAnsi="Arial" w:cs="Arial"/>
          <w:lang w:eastAsia="en-US"/>
        </w:rPr>
      </w:pPr>
      <w:r>
        <w:rPr>
          <w:rFonts w:ascii="Arial" w:hAnsi="Arial" w:cs="Arial"/>
          <w:noProof/>
        </w:rPr>
        <w:pict>
          <v:shapetype id="_x0000_t202" coordsize="21600,21600" o:spt="202" path="m,l,21600r21600,l21600,xe">
            <v:stroke joinstyle="miter"/>
            <v:path gradientshapeok="t" o:connecttype="rect"/>
          </v:shapetype>
          <v:shape id="_x0000_s1044" type="#_x0000_t202" style="position:absolute;left:0;text-align:left;margin-left:343.1pt;margin-top:7.9pt;width:123.2pt;height:29.15pt;z-index:251662336;mso-width-relative:margin;mso-height-relative:margin">
            <v:textbox>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“B” coupling connection point for trailer following</w:t>
                  </w:r>
                </w:p>
              </w:txbxContent>
            </v:textbox>
          </v:shape>
        </w:pict>
      </w:r>
      <w:r>
        <w:rPr>
          <w:rFonts w:ascii="Arial" w:hAnsi="Arial" w:cs="Arial"/>
          <w:noProof/>
        </w:rPr>
        <w:pict>
          <v:shapetype id="_x0000_t32" coordsize="21600,21600" o:spt="32" o:oned="t" path="m,l21600,21600e" filled="f">
            <v:path arrowok="t" fillok="f" o:connecttype="none"/>
            <o:lock v:ext="edit" shapetype="t"/>
          </v:shapetype>
          <v:shape id="_x0000_s1075" type="#_x0000_t32" style="position:absolute;left:0;text-align:left;margin-left:300.6pt;margin-top:7.9pt;width:42.5pt;height:29.15pt;flip:x;z-index:251671552" o:connectortype="straight" strokecolor="red">
            <v:stroke endarrow="block"/>
          </v:shape>
        </w:pict>
      </w:r>
    </w:p>
    <w:p w:rsidR="00B50150" w:rsidRPr="000D2FC9" w:rsidRDefault="00435EF3" w:rsidP="00E761DA">
      <w:pPr>
        <w:spacing w:after="0" w:line="280" w:lineRule="atLeast"/>
        <w:jc w:val="both"/>
        <w:rPr>
          <w:rFonts w:ascii="Arial" w:hAnsi="Arial" w:cs="Arial"/>
          <w:lang w:eastAsia="en-US"/>
        </w:rPr>
      </w:pPr>
      <w:r w:rsidRPr="00435EF3">
        <w:rPr>
          <w:rFonts w:ascii="Verdana" w:hAnsi="Verdana"/>
          <w:noProof/>
          <w:color w:val="004800"/>
          <w:lang w:eastAsia="zh-TW"/>
        </w:rPr>
        <w:pict>
          <v:shape id="_x0000_s1042" type="#_x0000_t202" style="position:absolute;left:0;text-align:left;margin-left:20.3pt;margin-top:9.85pt;width:148pt;height:20.35pt;z-index:251660288;mso-width-relative:margin;mso-height-relative:margin">
            <v:textbox style="mso-next-textbox:#_x0000_s1042">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“A” coupling connection point</w:t>
                  </w:r>
                </w:p>
              </w:txbxContent>
            </v:textbox>
          </v:shape>
        </w:pict>
      </w:r>
    </w:p>
    <w:p w:rsidR="002B73ED" w:rsidRDefault="00435EF3" w:rsidP="00B50150">
      <w:pPr>
        <w:spacing w:after="0" w:line="280" w:lineRule="atLeast"/>
        <w:jc w:val="center"/>
        <w:rPr>
          <w:rFonts w:ascii="Verdana" w:hAnsi="Verdana"/>
          <w:color w:val="004800"/>
        </w:rPr>
      </w:pPr>
      <w:r>
        <w:rPr>
          <w:rFonts w:ascii="Verdana" w:hAnsi="Verdana"/>
          <w:noProof/>
          <w:color w:val="004800"/>
        </w:rPr>
        <w:pict>
          <v:shape id="_x0000_s1043" type="#_x0000_t32" style="position:absolute;left:0;text-align:left;margin-left:96.15pt;margin-top:16.2pt;width:19.7pt;height:22.45pt;z-index:251661312" o:connectortype="straight" strokecolor="red">
            <v:stroke endarrow="block"/>
          </v:shape>
        </w:pict>
      </w:r>
      <w:r w:rsidR="00485F73" w:rsidRPr="000D2FC9">
        <w:rPr>
          <w:rFonts w:ascii="Verdana" w:hAnsi="Verdana"/>
          <w:noProof/>
          <w:color w:val="004800"/>
        </w:rPr>
        <w:drawing>
          <wp:inline distT="0" distB="0" distL="0" distR="0">
            <wp:extent cx="3556000" cy="1079500"/>
            <wp:effectExtent l="19050" t="0" r="6350" b="0"/>
            <wp:docPr id="1" name="Picture 1" descr="get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Asset"/>
                    <pic:cNvPicPr>
                      <a:picLocks noChangeAspect="1" noChangeArrowheads="1"/>
                    </pic:cNvPicPr>
                  </pic:nvPicPr>
                  <pic:blipFill>
                    <a:blip r:embed="rId11"/>
                    <a:srcRect/>
                    <a:stretch>
                      <a:fillRect/>
                    </a:stretch>
                  </pic:blipFill>
                  <pic:spPr bwMode="auto">
                    <a:xfrm>
                      <a:off x="0" y="0"/>
                      <a:ext cx="3556000" cy="1079500"/>
                    </a:xfrm>
                    <a:prstGeom prst="rect">
                      <a:avLst/>
                    </a:prstGeom>
                    <a:noFill/>
                    <a:ln w="9525">
                      <a:noFill/>
                      <a:miter lim="800000"/>
                      <a:headEnd/>
                      <a:tailEnd/>
                    </a:ln>
                  </pic:spPr>
                </pic:pic>
              </a:graphicData>
            </a:graphic>
          </wp:inline>
        </w:drawing>
      </w:r>
    </w:p>
    <w:p w:rsidR="000B5D2B" w:rsidRPr="000D2FC9" w:rsidRDefault="000B5D2B" w:rsidP="00B50150">
      <w:pPr>
        <w:spacing w:after="0" w:line="280" w:lineRule="atLeast"/>
        <w:jc w:val="center"/>
        <w:rPr>
          <w:rFonts w:ascii="Verdana" w:hAnsi="Verdana"/>
          <w:color w:val="004800"/>
        </w:rPr>
      </w:pPr>
    </w:p>
    <w:p w:rsidR="00B50150" w:rsidRPr="00B50150" w:rsidRDefault="00B50150" w:rsidP="00E761DA">
      <w:pPr>
        <w:spacing w:after="0" w:line="280" w:lineRule="atLeast"/>
        <w:jc w:val="both"/>
        <w:rPr>
          <w:rFonts w:ascii="Arial" w:hAnsi="Arial" w:cs="Arial"/>
          <w:b/>
          <w:sz w:val="16"/>
          <w:szCs w:val="16"/>
          <w:lang w:eastAsia="en-US"/>
        </w:rPr>
      </w:pPr>
      <w:proofErr w:type="gramStart"/>
      <w:r w:rsidRPr="00B50150">
        <w:rPr>
          <w:rFonts w:ascii="Arial" w:hAnsi="Arial" w:cs="Arial"/>
          <w:b/>
          <w:sz w:val="16"/>
          <w:szCs w:val="16"/>
          <w:lang w:eastAsia="en-US"/>
        </w:rPr>
        <w:t>A converter dolly with “A” coupling.</w:t>
      </w:r>
      <w:proofErr w:type="gramEnd"/>
      <w:r w:rsidRPr="00B50150">
        <w:rPr>
          <w:rFonts w:ascii="Arial" w:hAnsi="Arial" w:cs="Arial"/>
          <w:b/>
          <w:sz w:val="16"/>
          <w:szCs w:val="16"/>
          <w:lang w:eastAsia="en-US"/>
        </w:rPr>
        <w:t xml:space="preserve"> </w:t>
      </w:r>
      <w:r w:rsidRPr="00CF5A61">
        <w:rPr>
          <w:rFonts w:ascii="Arial" w:hAnsi="Arial" w:cs="Arial"/>
          <w:b/>
          <w:sz w:val="16"/>
          <w:szCs w:val="16"/>
          <w:u w:val="single"/>
          <w:lang w:eastAsia="en-US"/>
        </w:rPr>
        <w:t>Note</w:t>
      </w:r>
      <w:r w:rsidRPr="00B50150">
        <w:rPr>
          <w:rFonts w:ascii="Arial" w:hAnsi="Arial" w:cs="Arial"/>
          <w:b/>
          <w:sz w:val="16"/>
          <w:szCs w:val="16"/>
          <w:lang w:eastAsia="en-US"/>
        </w:rPr>
        <w:t xml:space="preserve"> that while the “A” coupling provides a “B” coupling connection point for the trailer following, the name of the coupling is derived from the first point of articulation.</w:t>
      </w:r>
    </w:p>
    <w:p w:rsidR="000B5D2B" w:rsidRDefault="000B5D2B" w:rsidP="00E761DA">
      <w:pPr>
        <w:spacing w:after="0" w:line="280" w:lineRule="atLeast"/>
        <w:jc w:val="both"/>
        <w:rPr>
          <w:rFonts w:ascii="Arial" w:hAnsi="Arial" w:cs="Arial"/>
          <w:lang w:eastAsia="en-US"/>
        </w:rPr>
      </w:pPr>
    </w:p>
    <w:p w:rsidR="000144A5" w:rsidRPr="000B5D2B" w:rsidRDefault="00435EF3" w:rsidP="00E761DA">
      <w:pPr>
        <w:spacing w:after="0" w:line="280" w:lineRule="atLeast"/>
        <w:jc w:val="both"/>
        <w:rPr>
          <w:rFonts w:ascii="Arial" w:hAnsi="Arial" w:cs="Arial"/>
          <w:lang w:eastAsia="en-US"/>
        </w:rPr>
      </w:pPr>
      <w:r w:rsidRPr="00435EF3">
        <w:rPr>
          <w:rFonts w:ascii="Arial" w:hAnsi="Arial" w:cs="Arial"/>
          <w:b/>
          <w:noProof/>
        </w:rPr>
        <w:pict>
          <v:shape id="_x0000_s1081" type="#_x0000_t202" style="position:absolute;left:0;text-align:left;margin-left:150.8pt;margin-top:6.6pt;width:238.5pt;height:19.95pt;z-index:251676672;mso-width-relative:margin;mso-height-relative:margin">
            <v:textbox>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“B” coupling connection point for trailer following</w:t>
                  </w:r>
                </w:p>
              </w:txbxContent>
            </v:textbox>
          </v:shape>
        </w:pict>
      </w:r>
    </w:p>
    <w:p w:rsidR="00B50150" w:rsidRPr="000B5D2B" w:rsidRDefault="00435EF3" w:rsidP="00E761DA">
      <w:pPr>
        <w:spacing w:after="0" w:line="280" w:lineRule="atLeast"/>
        <w:jc w:val="both"/>
        <w:rPr>
          <w:rFonts w:ascii="Arial" w:hAnsi="Arial" w:cs="Arial"/>
          <w:lang w:eastAsia="en-US"/>
        </w:rPr>
      </w:pPr>
      <w:r w:rsidRPr="00435EF3">
        <w:rPr>
          <w:rFonts w:ascii="Arial" w:hAnsi="Arial" w:cs="Arial"/>
          <w:b/>
          <w:noProof/>
        </w:rPr>
        <w:pict>
          <v:shape id="_x0000_s1055" type="#_x0000_t32" style="position:absolute;left:0;text-align:left;margin-left:334.55pt;margin-top:12.55pt;width:37.8pt;height:48.5pt;flip:x;z-index:251670528" o:connectortype="straight" strokecolor="red">
            <v:stroke endarrow="block"/>
          </v:shape>
        </w:pict>
      </w:r>
      <w:r>
        <w:rPr>
          <w:rFonts w:ascii="Arial" w:hAnsi="Arial" w:cs="Arial"/>
          <w:noProof/>
        </w:rPr>
        <w:pict>
          <v:shape id="_x0000_s1054" type="#_x0000_t32" style="position:absolute;left:0;text-align:left;margin-left:126.45pt;margin-top:12.55pt;width:37.8pt;height:48.5pt;flip:x;z-index:251669504" o:connectortype="straight" strokecolor="red">
            <v:stroke endarrow="block"/>
          </v:shape>
        </w:pict>
      </w:r>
      <w:r>
        <w:rPr>
          <w:rFonts w:ascii="Arial" w:hAnsi="Arial" w:cs="Arial"/>
          <w:noProof/>
        </w:rPr>
        <w:pict>
          <v:shape id="_x0000_s1053" type="#_x0000_t32" style="position:absolute;left:0;text-align:left;margin-left:241.5pt;margin-top:12.55pt;width:37.8pt;height:48.5pt;flip:x;z-index:251668480" o:connectortype="straight" strokecolor="red">
            <v:stroke endarrow="block"/>
          </v:shape>
        </w:pict>
      </w:r>
    </w:p>
    <w:p w:rsidR="00B50150" w:rsidRPr="000B5D2B" w:rsidRDefault="00B50150" w:rsidP="00E761DA">
      <w:pPr>
        <w:spacing w:after="0" w:line="280" w:lineRule="atLeast"/>
        <w:jc w:val="both"/>
        <w:rPr>
          <w:rFonts w:ascii="Arial" w:hAnsi="Arial" w:cs="Arial"/>
          <w:lang w:eastAsia="en-US"/>
        </w:rPr>
      </w:pPr>
    </w:p>
    <w:p w:rsidR="00B50150" w:rsidRDefault="00485F73" w:rsidP="00B50150">
      <w:pPr>
        <w:spacing w:after="0" w:line="280" w:lineRule="atLeast"/>
        <w:jc w:val="center"/>
        <w:rPr>
          <w:rFonts w:ascii="Verdana" w:hAnsi="Verdana"/>
          <w:color w:val="004800"/>
        </w:rPr>
      </w:pPr>
      <w:r w:rsidRPr="000B5D2B">
        <w:rPr>
          <w:rFonts w:ascii="Verdana" w:hAnsi="Verdana"/>
          <w:noProof/>
          <w:color w:val="004800"/>
        </w:rPr>
        <w:drawing>
          <wp:inline distT="0" distB="0" distL="0" distR="0">
            <wp:extent cx="1727200" cy="723900"/>
            <wp:effectExtent l="19050" t="0" r="6350" b="0"/>
            <wp:docPr id="2" name="Picture 2" descr="get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Asset"/>
                    <pic:cNvPicPr>
                      <a:picLocks noChangeAspect="1" noChangeArrowheads="1"/>
                    </pic:cNvPicPr>
                  </pic:nvPicPr>
                  <pic:blipFill>
                    <a:blip r:embed="rId12"/>
                    <a:srcRect/>
                    <a:stretch>
                      <a:fillRect/>
                    </a:stretch>
                  </pic:blipFill>
                  <pic:spPr bwMode="auto">
                    <a:xfrm>
                      <a:off x="0" y="0"/>
                      <a:ext cx="1727200" cy="723900"/>
                    </a:xfrm>
                    <a:prstGeom prst="rect">
                      <a:avLst/>
                    </a:prstGeom>
                    <a:noFill/>
                    <a:ln w="9525">
                      <a:noFill/>
                      <a:miter lim="800000"/>
                      <a:headEnd/>
                      <a:tailEnd/>
                    </a:ln>
                  </pic:spPr>
                </pic:pic>
              </a:graphicData>
            </a:graphic>
          </wp:inline>
        </w:drawing>
      </w:r>
      <w:r w:rsidR="00B50150" w:rsidRPr="000B5D2B">
        <w:rPr>
          <w:rFonts w:ascii="Verdana" w:hAnsi="Verdana"/>
          <w:color w:val="004800"/>
        </w:rPr>
        <w:t xml:space="preserve">       </w:t>
      </w:r>
      <w:r w:rsidRPr="000B5D2B">
        <w:rPr>
          <w:rFonts w:ascii="Verdana" w:hAnsi="Verdana"/>
          <w:noProof/>
          <w:color w:val="004800"/>
        </w:rPr>
        <w:drawing>
          <wp:inline distT="0" distB="0" distL="0" distR="0">
            <wp:extent cx="3752850" cy="723900"/>
            <wp:effectExtent l="19050" t="0" r="0" b="0"/>
            <wp:docPr id="3" name="Picture 3" descr="get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Asset"/>
                    <pic:cNvPicPr>
                      <a:picLocks noChangeAspect="1" noChangeArrowheads="1"/>
                    </pic:cNvPicPr>
                  </pic:nvPicPr>
                  <pic:blipFill>
                    <a:blip r:embed="rId13"/>
                    <a:srcRect/>
                    <a:stretch>
                      <a:fillRect/>
                    </a:stretch>
                  </pic:blipFill>
                  <pic:spPr bwMode="auto">
                    <a:xfrm>
                      <a:off x="0" y="0"/>
                      <a:ext cx="3752850" cy="723900"/>
                    </a:xfrm>
                    <a:prstGeom prst="rect">
                      <a:avLst/>
                    </a:prstGeom>
                    <a:noFill/>
                    <a:ln w="9525">
                      <a:noFill/>
                      <a:miter lim="800000"/>
                      <a:headEnd/>
                      <a:tailEnd/>
                    </a:ln>
                  </pic:spPr>
                </pic:pic>
              </a:graphicData>
            </a:graphic>
          </wp:inline>
        </w:drawing>
      </w:r>
    </w:p>
    <w:p w:rsidR="000B5D2B" w:rsidRPr="000B5D2B" w:rsidRDefault="000B5D2B" w:rsidP="00B50150">
      <w:pPr>
        <w:spacing w:after="0" w:line="280" w:lineRule="atLeast"/>
        <w:jc w:val="center"/>
        <w:rPr>
          <w:rFonts w:ascii="Arial" w:hAnsi="Arial" w:cs="Arial"/>
          <w:lang w:eastAsia="en-US"/>
        </w:rPr>
      </w:pPr>
    </w:p>
    <w:p w:rsidR="00CF5A61" w:rsidRPr="00B50150" w:rsidRDefault="00CF5A61" w:rsidP="00CF5A61">
      <w:pPr>
        <w:spacing w:after="0" w:line="280" w:lineRule="atLeast"/>
        <w:jc w:val="both"/>
        <w:rPr>
          <w:rFonts w:ascii="Arial" w:hAnsi="Arial" w:cs="Arial"/>
          <w:b/>
          <w:sz w:val="16"/>
          <w:szCs w:val="16"/>
          <w:lang w:eastAsia="en-US"/>
        </w:rPr>
      </w:pPr>
      <w:proofErr w:type="gramStart"/>
      <w:r w:rsidRPr="00B50150">
        <w:rPr>
          <w:rFonts w:ascii="Arial" w:hAnsi="Arial" w:cs="Arial"/>
          <w:b/>
          <w:sz w:val="16"/>
          <w:szCs w:val="16"/>
          <w:lang w:eastAsia="en-US"/>
        </w:rPr>
        <w:t xml:space="preserve">A </w:t>
      </w:r>
      <w:r>
        <w:rPr>
          <w:rFonts w:ascii="Arial" w:hAnsi="Arial" w:cs="Arial"/>
          <w:b/>
          <w:sz w:val="16"/>
          <w:szCs w:val="16"/>
          <w:lang w:eastAsia="en-US"/>
        </w:rPr>
        <w:t>semi-trailer</w:t>
      </w:r>
      <w:r w:rsidRPr="00B50150">
        <w:rPr>
          <w:rFonts w:ascii="Arial" w:hAnsi="Arial" w:cs="Arial"/>
          <w:b/>
          <w:sz w:val="16"/>
          <w:szCs w:val="16"/>
          <w:lang w:eastAsia="en-US"/>
        </w:rPr>
        <w:t xml:space="preserve"> with “</w:t>
      </w:r>
      <w:r>
        <w:rPr>
          <w:rFonts w:ascii="Arial" w:hAnsi="Arial" w:cs="Arial"/>
          <w:b/>
          <w:sz w:val="16"/>
          <w:szCs w:val="16"/>
          <w:lang w:eastAsia="en-US"/>
        </w:rPr>
        <w:t>B</w:t>
      </w:r>
      <w:r w:rsidRPr="00B50150">
        <w:rPr>
          <w:rFonts w:ascii="Arial" w:hAnsi="Arial" w:cs="Arial"/>
          <w:b/>
          <w:sz w:val="16"/>
          <w:szCs w:val="16"/>
          <w:lang w:eastAsia="en-US"/>
        </w:rPr>
        <w:t>” coupling.</w:t>
      </w:r>
      <w:proofErr w:type="gramEnd"/>
      <w:r w:rsidRPr="00B50150">
        <w:rPr>
          <w:rFonts w:ascii="Arial" w:hAnsi="Arial" w:cs="Arial"/>
          <w:b/>
          <w:sz w:val="16"/>
          <w:szCs w:val="16"/>
          <w:lang w:eastAsia="en-US"/>
        </w:rPr>
        <w:t xml:space="preserve"> Note that </w:t>
      </w:r>
      <w:r>
        <w:rPr>
          <w:rFonts w:ascii="Arial" w:hAnsi="Arial" w:cs="Arial"/>
          <w:b/>
          <w:sz w:val="16"/>
          <w:szCs w:val="16"/>
          <w:lang w:eastAsia="en-US"/>
        </w:rPr>
        <w:t>there may be multiple</w:t>
      </w:r>
      <w:r w:rsidRPr="00B50150">
        <w:rPr>
          <w:rFonts w:ascii="Arial" w:hAnsi="Arial" w:cs="Arial"/>
          <w:b/>
          <w:sz w:val="16"/>
          <w:szCs w:val="16"/>
          <w:lang w:eastAsia="en-US"/>
        </w:rPr>
        <w:t xml:space="preserve"> “B” coupling connection point</w:t>
      </w:r>
      <w:r>
        <w:rPr>
          <w:rFonts w:ascii="Arial" w:hAnsi="Arial" w:cs="Arial"/>
          <w:b/>
          <w:sz w:val="16"/>
          <w:szCs w:val="16"/>
          <w:lang w:eastAsia="en-US"/>
        </w:rPr>
        <w:t>s along the combination.</w:t>
      </w:r>
    </w:p>
    <w:p w:rsidR="000B5D2B" w:rsidRPr="000B5D2B" w:rsidRDefault="000B5D2B" w:rsidP="000B5D2B">
      <w:pPr>
        <w:spacing w:after="0" w:line="300" w:lineRule="atLeast"/>
        <w:jc w:val="both"/>
        <w:rPr>
          <w:rFonts w:ascii="Arial" w:hAnsi="Arial" w:cs="Arial"/>
          <w:lang w:eastAsia="en-US"/>
        </w:rPr>
      </w:pPr>
    </w:p>
    <w:p w:rsidR="00666802" w:rsidRPr="000B5D2B" w:rsidRDefault="00CF5A61" w:rsidP="000B5D2B">
      <w:pPr>
        <w:spacing w:after="0" w:line="300" w:lineRule="atLeast"/>
        <w:jc w:val="both"/>
        <w:rPr>
          <w:rFonts w:ascii="Arial" w:hAnsi="Arial" w:cs="Arial"/>
          <w:lang w:eastAsia="en-US"/>
        </w:rPr>
      </w:pPr>
      <w:r w:rsidRPr="000B5D2B">
        <w:rPr>
          <w:rFonts w:ascii="Arial" w:hAnsi="Arial" w:cs="Arial"/>
          <w:lang w:eastAsia="en-US"/>
        </w:rPr>
        <w:t xml:space="preserve">These types of couplings can be mixed and matched between various combinations as explained below. </w:t>
      </w:r>
      <w:r w:rsidR="00666802" w:rsidRPr="000B5D2B">
        <w:rPr>
          <w:rFonts w:ascii="Arial" w:hAnsi="Arial" w:cs="Arial"/>
          <w:lang w:eastAsia="en-US"/>
        </w:rPr>
        <w:t>A vehicle combination comprising a prime mover towing two or more semi-trailers can be joined by what is known as a converter dolly</w:t>
      </w:r>
      <w:r w:rsidRPr="000B5D2B">
        <w:rPr>
          <w:rFonts w:ascii="Arial" w:hAnsi="Arial" w:cs="Arial"/>
          <w:lang w:eastAsia="en-US"/>
        </w:rPr>
        <w:t>, pictured above</w:t>
      </w:r>
      <w:r w:rsidR="00666802" w:rsidRPr="000B5D2B">
        <w:rPr>
          <w:rFonts w:ascii="Arial" w:hAnsi="Arial" w:cs="Arial"/>
          <w:lang w:eastAsia="en-US"/>
        </w:rPr>
        <w:t xml:space="preserve">. The dolly </w:t>
      </w:r>
      <w:r w:rsidR="000144A5" w:rsidRPr="000B5D2B">
        <w:rPr>
          <w:rFonts w:ascii="Arial" w:hAnsi="Arial" w:cs="Arial"/>
          <w:lang w:eastAsia="en-US"/>
        </w:rPr>
        <w:t>provides</w:t>
      </w:r>
      <w:r w:rsidR="00666802" w:rsidRPr="000B5D2B">
        <w:rPr>
          <w:rFonts w:ascii="Arial" w:hAnsi="Arial" w:cs="Arial"/>
          <w:lang w:eastAsia="en-US"/>
        </w:rPr>
        <w:t xml:space="preserve"> an “A” coupling to attach other trailers, as can be seen on the examples below. Combinations utilising only an “A” coupling, can be referred to as an A-double or A-triple. These are more commonly referred to as Type 1 and Type 2 road trains, and are the original prescriptive modular combinations.</w:t>
      </w:r>
    </w:p>
    <w:p w:rsidR="00666802" w:rsidRDefault="00666802" w:rsidP="000B5D2B">
      <w:pPr>
        <w:spacing w:after="0" w:line="300" w:lineRule="atLeast"/>
        <w:jc w:val="both"/>
        <w:rPr>
          <w:rFonts w:ascii="Arial" w:hAnsi="Arial" w:cs="Arial"/>
          <w:lang w:eastAsia="en-US"/>
        </w:rPr>
      </w:pPr>
    </w:p>
    <w:p w:rsidR="000B5D2B" w:rsidRPr="000B5D2B" w:rsidRDefault="000B5D2B" w:rsidP="000B5D2B">
      <w:pPr>
        <w:spacing w:after="0" w:line="300" w:lineRule="atLeast"/>
        <w:jc w:val="both"/>
        <w:rPr>
          <w:rFonts w:ascii="Arial" w:hAnsi="Arial" w:cs="Arial"/>
          <w:lang w:eastAsia="en-US"/>
        </w:rPr>
      </w:pPr>
    </w:p>
    <w:p w:rsidR="000144A5" w:rsidRDefault="000144A5" w:rsidP="00DC6B58">
      <w:pPr>
        <w:spacing w:after="0" w:line="280" w:lineRule="atLeast"/>
        <w:jc w:val="center"/>
        <w:rPr>
          <w:rFonts w:ascii="Arial" w:hAnsi="Arial" w:cs="Arial"/>
          <w:b/>
          <w:sz w:val="20"/>
          <w:szCs w:val="20"/>
          <w:lang w:eastAsia="en-US"/>
        </w:rPr>
      </w:pPr>
      <w:r w:rsidRPr="000B5D2B">
        <w:rPr>
          <w:rFonts w:ascii="Arial" w:hAnsi="Arial" w:cs="Arial"/>
          <w:b/>
          <w:sz w:val="20"/>
          <w:szCs w:val="20"/>
          <w:lang w:eastAsia="en-US"/>
        </w:rPr>
        <w:t>Type 1 Road Train</w:t>
      </w:r>
    </w:p>
    <w:p w:rsidR="000B5D2B" w:rsidRPr="000B5D2B" w:rsidRDefault="000B5D2B" w:rsidP="00DC6B58">
      <w:pPr>
        <w:spacing w:after="0" w:line="280" w:lineRule="atLeast"/>
        <w:jc w:val="center"/>
        <w:rPr>
          <w:rFonts w:ascii="Arial" w:hAnsi="Arial" w:cs="Arial"/>
          <w:b/>
          <w:sz w:val="20"/>
          <w:szCs w:val="20"/>
          <w:lang w:eastAsia="en-US"/>
        </w:rPr>
      </w:pPr>
    </w:p>
    <w:p w:rsidR="00666802" w:rsidRDefault="00435EF3" w:rsidP="00BE718A">
      <w:pPr>
        <w:spacing w:after="0" w:line="280" w:lineRule="atLeast"/>
        <w:jc w:val="center"/>
        <w:rPr>
          <w:rFonts w:ascii="Arial" w:hAnsi="Arial" w:cs="Arial"/>
          <w:sz w:val="20"/>
          <w:szCs w:val="20"/>
          <w:lang w:eastAsia="en-US"/>
        </w:rPr>
      </w:pPr>
      <w:r>
        <w:rPr>
          <w:rFonts w:ascii="Arial" w:hAnsi="Arial" w:cs="Arial"/>
          <w:noProof/>
          <w:sz w:val="20"/>
          <w:szCs w:val="20"/>
        </w:rPr>
        <w:pict>
          <v:shape id="_x0000_s1109" type="#_x0000_t32" style="position:absolute;left:0;text-align:left;margin-left:245.3pt;margin-top:31.85pt;width:4.2pt;height:42.5pt;flip:y;z-index:251701248" o:connectortype="straight" strokecolor="red">
            <v:stroke endarrow="block"/>
          </v:shape>
        </w:pict>
      </w:r>
      <w:r w:rsidR="00485F73">
        <w:rPr>
          <w:rFonts w:ascii="Arial" w:hAnsi="Arial" w:cs="Arial"/>
          <w:noProof/>
          <w:sz w:val="20"/>
          <w:szCs w:val="20"/>
        </w:rPr>
        <w:drawing>
          <wp:inline distT="0" distB="0" distL="0" distR="0">
            <wp:extent cx="3526037" cy="540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526037" cy="540000"/>
                    </a:xfrm>
                    <a:prstGeom prst="rect">
                      <a:avLst/>
                    </a:prstGeom>
                    <a:noFill/>
                    <a:ln w="9525">
                      <a:noFill/>
                      <a:miter lim="800000"/>
                      <a:headEnd/>
                      <a:tailEnd/>
                    </a:ln>
                  </pic:spPr>
                </pic:pic>
              </a:graphicData>
            </a:graphic>
          </wp:inline>
        </w:drawing>
      </w:r>
    </w:p>
    <w:p w:rsidR="00666802" w:rsidRDefault="00666802" w:rsidP="00BE718A">
      <w:pPr>
        <w:spacing w:after="0" w:line="280" w:lineRule="atLeast"/>
        <w:jc w:val="center"/>
        <w:rPr>
          <w:rFonts w:ascii="Arial" w:hAnsi="Arial" w:cs="Arial"/>
          <w:sz w:val="20"/>
          <w:szCs w:val="20"/>
          <w:lang w:eastAsia="en-US"/>
        </w:rPr>
      </w:pPr>
    </w:p>
    <w:p w:rsidR="000B5D2B" w:rsidRDefault="000B5D2B" w:rsidP="00BE718A">
      <w:pPr>
        <w:spacing w:after="0" w:line="280" w:lineRule="atLeast"/>
        <w:jc w:val="center"/>
        <w:rPr>
          <w:rFonts w:ascii="Arial" w:hAnsi="Arial" w:cs="Arial"/>
          <w:sz w:val="20"/>
          <w:szCs w:val="20"/>
          <w:lang w:eastAsia="en-US"/>
        </w:rPr>
      </w:pPr>
    </w:p>
    <w:p w:rsidR="000144A5" w:rsidRDefault="00435EF3" w:rsidP="00BE718A">
      <w:pPr>
        <w:spacing w:after="0" w:line="280" w:lineRule="atLeast"/>
        <w:jc w:val="center"/>
        <w:rPr>
          <w:rFonts w:ascii="Arial" w:hAnsi="Arial" w:cs="Arial"/>
          <w:sz w:val="20"/>
          <w:szCs w:val="20"/>
          <w:lang w:eastAsia="en-US"/>
        </w:rPr>
      </w:pPr>
      <w:r>
        <w:rPr>
          <w:rFonts w:ascii="Arial" w:hAnsi="Arial" w:cs="Arial"/>
          <w:noProof/>
          <w:sz w:val="20"/>
          <w:szCs w:val="20"/>
        </w:rPr>
        <w:pict>
          <v:shape id="_x0000_s1077" type="#_x0000_t202" style="position:absolute;left:0;text-align:left;margin-left:168.3pt;margin-top:3.85pt;width:152pt;height:20.35pt;z-index:251672576;mso-width-relative:margin;mso-height-relative:margin">
            <v:textbox style="mso-next-textbox:#_x0000_s1077">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“A” coupling connection points</w:t>
                  </w:r>
                </w:p>
              </w:txbxContent>
            </v:textbox>
          </v:shape>
        </w:pict>
      </w:r>
    </w:p>
    <w:p w:rsidR="00666802" w:rsidRDefault="00435EF3" w:rsidP="00BE718A">
      <w:pPr>
        <w:spacing w:after="0" w:line="280" w:lineRule="atLeast"/>
        <w:jc w:val="center"/>
        <w:rPr>
          <w:rFonts w:ascii="Arial" w:hAnsi="Arial" w:cs="Arial"/>
          <w:sz w:val="20"/>
          <w:szCs w:val="20"/>
          <w:lang w:eastAsia="en-US"/>
        </w:rPr>
      </w:pPr>
      <w:r>
        <w:rPr>
          <w:rFonts w:ascii="Arial" w:hAnsi="Arial" w:cs="Arial"/>
          <w:noProof/>
          <w:sz w:val="20"/>
          <w:szCs w:val="20"/>
        </w:rPr>
        <w:pict>
          <v:shape id="_x0000_s1079" type="#_x0000_t32" style="position:absolute;left:0;text-align:left;margin-left:245.3pt;margin-top:10.2pt;width:69.9pt;height:60.6pt;z-index:251674624" o:connectortype="straight" strokecolor="red">
            <v:stroke endarrow="block"/>
          </v:shape>
        </w:pict>
      </w:r>
      <w:r>
        <w:rPr>
          <w:rFonts w:ascii="Arial" w:hAnsi="Arial" w:cs="Arial"/>
          <w:noProof/>
          <w:sz w:val="20"/>
          <w:szCs w:val="20"/>
        </w:rPr>
        <w:pict>
          <v:shape id="_x0000_s1080" type="#_x0000_t32" style="position:absolute;left:0;text-align:left;margin-left:184.35pt;margin-top:10.2pt;width:60.95pt;height:60.6pt;flip:x;z-index:251675648" o:connectortype="straight" strokecolor="red">
            <v:stroke endarrow="block"/>
          </v:shape>
        </w:pict>
      </w:r>
    </w:p>
    <w:p w:rsidR="00666802" w:rsidRDefault="00666802" w:rsidP="00BE718A">
      <w:pPr>
        <w:spacing w:after="0" w:line="280" w:lineRule="atLeast"/>
        <w:jc w:val="center"/>
        <w:rPr>
          <w:rFonts w:ascii="Arial" w:hAnsi="Arial" w:cs="Arial"/>
          <w:sz w:val="20"/>
          <w:szCs w:val="20"/>
          <w:lang w:eastAsia="en-US"/>
        </w:rPr>
      </w:pPr>
    </w:p>
    <w:p w:rsidR="000B5D2B" w:rsidRDefault="000B5D2B" w:rsidP="00BE718A">
      <w:pPr>
        <w:spacing w:after="0" w:line="280" w:lineRule="atLeast"/>
        <w:jc w:val="center"/>
        <w:rPr>
          <w:rFonts w:ascii="Arial" w:hAnsi="Arial" w:cs="Arial"/>
          <w:sz w:val="20"/>
          <w:szCs w:val="20"/>
          <w:lang w:eastAsia="en-US"/>
        </w:rPr>
      </w:pPr>
    </w:p>
    <w:p w:rsidR="00666802" w:rsidRDefault="00485F73" w:rsidP="00BE718A">
      <w:pPr>
        <w:spacing w:after="0" w:line="280" w:lineRule="atLeast"/>
        <w:jc w:val="center"/>
        <w:rPr>
          <w:rFonts w:ascii="Arial" w:hAnsi="Arial" w:cs="Arial"/>
          <w:sz w:val="20"/>
          <w:szCs w:val="20"/>
          <w:lang w:eastAsia="en-US"/>
        </w:rPr>
      </w:pPr>
      <w:r>
        <w:rPr>
          <w:rFonts w:ascii="Arial" w:hAnsi="Arial" w:cs="Arial"/>
          <w:noProof/>
          <w:sz w:val="20"/>
          <w:szCs w:val="20"/>
        </w:rPr>
        <w:drawing>
          <wp:inline distT="0" distB="0" distL="0" distR="0">
            <wp:extent cx="5206047" cy="5400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06047" cy="540000"/>
                    </a:xfrm>
                    <a:prstGeom prst="rect">
                      <a:avLst/>
                    </a:prstGeom>
                    <a:noFill/>
                    <a:ln w="9525">
                      <a:noFill/>
                      <a:miter lim="800000"/>
                      <a:headEnd/>
                      <a:tailEnd/>
                    </a:ln>
                  </pic:spPr>
                </pic:pic>
              </a:graphicData>
            </a:graphic>
          </wp:inline>
        </w:drawing>
      </w:r>
    </w:p>
    <w:p w:rsidR="00666802" w:rsidRDefault="00666802" w:rsidP="00BE718A">
      <w:pPr>
        <w:spacing w:after="0" w:line="280" w:lineRule="atLeast"/>
        <w:jc w:val="center"/>
        <w:rPr>
          <w:rFonts w:ascii="Arial" w:hAnsi="Arial" w:cs="Arial"/>
          <w:sz w:val="20"/>
          <w:szCs w:val="20"/>
          <w:lang w:eastAsia="en-US"/>
        </w:rPr>
      </w:pPr>
    </w:p>
    <w:p w:rsidR="00666802" w:rsidRPr="000B5D2B" w:rsidRDefault="00666802" w:rsidP="00BE718A">
      <w:pPr>
        <w:spacing w:after="0" w:line="280" w:lineRule="atLeast"/>
        <w:jc w:val="center"/>
        <w:rPr>
          <w:rFonts w:ascii="Arial" w:hAnsi="Arial" w:cs="Arial"/>
          <w:b/>
          <w:sz w:val="20"/>
          <w:szCs w:val="20"/>
          <w:lang w:eastAsia="en-US"/>
        </w:rPr>
      </w:pPr>
      <w:r w:rsidRPr="000B5D2B">
        <w:rPr>
          <w:rFonts w:ascii="Arial" w:hAnsi="Arial" w:cs="Arial"/>
          <w:b/>
          <w:sz w:val="20"/>
          <w:szCs w:val="20"/>
          <w:lang w:eastAsia="en-US"/>
        </w:rPr>
        <w:t>Type 2 Road Train</w:t>
      </w:r>
    </w:p>
    <w:p w:rsidR="000B5D2B" w:rsidRDefault="000B5D2B">
      <w:pPr>
        <w:spacing w:after="0" w:line="240" w:lineRule="auto"/>
        <w:rPr>
          <w:rFonts w:ascii="Arial" w:hAnsi="Arial" w:cs="Arial"/>
          <w:lang w:eastAsia="en-US"/>
        </w:rPr>
      </w:pPr>
      <w:r>
        <w:rPr>
          <w:rFonts w:ascii="Arial" w:hAnsi="Arial" w:cs="Arial"/>
          <w:lang w:eastAsia="en-US"/>
        </w:rPr>
        <w:br w:type="page"/>
      </w:r>
    </w:p>
    <w:p w:rsidR="00666802" w:rsidRPr="000B5D2B" w:rsidRDefault="00666802" w:rsidP="000B5D2B">
      <w:pPr>
        <w:spacing w:after="0" w:line="300" w:lineRule="atLeast"/>
        <w:jc w:val="both"/>
        <w:rPr>
          <w:rFonts w:ascii="Arial" w:hAnsi="Arial" w:cs="Arial"/>
          <w:lang w:eastAsia="en-US"/>
        </w:rPr>
      </w:pPr>
      <w:r w:rsidRPr="000B5D2B">
        <w:rPr>
          <w:rFonts w:ascii="Arial" w:hAnsi="Arial" w:cs="Arial"/>
          <w:lang w:eastAsia="en-US"/>
        </w:rPr>
        <w:lastRenderedPageBreak/>
        <w:t xml:space="preserve">Prescriptive modular combinations using “B” couplings have been proven </w:t>
      </w:r>
      <w:r w:rsidR="00AB78B1" w:rsidRPr="000B5D2B">
        <w:rPr>
          <w:rFonts w:ascii="Arial" w:hAnsi="Arial" w:cs="Arial"/>
          <w:lang w:eastAsia="en-US"/>
        </w:rPr>
        <w:t>to be</w:t>
      </w:r>
      <w:r w:rsidRPr="000B5D2B">
        <w:rPr>
          <w:rFonts w:ascii="Arial" w:hAnsi="Arial" w:cs="Arial"/>
          <w:lang w:eastAsia="en-US"/>
        </w:rPr>
        <w:t xml:space="preserve"> safer than traditional combinations using “A” couplings</w:t>
      </w:r>
      <w:r w:rsidR="00A327EA" w:rsidRPr="000B5D2B">
        <w:rPr>
          <w:rFonts w:ascii="Arial" w:hAnsi="Arial" w:cs="Arial"/>
          <w:lang w:eastAsia="en-US"/>
        </w:rPr>
        <w:t xml:space="preserve">, due to the enhanced roll stability and reduced trailer swing of the combination. </w:t>
      </w:r>
      <w:r w:rsidRPr="000B5D2B">
        <w:rPr>
          <w:rFonts w:ascii="Arial" w:hAnsi="Arial" w:cs="Arial"/>
          <w:lang w:eastAsia="en-US"/>
        </w:rPr>
        <w:t xml:space="preserve">Vehicles comprising a prime mover towing </w:t>
      </w:r>
      <w:r w:rsidR="0056035A" w:rsidRPr="000B5D2B">
        <w:rPr>
          <w:rFonts w:ascii="Arial" w:hAnsi="Arial" w:cs="Arial"/>
          <w:lang w:eastAsia="en-US"/>
        </w:rPr>
        <w:t>one</w:t>
      </w:r>
      <w:r w:rsidRPr="000B5D2B">
        <w:rPr>
          <w:rFonts w:ascii="Arial" w:hAnsi="Arial" w:cs="Arial"/>
          <w:lang w:eastAsia="en-US"/>
        </w:rPr>
        <w:t xml:space="preserve"> or </w:t>
      </w:r>
      <w:r w:rsidR="0056035A" w:rsidRPr="000B5D2B">
        <w:rPr>
          <w:rFonts w:ascii="Arial" w:hAnsi="Arial" w:cs="Arial"/>
          <w:lang w:eastAsia="en-US"/>
        </w:rPr>
        <w:t>two</w:t>
      </w:r>
      <w:r w:rsidRPr="000B5D2B">
        <w:rPr>
          <w:rFonts w:ascii="Arial" w:hAnsi="Arial" w:cs="Arial"/>
          <w:lang w:eastAsia="en-US"/>
        </w:rPr>
        <w:t xml:space="preserve"> </w:t>
      </w:r>
      <w:r w:rsidR="0056035A" w:rsidRPr="000B5D2B">
        <w:rPr>
          <w:rFonts w:ascii="Arial" w:hAnsi="Arial" w:cs="Arial"/>
          <w:lang w:eastAsia="en-US"/>
        </w:rPr>
        <w:t xml:space="preserve">short </w:t>
      </w:r>
      <w:r w:rsidRPr="000B5D2B">
        <w:rPr>
          <w:rFonts w:ascii="Arial" w:hAnsi="Arial" w:cs="Arial"/>
          <w:lang w:eastAsia="en-US"/>
        </w:rPr>
        <w:t xml:space="preserve">semi-trailers </w:t>
      </w:r>
      <w:r w:rsidR="0056035A" w:rsidRPr="000B5D2B">
        <w:rPr>
          <w:rFonts w:ascii="Arial" w:hAnsi="Arial" w:cs="Arial"/>
          <w:lang w:eastAsia="en-US"/>
        </w:rPr>
        <w:t xml:space="preserve">(known as A-trailers) followed by a standard sized semi-trailer and </w:t>
      </w:r>
      <w:r w:rsidRPr="000B5D2B">
        <w:rPr>
          <w:rFonts w:ascii="Arial" w:hAnsi="Arial" w:cs="Arial"/>
          <w:lang w:eastAsia="en-US"/>
        </w:rPr>
        <w:t xml:space="preserve">joined by a fifth wheel coupling are referred to as </w:t>
      </w:r>
      <w:r w:rsidR="0056035A" w:rsidRPr="000B5D2B">
        <w:rPr>
          <w:rFonts w:ascii="Arial" w:hAnsi="Arial" w:cs="Arial"/>
          <w:lang w:eastAsia="en-US"/>
        </w:rPr>
        <w:t xml:space="preserve">a </w:t>
      </w:r>
      <w:r w:rsidRPr="000B5D2B">
        <w:rPr>
          <w:rFonts w:ascii="Arial" w:hAnsi="Arial" w:cs="Arial"/>
          <w:lang w:eastAsia="en-US"/>
        </w:rPr>
        <w:t xml:space="preserve">B-double, </w:t>
      </w:r>
      <w:r w:rsidR="0056035A" w:rsidRPr="000B5D2B">
        <w:rPr>
          <w:rFonts w:ascii="Arial" w:hAnsi="Arial" w:cs="Arial"/>
          <w:lang w:eastAsia="en-US"/>
        </w:rPr>
        <w:t xml:space="preserve">or a </w:t>
      </w:r>
      <w:r w:rsidRPr="000B5D2B">
        <w:rPr>
          <w:rFonts w:ascii="Arial" w:hAnsi="Arial" w:cs="Arial"/>
          <w:lang w:eastAsia="en-US"/>
        </w:rPr>
        <w:t>B-triple, depending on the configuration.</w:t>
      </w:r>
      <w:r w:rsidR="0056035A" w:rsidRPr="000B5D2B">
        <w:rPr>
          <w:rFonts w:ascii="Arial" w:hAnsi="Arial" w:cs="Arial"/>
          <w:lang w:eastAsia="en-US"/>
        </w:rPr>
        <w:t xml:space="preserve"> </w:t>
      </w:r>
      <w:r w:rsidRPr="000B5D2B">
        <w:rPr>
          <w:rFonts w:ascii="Arial" w:hAnsi="Arial" w:cs="Arial"/>
          <w:lang w:eastAsia="en-US"/>
        </w:rPr>
        <w:t>Examples are shown below.</w:t>
      </w:r>
    </w:p>
    <w:p w:rsidR="00CF5A61" w:rsidRDefault="00CF5A61" w:rsidP="000B5D2B">
      <w:pPr>
        <w:spacing w:after="0" w:line="300" w:lineRule="atLeast"/>
        <w:jc w:val="both"/>
        <w:rPr>
          <w:rFonts w:ascii="Arial" w:hAnsi="Arial" w:cs="Arial"/>
          <w:sz w:val="20"/>
          <w:szCs w:val="20"/>
          <w:lang w:eastAsia="en-US"/>
        </w:rPr>
      </w:pPr>
    </w:p>
    <w:p w:rsidR="00DC6B58" w:rsidRPr="000B5D2B" w:rsidRDefault="00DC6B58" w:rsidP="00DC6B58">
      <w:pPr>
        <w:spacing w:after="0" w:line="280" w:lineRule="atLeast"/>
        <w:jc w:val="center"/>
        <w:rPr>
          <w:rFonts w:ascii="Arial" w:hAnsi="Arial" w:cs="Arial"/>
          <w:b/>
          <w:sz w:val="20"/>
          <w:szCs w:val="20"/>
          <w:lang w:eastAsia="en-US"/>
        </w:rPr>
      </w:pPr>
      <w:r w:rsidRPr="000B5D2B">
        <w:rPr>
          <w:rFonts w:ascii="Arial" w:hAnsi="Arial" w:cs="Arial"/>
          <w:b/>
          <w:sz w:val="20"/>
          <w:szCs w:val="20"/>
          <w:lang w:eastAsia="en-US"/>
        </w:rPr>
        <w:t>B-double</w:t>
      </w:r>
    </w:p>
    <w:p w:rsidR="00DC6B58" w:rsidRDefault="00DC6B58" w:rsidP="00DC6B58">
      <w:pPr>
        <w:spacing w:after="0" w:line="280" w:lineRule="atLeast"/>
        <w:jc w:val="center"/>
        <w:rPr>
          <w:rFonts w:ascii="Arial" w:hAnsi="Arial" w:cs="Arial"/>
          <w:sz w:val="20"/>
          <w:szCs w:val="20"/>
          <w:lang w:eastAsia="en-US"/>
        </w:rPr>
      </w:pPr>
    </w:p>
    <w:p w:rsidR="00666802" w:rsidRDefault="00435EF3" w:rsidP="00BA6391">
      <w:pPr>
        <w:spacing w:after="0" w:line="280" w:lineRule="atLeast"/>
        <w:jc w:val="center"/>
        <w:rPr>
          <w:rFonts w:ascii="Arial" w:hAnsi="Arial" w:cs="Arial"/>
          <w:sz w:val="20"/>
          <w:szCs w:val="20"/>
          <w:lang w:eastAsia="en-US"/>
        </w:rPr>
      </w:pPr>
      <w:r>
        <w:rPr>
          <w:rFonts w:ascii="Arial" w:hAnsi="Arial" w:cs="Arial"/>
          <w:noProof/>
          <w:sz w:val="20"/>
          <w:szCs w:val="20"/>
        </w:rPr>
        <w:pict>
          <v:shape id="_x0000_s1084" type="#_x0000_t32" style="position:absolute;left:0;text-align:left;margin-left:243.3pt;margin-top:26.75pt;width:15.65pt;height:44.3pt;flip:y;z-index:251679744" o:connectortype="straight" strokecolor="red">
            <v:stroke endarrow="block"/>
            <v:shadow type="perspective" color="#622423" opacity=".5" offset="1pt" offset2="-1pt"/>
          </v:shape>
        </w:pict>
      </w:r>
      <w:r w:rsidR="00485F73">
        <w:rPr>
          <w:rFonts w:ascii="Arial" w:hAnsi="Arial" w:cs="Arial"/>
          <w:noProof/>
          <w:sz w:val="20"/>
          <w:szCs w:val="20"/>
        </w:rPr>
        <w:drawing>
          <wp:inline distT="0" distB="0" distL="0" distR="0">
            <wp:extent cx="2776038" cy="540000"/>
            <wp:effectExtent l="19050" t="0" r="526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776038" cy="540000"/>
                    </a:xfrm>
                    <a:prstGeom prst="rect">
                      <a:avLst/>
                    </a:prstGeom>
                    <a:noFill/>
                    <a:ln w="9525">
                      <a:noFill/>
                      <a:miter lim="800000"/>
                      <a:headEnd/>
                      <a:tailEnd/>
                    </a:ln>
                  </pic:spPr>
                </pic:pic>
              </a:graphicData>
            </a:graphic>
          </wp:inline>
        </w:drawing>
      </w:r>
    </w:p>
    <w:p w:rsidR="00666802" w:rsidRDefault="00666802" w:rsidP="00BA6391">
      <w:pPr>
        <w:spacing w:after="0" w:line="280" w:lineRule="atLeast"/>
        <w:jc w:val="center"/>
        <w:rPr>
          <w:rFonts w:ascii="Arial" w:hAnsi="Arial" w:cs="Arial"/>
          <w:sz w:val="20"/>
          <w:szCs w:val="20"/>
          <w:lang w:eastAsia="en-US"/>
        </w:rPr>
      </w:pPr>
    </w:p>
    <w:p w:rsidR="000B5D2B" w:rsidRDefault="000B5D2B" w:rsidP="00BA6391">
      <w:pPr>
        <w:spacing w:after="0" w:line="280" w:lineRule="atLeast"/>
        <w:jc w:val="center"/>
        <w:rPr>
          <w:rFonts w:ascii="Arial" w:hAnsi="Arial" w:cs="Arial"/>
          <w:sz w:val="20"/>
          <w:szCs w:val="20"/>
          <w:lang w:eastAsia="en-US"/>
        </w:rPr>
      </w:pPr>
    </w:p>
    <w:p w:rsidR="00666802" w:rsidRDefault="00435EF3" w:rsidP="00BA6391">
      <w:pPr>
        <w:spacing w:after="0" w:line="280" w:lineRule="atLeast"/>
        <w:jc w:val="center"/>
        <w:rPr>
          <w:rFonts w:ascii="Arial" w:hAnsi="Arial" w:cs="Arial"/>
          <w:sz w:val="20"/>
          <w:szCs w:val="20"/>
          <w:lang w:eastAsia="en-US"/>
        </w:rPr>
      </w:pPr>
      <w:r>
        <w:rPr>
          <w:rFonts w:ascii="Arial" w:hAnsi="Arial" w:cs="Arial"/>
          <w:noProof/>
          <w:sz w:val="20"/>
          <w:szCs w:val="20"/>
        </w:rPr>
        <w:pict>
          <v:shape id="_x0000_s1083" type="#_x0000_t202" style="position:absolute;left:0;text-align:left;margin-left:167.8pt;margin-top:.55pt;width:152pt;height:20.5pt;z-index:251678720;mso-width-relative:margin;mso-height-relative:margin">
            <v:textbox>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“B” coupling connection point</w:t>
                  </w:r>
                </w:p>
              </w:txbxContent>
            </v:textbox>
          </v:shape>
        </w:pict>
      </w:r>
    </w:p>
    <w:p w:rsidR="000B5D2B" w:rsidRDefault="00435EF3" w:rsidP="00BA6391">
      <w:pPr>
        <w:spacing w:after="0" w:line="280" w:lineRule="atLeast"/>
        <w:jc w:val="center"/>
        <w:rPr>
          <w:rFonts w:ascii="Arial" w:hAnsi="Arial" w:cs="Arial"/>
          <w:sz w:val="20"/>
          <w:szCs w:val="20"/>
          <w:lang w:eastAsia="en-US"/>
        </w:rPr>
      </w:pPr>
      <w:r>
        <w:rPr>
          <w:rFonts w:ascii="Arial" w:hAnsi="Arial" w:cs="Arial"/>
          <w:noProof/>
          <w:sz w:val="20"/>
          <w:szCs w:val="20"/>
        </w:rPr>
        <w:pict>
          <v:shape id="_x0000_s1087" type="#_x0000_t32" style="position:absolute;left:0;text-align:left;margin-left:222.55pt;margin-top:7.05pt;width:20.75pt;height:57.45pt;flip:x;z-index:251682816" o:connectortype="straight" strokecolor="red">
            <v:stroke endarrow="block"/>
          </v:shape>
        </w:pict>
      </w:r>
      <w:r>
        <w:rPr>
          <w:rFonts w:ascii="Arial" w:hAnsi="Arial" w:cs="Arial"/>
          <w:noProof/>
          <w:sz w:val="20"/>
          <w:szCs w:val="20"/>
        </w:rPr>
        <w:pict>
          <v:shape id="_x0000_s1086" type="#_x0000_t32" style="position:absolute;left:0;text-align:left;margin-left:243.3pt;margin-top:7.05pt;width:43.1pt;height:57.45pt;z-index:251681792" o:connectortype="straight" strokecolor="red">
            <v:stroke endarrow="block"/>
          </v:shape>
        </w:pict>
      </w:r>
    </w:p>
    <w:p w:rsidR="00666802" w:rsidRDefault="00666802" w:rsidP="00BA6391">
      <w:pPr>
        <w:spacing w:after="0" w:line="280" w:lineRule="atLeast"/>
        <w:jc w:val="center"/>
        <w:rPr>
          <w:rFonts w:ascii="Arial" w:hAnsi="Arial" w:cs="Arial"/>
          <w:sz w:val="20"/>
          <w:szCs w:val="20"/>
          <w:lang w:eastAsia="en-US"/>
        </w:rPr>
      </w:pPr>
    </w:p>
    <w:p w:rsidR="00DC6B58" w:rsidRDefault="00DC6B58" w:rsidP="00BA6391">
      <w:pPr>
        <w:spacing w:after="0" w:line="280" w:lineRule="atLeast"/>
        <w:jc w:val="center"/>
        <w:rPr>
          <w:rFonts w:ascii="Arial" w:hAnsi="Arial" w:cs="Arial"/>
          <w:sz w:val="20"/>
          <w:szCs w:val="20"/>
          <w:lang w:eastAsia="en-US"/>
        </w:rPr>
      </w:pPr>
    </w:p>
    <w:p w:rsidR="00666802" w:rsidRDefault="00485F73" w:rsidP="00BA6391">
      <w:pPr>
        <w:spacing w:after="0" w:line="280" w:lineRule="atLeast"/>
        <w:jc w:val="center"/>
        <w:rPr>
          <w:rFonts w:ascii="Arial" w:hAnsi="Arial" w:cs="Arial"/>
          <w:noProof/>
          <w:sz w:val="20"/>
          <w:szCs w:val="20"/>
        </w:rPr>
      </w:pPr>
      <w:r>
        <w:rPr>
          <w:rFonts w:ascii="Arial" w:hAnsi="Arial" w:cs="Arial"/>
          <w:noProof/>
          <w:sz w:val="20"/>
          <w:szCs w:val="20"/>
        </w:rPr>
        <w:drawing>
          <wp:inline distT="0" distB="0" distL="0" distR="0">
            <wp:extent cx="3658059" cy="5400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658059" cy="540000"/>
                    </a:xfrm>
                    <a:prstGeom prst="rect">
                      <a:avLst/>
                    </a:prstGeom>
                    <a:noFill/>
                    <a:ln w="9525">
                      <a:noFill/>
                      <a:miter lim="800000"/>
                      <a:headEnd/>
                      <a:tailEnd/>
                    </a:ln>
                  </pic:spPr>
                </pic:pic>
              </a:graphicData>
            </a:graphic>
          </wp:inline>
        </w:drawing>
      </w:r>
    </w:p>
    <w:p w:rsidR="00DC6B58" w:rsidRDefault="00DC6B58" w:rsidP="00BA6391">
      <w:pPr>
        <w:spacing w:after="0" w:line="280" w:lineRule="atLeast"/>
        <w:jc w:val="center"/>
        <w:rPr>
          <w:rFonts w:ascii="Arial" w:hAnsi="Arial" w:cs="Arial"/>
          <w:sz w:val="20"/>
          <w:szCs w:val="20"/>
          <w:lang w:eastAsia="en-US"/>
        </w:rPr>
      </w:pPr>
    </w:p>
    <w:p w:rsidR="00666802" w:rsidRPr="000B5D2B" w:rsidRDefault="00666802" w:rsidP="00BA6391">
      <w:pPr>
        <w:spacing w:after="0" w:line="280" w:lineRule="atLeast"/>
        <w:jc w:val="center"/>
        <w:rPr>
          <w:rFonts w:ascii="Arial" w:hAnsi="Arial" w:cs="Arial"/>
          <w:b/>
          <w:sz w:val="20"/>
          <w:szCs w:val="20"/>
          <w:lang w:eastAsia="en-US"/>
        </w:rPr>
      </w:pPr>
      <w:r w:rsidRPr="000B5D2B">
        <w:rPr>
          <w:rFonts w:ascii="Arial" w:hAnsi="Arial" w:cs="Arial"/>
          <w:b/>
          <w:sz w:val="20"/>
          <w:szCs w:val="20"/>
          <w:lang w:eastAsia="en-US"/>
        </w:rPr>
        <w:t>B-triple</w:t>
      </w:r>
    </w:p>
    <w:p w:rsidR="0056035A" w:rsidRPr="000B5D2B" w:rsidRDefault="0056035A" w:rsidP="000B5D2B">
      <w:pPr>
        <w:spacing w:after="0" w:line="300" w:lineRule="atLeast"/>
        <w:rPr>
          <w:rFonts w:ascii="Arial" w:hAnsi="Arial" w:cs="Arial"/>
          <w:lang w:eastAsia="en-US"/>
        </w:rPr>
      </w:pPr>
    </w:p>
    <w:p w:rsidR="00666802" w:rsidRPr="000B5D2B" w:rsidRDefault="0056035A" w:rsidP="000B5D2B">
      <w:pPr>
        <w:spacing w:after="0" w:line="300" w:lineRule="atLeast"/>
        <w:rPr>
          <w:rFonts w:ascii="Arial" w:hAnsi="Arial" w:cs="Arial"/>
          <w:lang w:eastAsia="en-US"/>
        </w:rPr>
      </w:pPr>
      <w:r w:rsidRPr="000B5D2B">
        <w:rPr>
          <w:rFonts w:ascii="Arial" w:hAnsi="Arial" w:cs="Arial"/>
          <w:lang w:eastAsia="en-US"/>
        </w:rPr>
        <w:t>The standard sized semi-trailer is known in this instance as a B-trailer, and it can be disconnected from the A-trailer/s and connected to a prime mover in its own right to form a normal semi-trailer combination.</w:t>
      </w:r>
    </w:p>
    <w:p w:rsidR="00CF5A61" w:rsidRPr="000B5D2B" w:rsidRDefault="00CF5A61" w:rsidP="000B5D2B">
      <w:pPr>
        <w:spacing w:after="0" w:line="300" w:lineRule="atLeast"/>
        <w:jc w:val="both"/>
        <w:rPr>
          <w:rFonts w:ascii="Arial" w:hAnsi="Arial" w:cs="Arial"/>
          <w:lang w:eastAsia="en-US"/>
        </w:rPr>
      </w:pPr>
    </w:p>
    <w:p w:rsidR="00666802" w:rsidRPr="000B5D2B" w:rsidRDefault="00666802" w:rsidP="000B5D2B">
      <w:pPr>
        <w:spacing w:after="0" w:line="300" w:lineRule="atLeast"/>
        <w:jc w:val="both"/>
        <w:rPr>
          <w:rFonts w:ascii="Arial" w:hAnsi="Arial" w:cs="Arial"/>
          <w:lang w:eastAsia="en-US"/>
        </w:rPr>
      </w:pPr>
      <w:r w:rsidRPr="000B5D2B">
        <w:rPr>
          <w:rFonts w:ascii="Arial" w:hAnsi="Arial" w:cs="Arial"/>
          <w:lang w:eastAsia="en-US"/>
        </w:rPr>
        <w:t xml:space="preserve">Other examples use a combination of both the “A” coupling and “B” coupling, creating prescriptive modular combinations that are more productive again. An AB-triple combination is a semi-trailer attached by a converter dolly (the “A” coupling) to a B-double set of trailers (“B” coupling), giving the prime mover three trailers; hence the name AB-triple. </w:t>
      </w:r>
      <w:r w:rsidR="00A327EA" w:rsidRPr="000B5D2B">
        <w:rPr>
          <w:rFonts w:ascii="Arial" w:hAnsi="Arial" w:cs="Arial"/>
          <w:lang w:eastAsia="en-US"/>
        </w:rPr>
        <w:t>C</w:t>
      </w:r>
      <w:r w:rsidRPr="000B5D2B">
        <w:rPr>
          <w:rFonts w:ascii="Arial" w:hAnsi="Arial" w:cs="Arial"/>
          <w:lang w:eastAsia="en-US"/>
        </w:rPr>
        <w:t>ombination</w:t>
      </w:r>
      <w:r w:rsidR="00A327EA" w:rsidRPr="000B5D2B">
        <w:rPr>
          <w:rFonts w:ascii="Arial" w:hAnsi="Arial" w:cs="Arial"/>
          <w:lang w:eastAsia="en-US"/>
        </w:rPr>
        <w:t>s incorporating one or more “B” couplings with an “A” coupling</w:t>
      </w:r>
      <w:r w:rsidRPr="000B5D2B">
        <w:rPr>
          <w:rFonts w:ascii="Arial" w:hAnsi="Arial" w:cs="Arial"/>
          <w:lang w:eastAsia="en-US"/>
        </w:rPr>
        <w:t xml:space="preserve"> ha</w:t>
      </w:r>
      <w:r w:rsidR="00A327EA" w:rsidRPr="000B5D2B">
        <w:rPr>
          <w:rFonts w:ascii="Arial" w:hAnsi="Arial" w:cs="Arial"/>
          <w:lang w:eastAsia="en-US"/>
        </w:rPr>
        <w:t>ve</w:t>
      </w:r>
      <w:r w:rsidRPr="000B5D2B">
        <w:rPr>
          <w:rFonts w:ascii="Arial" w:hAnsi="Arial" w:cs="Arial"/>
          <w:lang w:eastAsia="en-US"/>
        </w:rPr>
        <w:t xml:space="preserve"> enhanced roll stability and reduced trailer swing because of the “B” coupling betwee</w:t>
      </w:r>
      <w:r w:rsidR="00A327EA" w:rsidRPr="000B5D2B">
        <w:rPr>
          <w:rFonts w:ascii="Arial" w:hAnsi="Arial" w:cs="Arial"/>
          <w:lang w:eastAsia="en-US"/>
        </w:rPr>
        <w:t>n the second and third trailers, or second, third and fourth trailers as can be seen below.</w:t>
      </w:r>
    </w:p>
    <w:p w:rsidR="00DC6B58" w:rsidRPr="000B5D2B" w:rsidRDefault="00DC6B58" w:rsidP="000B5D2B">
      <w:pPr>
        <w:spacing w:after="0" w:line="300" w:lineRule="atLeast"/>
        <w:jc w:val="both"/>
        <w:rPr>
          <w:rFonts w:ascii="Arial" w:hAnsi="Arial" w:cs="Arial"/>
          <w:lang w:eastAsia="en-US"/>
        </w:rPr>
      </w:pPr>
    </w:p>
    <w:p w:rsidR="00DC6B58" w:rsidRPr="000B5D2B" w:rsidRDefault="00DC6B58" w:rsidP="00DC6B58">
      <w:pPr>
        <w:spacing w:after="0" w:line="280" w:lineRule="atLeast"/>
        <w:jc w:val="center"/>
        <w:rPr>
          <w:rFonts w:ascii="Arial" w:hAnsi="Arial" w:cs="Arial"/>
          <w:b/>
          <w:sz w:val="20"/>
          <w:szCs w:val="20"/>
          <w:lang w:eastAsia="en-US"/>
        </w:rPr>
      </w:pPr>
      <w:r w:rsidRPr="000B5D2B">
        <w:rPr>
          <w:rFonts w:ascii="Arial" w:hAnsi="Arial" w:cs="Arial"/>
          <w:b/>
          <w:sz w:val="20"/>
          <w:szCs w:val="20"/>
          <w:lang w:eastAsia="en-US"/>
        </w:rPr>
        <w:t>AB-triple</w:t>
      </w:r>
    </w:p>
    <w:p w:rsidR="00DC6B58" w:rsidRDefault="00DC6B58" w:rsidP="00DC6B58">
      <w:pPr>
        <w:spacing w:after="0" w:line="280" w:lineRule="atLeast"/>
        <w:jc w:val="center"/>
        <w:rPr>
          <w:rFonts w:ascii="Arial" w:hAnsi="Arial" w:cs="Arial"/>
          <w:sz w:val="20"/>
          <w:szCs w:val="20"/>
          <w:lang w:eastAsia="en-US"/>
        </w:rPr>
      </w:pPr>
    </w:p>
    <w:p w:rsidR="00666802" w:rsidRDefault="00435EF3" w:rsidP="0088525A">
      <w:pPr>
        <w:spacing w:after="0" w:line="280" w:lineRule="atLeast"/>
        <w:jc w:val="center"/>
        <w:rPr>
          <w:rFonts w:ascii="Arial" w:hAnsi="Arial" w:cs="Arial"/>
          <w:sz w:val="20"/>
          <w:szCs w:val="20"/>
          <w:lang w:eastAsia="en-US"/>
        </w:rPr>
      </w:pPr>
      <w:r>
        <w:rPr>
          <w:rFonts w:ascii="Arial" w:hAnsi="Arial" w:cs="Arial"/>
          <w:noProof/>
          <w:sz w:val="20"/>
          <w:szCs w:val="20"/>
        </w:rPr>
        <w:pict>
          <v:shape id="_x0000_s1091" type="#_x0000_t32" style="position:absolute;left:0;text-align:left;margin-left:164.3pt;margin-top:32pt;width:50.1pt;height:32.25pt;flip:y;z-index:251686912" o:connectortype="straight" strokecolor="red">
            <v:stroke endarrow="block"/>
          </v:shape>
        </w:pict>
      </w:r>
      <w:r>
        <w:rPr>
          <w:rFonts w:ascii="Arial" w:hAnsi="Arial" w:cs="Arial"/>
          <w:noProof/>
          <w:sz w:val="20"/>
          <w:szCs w:val="20"/>
        </w:rPr>
        <w:pict>
          <v:shape id="_x0000_s1092" type="#_x0000_t32" style="position:absolute;left:0;text-align:left;margin-left:324.75pt;margin-top:27.15pt;width:0;height:37.1pt;flip:y;z-index:251687936" o:connectortype="straight" strokecolor="red">
            <v:stroke endarrow="block"/>
          </v:shape>
        </w:pict>
      </w:r>
      <w:r w:rsidR="00485F73">
        <w:rPr>
          <w:rFonts w:ascii="Arial" w:hAnsi="Arial" w:cs="Arial"/>
          <w:noProof/>
          <w:sz w:val="20"/>
          <w:szCs w:val="20"/>
        </w:rPr>
        <w:drawing>
          <wp:inline distT="0" distB="0" distL="0" distR="0">
            <wp:extent cx="4456037" cy="540000"/>
            <wp:effectExtent l="19050" t="0" r="166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456037" cy="540000"/>
                    </a:xfrm>
                    <a:prstGeom prst="rect">
                      <a:avLst/>
                    </a:prstGeom>
                    <a:noFill/>
                    <a:ln w="9525">
                      <a:noFill/>
                      <a:miter lim="800000"/>
                      <a:headEnd/>
                      <a:tailEnd/>
                    </a:ln>
                  </pic:spPr>
                </pic:pic>
              </a:graphicData>
            </a:graphic>
          </wp:inline>
        </w:drawing>
      </w:r>
    </w:p>
    <w:p w:rsidR="00666802" w:rsidRDefault="00666802" w:rsidP="0088525A">
      <w:pPr>
        <w:spacing w:after="0" w:line="280" w:lineRule="atLeast"/>
        <w:jc w:val="center"/>
        <w:rPr>
          <w:rFonts w:ascii="Arial" w:hAnsi="Arial" w:cs="Arial"/>
          <w:sz w:val="20"/>
          <w:szCs w:val="20"/>
          <w:lang w:eastAsia="en-US"/>
        </w:rPr>
      </w:pPr>
    </w:p>
    <w:p w:rsidR="00666802" w:rsidRDefault="00435EF3" w:rsidP="0088525A">
      <w:pPr>
        <w:spacing w:after="0" w:line="280" w:lineRule="atLeast"/>
        <w:jc w:val="center"/>
        <w:rPr>
          <w:rFonts w:ascii="Arial" w:hAnsi="Arial" w:cs="Arial"/>
          <w:sz w:val="20"/>
          <w:szCs w:val="20"/>
          <w:lang w:eastAsia="en-US"/>
        </w:rPr>
      </w:pPr>
      <w:r>
        <w:rPr>
          <w:rFonts w:ascii="Arial" w:hAnsi="Arial" w:cs="Arial"/>
          <w:noProof/>
          <w:sz w:val="20"/>
          <w:szCs w:val="20"/>
        </w:rPr>
        <w:pict>
          <v:shape id="_x0000_s1089" type="#_x0000_t202" style="position:absolute;left:0;text-align:left;margin-left:255.3pt;margin-top:7.75pt;width:146.5pt;height:20.5pt;z-index:251684864;mso-width-relative:margin;mso-height-relative:margin">
            <v:textbox>
              <w:txbxContent>
                <w:p w:rsidR="003E125B" w:rsidRPr="00D050E2" w:rsidRDefault="003E125B" w:rsidP="00D050E2">
                  <w:pPr>
                    <w:spacing w:after="0" w:line="240" w:lineRule="auto"/>
                    <w:jc w:val="center"/>
                    <w:rPr>
                      <w:rFonts w:ascii="Arial" w:hAnsi="Arial" w:cs="Arial"/>
                      <w:b/>
                      <w:sz w:val="18"/>
                      <w:szCs w:val="18"/>
                    </w:rPr>
                  </w:pPr>
                  <w:r>
                    <w:rPr>
                      <w:rFonts w:ascii="Arial" w:hAnsi="Arial" w:cs="Arial"/>
                      <w:b/>
                      <w:sz w:val="18"/>
                      <w:szCs w:val="18"/>
                    </w:rPr>
                    <w:t>“B” coupling connection point</w:t>
                  </w:r>
                </w:p>
              </w:txbxContent>
            </v:textbox>
          </v:shape>
        </w:pict>
      </w:r>
      <w:r>
        <w:rPr>
          <w:rFonts w:ascii="Arial" w:hAnsi="Arial" w:cs="Arial"/>
          <w:noProof/>
          <w:sz w:val="20"/>
          <w:szCs w:val="20"/>
        </w:rPr>
        <w:pict>
          <v:shape id="_x0000_s1090" type="#_x0000_t202" style="position:absolute;left:0;text-align:left;margin-left:87.8pt;margin-top:7.75pt;width:146pt;height:20.5pt;z-index:251685888;mso-width-relative:margin;mso-height-relative:margin">
            <v:textbox>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“A” coupling connection point</w:t>
                  </w:r>
                </w:p>
              </w:txbxContent>
            </v:textbox>
          </v:shape>
        </w:pict>
      </w:r>
    </w:p>
    <w:p w:rsidR="00DC6B58" w:rsidRDefault="00DC6B58" w:rsidP="0088525A">
      <w:pPr>
        <w:spacing w:after="0" w:line="280" w:lineRule="atLeast"/>
        <w:jc w:val="center"/>
        <w:rPr>
          <w:rFonts w:ascii="Arial" w:hAnsi="Arial" w:cs="Arial"/>
          <w:sz w:val="20"/>
          <w:szCs w:val="20"/>
          <w:lang w:eastAsia="en-US"/>
        </w:rPr>
      </w:pPr>
    </w:p>
    <w:p w:rsidR="00DC6B58" w:rsidRDefault="00DC6B58" w:rsidP="0088525A">
      <w:pPr>
        <w:spacing w:after="0" w:line="280" w:lineRule="atLeast"/>
        <w:jc w:val="center"/>
        <w:rPr>
          <w:rFonts w:ascii="Arial" w:hAnsi="Arial" w:cs="Arial"/>
          <w:sz w:val="20"/>
          <w:szCs w:val="20"/>
          <w:lang w:eastAsia="en-US"/>
        </w:rPr>
      </w:pPr>
    </w:p>
    <w:p w:rsidR="000B5D2B" w:rsidRDefault="000B5D2B">
      <w:pPr>
        <w:spacing w:after="0" w:line="240" w:lineRule="auto"/>
        <w:rPr>
          <w:rFonts w:ascii="Arial" w:hAnsi="Arial" w:cs="Arial"/>
          <w:sz w:val="20"/>
          <w:szCs w:val="20"/>
          <w:lang w:eastAsia="en-US"/>
        </w:rPr>
      </w:pPr>
      <w:r>
        <w:rPr>
          <w:rFonts w:ascii="Arial" w:hAnsi="Arial" w:cs="Arial"/>
          <w:sz w:val="20"/>
          <w:szCs w:val="20"/>
          <w:lang w:eastAsia="en-US"/>
        </w:rPr>
        <w:br w:type="page"/>
      </w: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lastRenderedPageBreak/>
        <w:t>A BAB-quad combination is a B-double combination (“B” coupling) attached by a converter dolly (“A” coupling) to another B-double (“B” coupling) set of trailers, giving the prime mover four trailers; hence the name BAB-quad.</w:t>
      </w:r>
    </w:p>
    <w:p w:rsidR="00D812E2" w:rsidRPr="00D812E2" w:rsidRDefault="00D812E2" w:rsidP="00D812E2">
      <w:pPr>
        <w:spacing w:after="0" w:line="300" w:lineRule="atLeast"/>
        <w:jc w:val="both"/>
        <w:rPr>
          <w:rFonts w:ascii="Arial" w:hAnsi="Arial" w:cs="Arial"/>
          <w:lang w:eastAsia="en-US"/>
        </w:rPr>
      </w:pPr>
    </w:p>
    <w:p w:rsidR="00DC6B58" w:rsidRPr="00D812E2" w:rsidRDefault="00DC6B58" w:rsidP="00DC6B58">
      <w:pPr>
        <w:spacing w:after="0" w:line="280" w:lineRule="atLeast"/>
        <w:jc w:val="center"/>
        <w:rPr>
          <w:rFonts w:ascii="Arial" w:hAnsi="Arial" w:cs="Arial"/>
          <w:b/>
          <w:sz w:val="20"/>
          <w:szCs w:val="20"/>
          <w:lang w:eastAsia="en-US"/>
        </w:rPr>
      </w:pPr>
      <w:r w:rsidRPr="00D812E2">
        <w:rPr>
          <w:rFonts w:ascii="Arial" w:hAnsi="Arial" w:cs="Arial"/>
          <w:b/>
          <w:sz w:val="20"/>
          <w:szCs w:val="20"/>
          <w:lang w:eastAsia="en-US"/>
        </w:rPr>
        <w:t>BAB-quad</w:t>
      </w:r>
    </w:p>
    <w:p w:rsidR="00DC6B58" w:rsidRDefault="00DC6B58" w:rsidP="00DC6B58">
      <w:pPr>
        <w:spacing w:after="0" w:line="280" w:lineRule="atLeast"/>
        <w:jc w:val="center"/>
        <w:rPr>
          <w:rFonts w:ascii="Arial" w:hAnsi="Arial" w:cs="Arial"/>
          <w:sz w:val="20"/>
          <w:szCs w:val="20"/>
          <w:lang w:eastAsia="en-US"/>
        </w:rPr>
      </w:pPr>
    </w:p>
    <w:p w:rsidR="00DC6B58" w:rsidRDefault="00435EF3" w:rsidP="00DC6B58">
      <w:pPr>
        <w:spacing w:after="0" w:line="280" w:lineRule="atLeast"/>
        <w:jc w:val="center"/>
        <w:rPr>
          <w:rFonts w:ascii="Arial" w:hAnsi="Arial" w:cs="Arial"/>
          <w:sz w:val="20"/>
          <w:szCs w:val="20"/>
          <w:lang w:eastAsia="en-US"/>
        </w:rPr>
      </w:pPr>
      <w:r>
        <w:rPr>
          <w:rFonts w:ascii="Arial" w:hAnsi="Arial" w:cs="Arial"/>
          <w:noProof/>
          <w:sz w:val="20"/>
          <w:szCs w:val="20"/>
        </w:rPr>
        <w:pict>
          <v:shape id="_x0000_s1094" type="#_x0000_t202" style="position:absolute;left:0;text-align:left;margin-left:166.3pt;margin-top:4.25pt;width:153.5pt;height:20.5pt;z-index:251689984;mso-width-relative:margin;mso-height-relative:margin">
            <v:textbox style="mso-next-textbox:#_x0000_s1094">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 xml:space="preserve">“A” coupling connection point </w:t>
                  </w:r>
                </w:p>
              </w:txbxContent>
            </v:textbox>
          </v:shape>
        </w:pict>
      </w:r>
    </w:p>
    <w:p w:rsidR="00DC6B58" w:rsidRDefault="00435EF3" w:rsidP="00DC6B58">
      <w:pPr>
        <w:spacing w:after="0" w:line="280" w:lineRule="atLeast"/>
        <w:jc w:val="center"/>
        <w:rPr>
          <w:rFonts w:ascii="Arial" w:hAnsi="Arial" w:cs="Arial"/>
          <w:sz w:val="20"/>
          <w:szCs w:val="20"/>
          <w:lang w:eastAsia="en-US"/>
        </w:rPr>
      </w:pPr>
      <w:r>
        <w:rPr>
          <w:rFonts w:ascii="Arial" w:hAnsi="Arial" w:cs="Arial"/>
          <w:noProof/>
          <w:sz w:val="20"/>
          <w:szCs w:val="20"/>
        </w:rPr>
        <w:pict>
          <v:shape id="_x0000_s1095" type="#_x0000_t32" style="position:absolute;left:0;text-align:left;margin-left:243.3pt;margin-top:10.25pt;width:0;height:54pt;z-index:251691008" o:connectortype="straight" strokecolor="red">
            <v:stroke endarrow="block"/>
          </v:shape>
        </w:pict>
      </w:r>
    </w:p>
    <w:p w:rsidR="00DC6B58" w:rsidRDefault="00DC6B58" w:rsidP="00DC6B58">
      <w:pPr>
        <w:spacing w:after="0" w:line="280" w:lineRule="atLeast"/>
        <w:jc w:val="center"/>
        <w:rPr>
          <w:rFonts w:ascii="Arial" w:hAnsi="Arial" w:cs="Arial"/>
          <w:sz w:val="20"/>
          <w:szCs w:val="20"/>
          <w:lang w:eastAsia="en-US"/>
        </w:rPr>
      </w:pPr>
    </w:p>
    <w:p w:rsidR="00D812E2" w:rsidRDefault="00D812E2" w:rsidP="00DC6B58">
      <w:pPr>
        <w:spacing w:after="0" w:line="280" w:lineRule="atLeast"/>
        <w:jc w:val="center"/>
        <w:rPr>
          <w:rFonts w:ascii="Arial" w:hAnsi="Arial" w:cs="Arial"/>
          <w:sz w:val="20"/>
          <w:szCs w:val="20"/>
          <w:lang w:eastAsia="en-US"/>
        </w:rPr>
      </w:pPr>
    </w:p>
    <w:p w:rsidR="00666802" w:rsidRDefault="00435EF3" w:rsidP="0088525A">
      <w:pPr>
        <w:spacing w:after="0" w:line="280" w:lineRule="atLeast"/>
        <w:jc w:val="center"/>
        <w:rPr>
          <w:rFonts w:ascii="Arial" w:hAnsi="Arial" w:cs="Arial"/>
          <w:sz w:val="20"/>
          <w:szCs w:val="20"/>
          <w:lang w:eastAsia="en-US"/>
        </w:rPr>
      </w:pPr>
      <w:r>
        <w:rPr>
          <w:rFonts w:ascii="Arial" w:hAnsi="Arial" w:cs="Arial"/>
          <w:noProof/>
          <w:sz w:val="20"/>
          <w:szCs w:val="20"/>
        </w:rPr>
        <w:pict>
          <v:shape id="_x0000_s1096" type="#_x0000_t32" style="position:absolute;left:0;text-align:left;margin-left:243.3pt;margin-top:22.25pt;width:91pt;height:41.6pt;flip:y;z-index:251692032" o:connectortype="straight" strokecolor="red">
            <v:stroke endarrow="block"/>
          </v:shape>
        </w:pict>
      </w:r>
      <w:r>
        <w:rPr>
          <w:rFonts w:ascii="Arial" w:hAnsi="Arial" w:cs="Arial"/>
          <w:noProof/>
          <w:sz w:val="20"/>
          <w:szCs w:val="20"/>
        </w:rPr>
        <w:pict>
          <v:shape id="_x0000_s1097" type="#_x0000_t32" style="position:absolute;left:0;text-align:left;margin-left:178.8pt;margin-top:22.25pt;width:64.5pt;height:41.6pt;flip:x y;z-index:251693056" o:connectortype="straight" strokecolor="red">
            <v:stroke endarrow="block"/>
          </v:shape>
        </w:pict>
      </w:r>
      <w:r w:rsidR="00485F73">
        <w:rPr>
          <w:rFonts w:ascii="Arial" w:hAnsi="Arial" w:cs="Arial"/>
          <w:noProof/>
          <w:sz w:val="20"/>
          <w:szCs w:val="20"/>
        </w:rPr>
        <w:drawing>
          <wp:inline distT="0" distB="0" distL="0" distR="0">
            <wp:extent cx="4229100" cy="431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229100" cy="431800"/>
                    </a:xfrm>
                    <a:prstGeom prst="rect">
                      <a:avLst/>
                    </a:prstGeom>
                    <a:noFill/>
                    <a:ln w="9525">
                      <a:noFill/>
                      <a:miter lim="800000"/>
                      <a:headEnd/>
                      <a:tailEnd/>
                    </a:ln>
                  </pic:spPr>
                </pic:pic>
              </a:graphicData>
            </a:graphic>
          </wp:inline>
        </w:drawing>
      </w:r>
    </w:p>
    <w:p w:rsidR="00666802" w:rsidRDefault="00666802" w:rsidP="0088525A">
      <w:pPr>
        <w:spacing w:after="0" w:line="280" w:lineRule="atLeast"/>
        <w:jc w:val="center"/>
        <w:rPr>
          <w:rFonts w:ascii="Arial" w:hAnsi="Arial" w:cs="Arial"/>
          <w:sz w:val="20"/>
          <w:szCs w:val="20"/>
          <w:lang w:eastAsia="en-US"/>
        </w:rPr>
      </w:pPr>
    </w:p>
    <w:p w:rsidR="00D812E2" w:rsidRDefault="00D812E2" w:rsidP="0088525A">
      <w:pPr>
        <w:spacing w:after="0" w:line="280" w:lineRule="atLeast"/>
        <w:jc w:val="center"/>
        <w:rPr>
          <w:rFonts w:ascii="Arial" w:hAnsi="Arial" w:cs="Arial"/>
          <w:sz w:val="20"/>
          <w:szCs w:val="20"/>
          <w:lang w:eastAsia="en-US"/>
        </w:rPr>
      </w:pPr>
    </w:p>
    <w:p w:rsidR="00666802" w:rsidRDefault="00435EF3" w:rsidP="00DC6B58">
      <w:pPr>
        <w:spacing w:after="0" w:line="280" w:lineRule="atLeast"/>
        <w:jc w:val="center"/>
        <w:rPr>
          <w:rFonts w:ascii="Arial" w:hAnsi="Arial" w:cs="Arial"/>
          <w:sz w:val="20"/>
          <w:szCs w:val="20"/>
          <w:lang w:eastAsia="en-US"/>
        </w:rPr>
      </w:pPr>
      <w:r>
        <w:rPr>
          <w:rFonts w:ascii="Arial" w:hAnsi="Arial" w:cs="Arial"/>
          <w:noProof/>
          <w:sz w:val="20"/>
          <w:szCs w:val="20"/>
        </w:rPr>
        <w:pict>
          <v:shape id="_x0000_s1093" type="#_x0000_t202" style="position:absolute;left:0;text-align:left;margin-left:167.8pt;margin-top:1.85pt;width:153.5pt;height:20.5pt;z-index:251688960;mso-width-relative:margin;mso-height-relative:margin">
            <v:textbox style="mso-next-textbox:#_x0000_s1093">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 xml:space="preserve">“B” coupling connection point </w:t>
                  </w:r>
                </w:p>
              </w:txbxContent>
            </v:textbox>
          </v:shape>
        </w:pict>
      </w:r>
    </w:p>
    <w:p w:rsidR="00DC6B58" w:rsidRDefault="00DC6B58" w:rsidP="00DC6B58">
      <w:pPr>
        <w:spacing w:after="0" w:line="280" w:lineRule="atLeast"/>
        <w:jc w:val="center"/>
        <w:rPr>
          <w:rFonts w:ascii="Arial" w:hAnsi="Arial" w:cs="Arial"/>
          <w:sz w:val="20"/>
          <w:szCs w:val="20"/>
          <w:lang w:eastAsia="en-US"/>
        </w:rPr>
      </w:pPr>
    </w:p>
    <w:p w:rsidR="00DC6B58" w:rsidRDefault="00DC6B58" w:rsidP="00DC6B58">
      <w:pPr>
        <w:spacing w:after="0" w:line="280" w:lineRule="atLeast"/>
        <w:jc w:val="center"/>
        <w:rPr>
          <w:rFonts w:ascii="Arial" w:hAnsi="Arial" w:cs="Arial"/>
          <w:sz w:val="20"/>
          <w:szCs w:val="20"/>
          <w:lang w:eastAsia="en-US"/>
        </w:rPr>
      </w:pPr>
    </w:p>
    <w:p w:rsidR="00666802" w:rsidRPr="00D812E2" w:rsidRDefault="00666802" w:rsidP="00D812E2">
      <w:pPr>
        <w:spacing w:after="0" w:line="300" w:lineRule="atLeast"/>
        <w:rPr>
          <w:rFonts w:ascii="Arial" w:hAnsi="Arial" w:cs="Arial"/>
          <w:lang w:eastAsia="en-US"/>
        </w:rPr>
      </w:pPr>
      <w:r w:rsidRPr="00D812E2">
        <w:rPr>
          <w:rFonts w:ascii="Arial" w:hAnsi="Arial" w:cs="Arial"/>
          <w:lang w:eastAsia="en-US"/>
        </w:rPr>
        <w:t>Another combination that utilises both “A” and “B” couplings and provides high productivity gains is the ABB-quad. An ABB-quad combination is a semi-trailer attached by a converter dolly (“A” coupling) to a B-triple (using two “B” coupling points), giving the prime mover four trailers; hence the name ABB-quad.</w:t>
      </w:r>
    </w:p>
    <w:p w:rsidR="00DC6B58" w:rsidRDefault="00DC6B58" w:rsidP="000E7675">
      <w:pPr>
        <w:spacing w:after="0" w:line="280" w:lineRule="atLeast"/>
        <w:rPr>
          <w:rFonts w:ascii="Arial" w:hAnsi="Arial" w:cs="Arial"/>
          <w:sz w:val="20"/>
          <w:szCs w:val="20"/>
          <w:lang w:eastAsia="en-US"/>
        </w:rPr>
      </w:pPr>
    </w:p>
    <w:p w:rsidR="00DC6B58" w:rsidRPr="00D812E2" w:rsidRDefault="00DC6B58" w:rsidP="00DC6B58">
      <w:pPr>
        <w:spacing w:after="0" w:line="280" w:lineRule="atLeast"/>
        <w:jc w:val="center"/>
        <w:rPr>
          <w:rFonts w:ascii="Arial" w:hAnsi="Arial" w:cs="Arial"/>
          <w:b/>
          <w:sz w:val="20"/>
          <w:szCs w:val="20"/>
          <w:lang w:eastAsia="en-US"/>
        </w:rPr>
      </w:pPr>
      <w:r w:rsidRPr="00D812E2">
        <w:rPr>
          <w:rFonts w:ascii="Arial" w:hAnsi="Arial" w:cs="Arial"/>
          <w:b/>
          <w:sz w:val="20"/>
          <w:szCs w:val="20"/>
          <w:lang w:eastAsia="en-US"/>
        </w:rPr>
        <w:t>ABB-quad</w:t>
      </w:r>
    </w:p>
    <w:p w:rsidR="00666802" w:rsidRDefault="00666802" w:rsidP="00DE66EB">
      <w:pPr>
        <w:spacing w:after="0" w:line="280" w:lineRule="atLeast"/>
        <w:jc w:val="center"/>
        <w:rPr>
          <w:rFonts w:ascii="Arial" w:hAnsi="Arial" w:cs="Arial"/>
          <w:sz w:val="20"/>
          <w:szCs w:val="20"/>
          <w:lang w:eastAsia="en-US"/>
        </w:rPr>
      </w:pPr>
    </w:p>
    <w:p w:rsidR="00DC6B58" w:rsidRDefault="00435EF3" w:rsidP="00DE66EB">
      <w:pPr>
        <w:spacing w:after="0" w:line="280" w:lineRule="atLeast"/>
        <w:jc w:val="center"/>
        <w:rPr>
          <w:rFonts w:ascii="Arial" w:hAnsi="Arial" w:cs="Arial"/>
          <w:sz w:val="20"/>
          <w:szCs w:val="20"/>
          <w:lang w:eastAsia="en-US"/>
        </w:rPr>
      </w:pPr>
      <w:r>
        <w:rPr>
          <w:rFonts w:ascii="Arial" w:hAnsi="Arial" w:cs="Arial"/>
          <w:noProof/>
          <w:sz w:val="20"/>
          <w:szCs w:val="20"/>
        </w:rPr>
        <w:pict>
          <v:shape id="_x0000_s1099" type="#_x0000_t202" style="position:absolute;left:0;text-align:left;margin-left:166.3pt;margin-top:3.45pt;width:153.5pt;height:20.5pt;z-index:251695104;mso-width-relative:margin;mso-height-relative:margin">
            <v:textbox style="mso-next-textbox:#_x0000_s1099">
              <w:txbxContent>
                <w:p w:rsidR="003E125B" w:rsidRPr="00D050E2" w:rsidRDefault="003E125B" w:rsidP="00D050E2">
                  <w:pPr>
                    <w:spacing w:after="0" w:line="240" w:lineRule="auto"/>
                    <w:jc w:val="center"/>
                    <w:rPr>
                      <w:rFonts w:ascii="Arial" w:hAnsi="Arial" w:cs="Arial"/>
                      <w:b/>
                      <w:sz w:val="18"/>
                      <w:szCs w:val="18"/>
                    </w:rPr>
                  </w:pPr>
                  <w:r w:rsidRPr="00D050E2">
                    <w:rPr>
                      <w:rFonts w:ascii="Arial" w:hAnsi="Arial" w:cs="Arial"/>
                      <w:b/>
                      <w:sz w:val="18"/>
                      <w:szCs w:val="18"/>
                    </w:rPr>
                    <w:t>“A” coupling connection point</w:t>
                  </w:r>
                </w:p>
              </w:txbxContent>
            </v:textbox>
          </v:shape>
        </w:pict>
      </w:r>
    </w:p>
    <w:p w:rsidR="00DC6B58" w:rsidRDefault="00435EF3" w:rsidP="00DE66EB">
      <w:pPr>
        <w:spacing w:after="0" w:line="280" w:lineRule="atLeast"/>
        <w:jc w:val="center"/>
        <w:rPr>
          <w:rFonts w:ascii="Arial" w:hAnsi="Arial" w:cs="Arial"/>
          <w:sz w:val="20"/>
          <w:szCs w:val="20"/>
          <w:lang w:eastAsia="en-US"/>
        </w:rPr>
      </w:pPr>
      <w:r>
        <w:rPr>
          <w:rFonts w:ascii="Arial" w:hAnsi="Arial" w:cs="Arial"/>
          <w:noProof/>
          <w:sz w:val="20"/>
          <w:szCs w:val="20"/>
        </w:rPr>
        <w:pict>
          <v:shape id="_x0000_s1100" type="#_x0000_t32" style="position:absolute;left:0;text-align:left;margin-left:197.8pt;margin-top:9.95pt;width:47pt;height:54pt;flip:x;z-index:251696128" o:connectortype="straight" strokecolor="red">
            <v:stroke endarrow="block"/>
          </v:shape>
        </w:pict>
      </w:r>
    </w:p>
    <w:p w:rsidR="00DC6B58" w:rsidRDefault="00DC6B58" w:rsidP="00DE66EB">
      <w:pPr>
        <w:spacing w:after="0" w:line="280" w:lineRule="atLeast"/>
        <w:jc w:val="center"/>
        <w:rPr>
          <w:rFonts w:ascii="Arial" w:hAnsi="Arial" w:cs="Arial"/>
          <w:sz w:val="20"/>
          <w:szCs w:val="20"/>
          <w:lang w:eastAsia="en-US"/>
        </w:rPr>
      </w:pPr>
    </w:p>
    <w:p w:rsidR="00D812E2" w:rsidRDefault="00D812E2" w:rsidP="00DE66EB">
      <w:pPr>
        <w:spacing w:after="0" w:line="280" w:lineRule="atLeast"/>
        <w:jc w:val="center"/>
        <w:rPr>
          <w:rFonts w:ascii="Arial" w:hAnsi="Arial" w:cs="Arial"/>
          <w:sz w:val="20"/>
          <w:szCs w:val="20"/>
          <w:lang w:eastAsia="en-US"/>
        </w:rPr>
      </w:pPr>
    </w:p>
    <w:p w:rsidR="00666802" w:rsidRDefault="00435EF3" w:rsidP="000E7675">
      <w:pPr>
        <w:spacing w:after="0" w:line="280" w:lineRule="atLeast"/>
        <w:jc w:val="center"/>
        <w:rPr>
          <w:rFonts w:ascii="Arial" w:hAnsi="Arial" w:cs="Arial"/>
          <w:sz w:val="20"/>
          <w:szCs w:val="20"/>
          <w:lang w:eastAsia="en-US"/>
        </w:rPr>
      </w:pPr>
      <w:r>
        <w:rPr>
          <w:rFonts w:ascii="Arial" w:hAnsi="Arial" w:cs="Arial"/>
          <w:noProof/>
          <w:sz w:val="20"/>
          <w:szCs w:val="20"/>
        </w:rPr>
        <w:pict>
          <v:shape id="_x0000_s1101" type="#_x0000_t32" style="position:absolute;left:0;text-align:left;margin-left:244.8pt;margin-top:21.95pt;width:35.5pt;height:40.65pt;flip:y;z-index:251697152" o:connectortype="straight" strokecolor="red">
            <v:stroke endarrow="block"/>
          </v:shape>
        </w:pict>
      </w:r>
      <w:r>
        <w:rPr>
          <w:rFonts w:ascii="Arial" w:hAnsi="Arial" w:cs="Arial"/>
          <w:noProof/>
          <w:sz w:val="20"/>
          <w:szCs w:val="20"/>
        </w:rPr>
        <w:pict>
          <v:shape id="_x0000_s1102" type="#_x0000_t32" style="position:absolute;left:0;text-align:left;margin-left:244.8pt;margin-top:21.95pt;width:88.5pt;height:40.65pt;flip:y;z-index:251698176" o:connectortype="straight" strokecolor="red">
            <v:stroke endarrow="block"/>
          </v:shape>
        </w:pict>
      </w:r>
      <w:r w:rsidR="00485F73">
        <w:rPr>
          <w:rFonts w:ascii="Arial" w:hAnsi="Arial" w:cs="Arial"/>
          <w:noProof/>
          <w:sz w:val="20"/>
          <w:szCs w:val="20"/>
        </w:rPr>
        <w:drawing>
          <wp:inline distT="0" distB="0" distL="0" distR="0">
            <wp:extent cx="4197350" cy="431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197350" cy="431800"/>
                    </a:xfrm>
                    <a:prstGeom prst="rect">
                      <a:avLst/>
                    </a:prstGeom>
                    <a:noFill/>
                    <a:ln w="9525">
                      <a:noFill/>
                      <a:miter lim="800000"/>
                      <a:headEnd/>
                      <a:tailEnd/>
                    </a:ln>
                  </pic:spPr>
                </pic:pic>
              </a:graphicData>
            </a:graphic>
          </wp:inline>
        </w:drawing>
      </w:r>
    </w:p>
    <w:p w:rsidR="00666802" w:rsidRDefault="00666802" w:rsidP="000E7675">
      <w:pPr>
        <w:spacing w:after="0" w:line="280" w:lineRule="atLeast"/>
        <w:jc w:val="center"/>
        <w:rPr>
          <w:rFonts w:ascii="Arial" w:hAnsi="Arial" w:cs="Arial"/>
          <w:sz w:val="20"/>
          <w:szCs w:val="20"/>
          <w:lang w:eastAsia="en-US"/>
        </w:rPr>
      </w:pPr>
    </w:p>
    <w:p w:rsidR="00D812E2" w:rsidRDefault="00D812E2" w:rsidP="000E7675">
      <w:pPr>
        <w:spacing w:after="0" w:line="280" w:lineRule="atLeast"/>
        <w:jc w:val="center"/>
        <w:rPr>
          <w:rFonts w:ascii="Arial" w:hAnsi="Arial" w:cs="Arial"/>
          <w:sz w:val="20"/>
          <w:szCs w:val="20"/>
          <w:lang w:eastAsia="en-US"/>
        </w:rPr>
      </w:pPr>
    </w:p>
    <w:p w:rsidR="00D050E2" w:rsidRDefault="00435EF3" w:rsidP="000E7675">
      <w:pPr>
        <w:spacing w:after="0" w:line="280" w:lineRule="atLeast"/>
        <w:jc w:val="center"/>
        <w:rPr>
          <w:rFonts w:ascii="Arial" w:hAnsi="Arial" w:cs="Arial"/>
          <w:sz w:val="20"/>
          <w:szCs w:val="20"/>
          <w:lang w:eastAsia="en-US"/>
        </w:rPr>
      </w:pPr>
      <w:r>
        <w:rPr>
          <w:rFonts w:ascii="Arial" w:hAnsi="Arial" w:cs="Arial"/>
          <w:noProof/>
          <w:sz w:val="20"/>
          <w:szCs w:val="20"/>
        </w:rPr>
        <w:pict>
          <v:shape id="_x0000_s1098" type="#_x0000_t202" style="position:absolute;left:0;text-align:left;margin-left:166.3pt;margin-top:.6pt;width:153.5pt;height:20.5pt;z-index:251694080;mso-width-relative:margin;mso-height-relative:margin">
            <v:textbox style="mso-next-textbox:#_x0000_s1098">
              <w:txbxContent>
                <w:p w:rsidR="003E125B" w:rsidRPr="00D050E2" w:rsidRDefault="003E125B" w:rsidP="00D050E2">
                  <w:pPr>
                    <w:spacing w:after="0" w:line="240" w:lineRule="auto"/>
                    <w:jc w:val="center"/>
                    <w:rPr>
                      <w:rFonts w:ascii="Arial" w:hAnsi="Arial" w:cs="Arial"/>
                      <w:b/>
                      <w:sz w:val="18"/>
                      <w:szCs w:val="18"/>
                    </w:rPr>
                  </w:pPr>
                  <w:r>
                    <w:rPr>
                      <w:rFonts w:ascii="Arial" w:hAnsi="Arial" w:cs="Arial"/>
                      <w:b/>
                      <w:sz w:val="18"/>
                      <w:szCs w:val="18"/>
                    </w:rPr>
                    <w:t>“B” coupling connection point</w:t>
                  </w:r>
                </w:p>
              </w:txbxContent>
            </v:textbox>
          </v:shape>
        </w:pict>
      </w:r>
    </w:p>
    <w:p w:rsidR="00D050E2" w:rsidRDefault="00D050E2" w:rsidP="000E7675">
      <w:pPr>
        <w:spacing w:after="0" w:line="280" w:lineRule="atLeast"/>
        <w:jc w:val="center"/>
        <w:rPr>
          <w:rFonts w:ascii="Arial" w:hAnsi="Arial" w:cs="Arial"/>
          <w:sz w:val="20"/>
          <w:szCs w:val="20"/>
          <w:lang w:eastAsia="en-US"/>
        </w:rPr>
      </w:pPr>
    </w:p>
    <w:p w:rsidR="00D050E2" w:rsidRDefault="00D050E2" w:rsidP="000E7675">
      <w:pPr>
        <w:spacing w:after="0" w:line="280" w:lineRule="atLeast"/>
        <w:jc w:val="center"/>
        <w:rPr>
          <w:rFonts w:ascii="Arial" w:hAnsi="Arial" w:cs="Arial"/>
          <w:sz w:val="20"/>
          <w:szCs w:val="20"/>
          <w:lang w:eastAsia="en-US"/>
        </w:rPr>
      </w:pPr>
    </w:p>
    <w:p w:rsidR="00D050E2" w:rsidRDefault="00D050E2" w:rsidP="000E7675">
      <w:pPr>
        <w:spacing w:after="0" w:line="280" w:lineRule="atLeast"/>
        <w:jc w:val="center"/>
        <w:rPr>
          <w:rFonts w:ascii="Arial" w:hAnsi="Arial" w:cs="Arial"/>
          <w:sz w:val="20"/>
          <w:szCs w:val="20"/>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Prescriptive modular combinations use standard units at standard group loads and meet the bridge formula used by jurisdictions. Vehicles using the “B” coupling connection in their vehicle configurations are inherently safer than those using only “A” couplings.</w:t>
      </w:r>
    </w:p>
    <w:p w:rsidR="005A5B63" w:rsidRPr="00D812E2" w:rsidRDefault="005A5B63" w:rsidP="00D812E2">
      <w:pPr>
        <w:spacing w:after="0" w:line="300" w:lineRule="atLeast"/>
        <w:jc w:val="both"/>
        <w:rPr>
          <w:rFonts w:ascii="Arial" w:hAnsi="Arial" w:cs="Arial"/>
          <w:lang w:eastAsia="en-US"/>
        </w:rPr>
      </w:pPr>
    </w:p>
    <w:p w:rsidR="00D812E2" w:rsidRDefault="00D812E2">
      <w:pPr>
        <w:spacing w:after="0" w:line="240" w:lineRule="auto"/>
        <w:rPr>
          <w:rFonts w:ascii="Arial" w:hAnsi="Arial" w:cs="Arial"/>
          <w:lang w:eastAsia="en-US"/>
        </w:rPr>
      </w:pPr>
      <w:r>
        <w:rPr>
          <w:rFonts w:ascii="Arial" w:hAnsi="Arial" w:cs="Arial"/>
          <w:lang w:eastAsia="en-US"/>
        </w:rPr>
        <w:br w:type="page"/>
      </w:r>
    </w:p>
    <w:p w:rsidR="00D812E2" w:rsidRPr="00E761DA" w:rsidRDefault="00D812E2" w:rsidP="00D812E2">
      <w:pPr>
        <w:pStyle w:val="Heading1"/>
        <w:rPr>
          <w:sz w:val="24"/>
          <w:szCs w:val="24"/>
        </w:rPr>
      </w:pPr>
      <w:bookmarkStart w:id="10" w:name="_Toc301346296"/>
      <w:bookmarkStart w:id="11" w:name="_Toc301363570"/>
      <w:r>
        <w:rPr>
          <w:sz w:val="24"/>
          <w:szCs w:val="24"/>
        </w:rPr>
        <w:lastRenderedPageBreak/>
        <w:t>Mass limits and road impact of prescriptive modular combinations</w:t>
      </w:r>
      <w:bookmarkEnd w:id="10"/>
      <w:bookmarkEnd w:id="11"/>
    </w:p>
    <w:p w:rsidR="00666802" w:rsidRPr="00D812E2" w:rsidRDefault="00666802"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There are three relevant levels of mass limit available to prescriptive modular combinations in Australia:</w:t>
      </w:r>
    </w:p>
    <w:p w:rsidR="00666802" w:rsidRPr="00D812E2" w:rsidRDefault="00666802" w:rsidP="00D812E2">
      <w:pPr>
        <w:spacing w:after="0" w:line="300" w:lineRule="atLeast"/>
        <w:jc w:val="both"/>
        <w:rPr>
          <w:rFonts w:ascii="Arial" w:hAnsi="Arial" w:cs="Arial"/>
          <w:lang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701"/>
        <w:gridCol w:w="4569"/>
      </w:tblGrid>
      <w:tr w:rsidR="00666802" w:rsidRPr="00D812E2" w:rsidTr="00D812E2">
        <w:trPr>
          <w:trHeight w:val="509"/>
          <w:jc w:val="center"/>
        </w:trPr>
        <w:tc>
          <w:tcPr>
            <w:tcW w:w="3369" w:type="dxa"/>
            <w:vAlign w:val="center"/>
          </w:tcPr>
          <w:p w:rsidR="00666802" w:rsidRPr="00D812E2" w:rsidRDefault="00666802" w:rsidP="00B50150">
            <w:pPr>
              <w:spacing w:after="0" w:line="240" w:lineRule="auto"/>
              <w:rPr>
                <w:rFonts w:ascii="Arial" w:hAnsi="Arial" w:cs="Arial"/>
                <w:b/>
                <w:sz w:val="20"/>
                <w:szCs w:val="20"/>
                <w:lang w:eastAsia="en-US"/>
              </w:rPr>
            </w:pPr>
            <w:r w:rsidRPr="00D812E2">
              <w:rPr>
                <w:rFonts w:ascii="Arial" w:hAnsi="Arial" w:cs="Arial"/>
                <w:b/>
                <w:sz w:val="20"/>
                <w:szCs w:val="20"/>
                <w:lang w:eastAsia="en-US"/>
              </w:rPr>
              <w:t>Name</w:t>
            </w:r>
          </w:p>
        </w:tc>
        <w:tc>
          <w:tcPr>
            <w:tcW w:w="1701" w:type="dxa"/>
            <w:vAlign w:val="center"/>
          </w:tcPr>
          <w:p w:rsidR="00666802" w:rsidRPr="00D812E2" w:rsidRDefault="00666802" w:rsidP="00B50150">
            <w:pPr>
              <w:spacing w:after="0" w:line="240" w:lineRule="auto"/>
              <w:jc w:val="center"/>
              <w:rPr>
                <w:rFonts w:ascii="Arial" w:hAnsi="Arial" w:cs="Arial"/>
                <w:b/>
                <w:sz w:val="20"/>
                <w:szCs w:val="20"/>
                <w:lang w:eastAsia="en-US"/>
              </w:rPr>
            </w:pPr>
            <w:r w:rsidRPr="00D812E2">
              <w:rPr>
                <w:rFonts w:ascii="Arial" w:hAnsi="Arial" w:cs="Arial"/>
                <w:b/>
                <w:sz w:val="20"/>
                <w:szCs w:val="20"/>
                <w:lang w:eastAsia="en-US"/>
              </w:rPr>
              <w:t>Abbreviation</w:t>
            </w:r>
          </w:p>
        </w:tc>
        <w:tc>
          <w:tcPr>
            <w:tcW w:w="4569" w:type="dxa"/>
            <w:vAlign w:val="center"/>
          </w:tcPr>
          <w:p w:rsidR="00666802" w:rsidRPr="00D812E2" w:rsidRDefault="00666802" w:rsidP="00B50150">
            <w:pPr>
              <w:spacing w:after="0" w:line="240" w:lineRule="auto"/>
              <w:rPr>
                <w:rFonts w:ascii="Arial" w:hAnsi="Arial" w:cs="Arial"/>
                <w:b/>
                <w:sz w:val="20"/>
                <w:szCs w:val="20"/>
                <w:lang w:eastAsia="en-US"/>
              </w:rPr>
            </w:pPr>
            <w:r w:rsidRPr="00D812E2">
              <w:rPr>
                <w:rFonts w:ascii="Arial" w:hAnsi="Arial" w:cs="Arial"/>
                <w:b/>
                <w:sz w:val="20"/>
                <w:szCs w:val="20"/>
                <w:lang w:eastAsia="en-US"/>
              </w:rPr>
              <w:t>Relevant suspension</w:t>
            </w:r>
          </w:p>
        </w:tc>
      </w:tr>
      <w:tr w:rsidR="00666802" w:rsidRPr="00D812E2" w:rsidTr="00D812E2">
        <w:trPr>
          <w:trHeight w:val="509"/>
          <w:jc w:val="center"/>
        </w:trPr>
        <w:tc>
          <w:tcPr>
            <w:tcW w:w="3369" w:type="dxa"/>
            <w:shd w:val="clear" w:color="auto" w:fill="C6D9F2"/>
            <w:vAlign w:val="center"/>
          </w:tcPr>
          <w:p w:rsidR="00666802" w:rsidRPr="00D812E2" w:rsidRDefault="00666802" w:rsidP="00B50150">
            <w:pPr>
              <w:spacing w:after="0" w:line="240" w:lineRule="auto"/>
              <w:rPr>
                <w:rFonts w:ascii="Arial" w:hAnsi="Arial" w:cs="Arial"/>
                <w:sz w:val="20"/>
                <w:szCs w:val="20"/>
                <w:lang w:eastAsia="en-US"/>
              </w:rPr>
            </w:pPr>
            <w:r w:rsidRPr="00D812E2">
              <w:rPr>
                <w:rFonts w:ascii="Arial" w:hAnsi="Arial" w:cs="Arial"/>
                <w:sz w:val="20"/>
                <w:szCs w:val="20"/>
                <w:lang w:eastAsia="en-US"/>
              </w:rPr>
              <w:t>General Mass Limit</w:t>
            </w:r>
          </w:p>
        </w:tc>
        <w:tc>
          <w:tcPr>
            <w:tcW w:w="1701" w:type="dxa"/>
            <w:shd w:val="clear" w:color="auto" w:fill="C6D9F2"/>
            <w:vAlign w:val="center"/>
          </w:tcPr>
          <w:p w:rsidR="00666802" w:rsidRPr="00D812E2" w:rsidRDefault="00666802" w:rsidP="00B50150">
            <w:pPr>
              <w:spacing w:after="0" w:line="240" w:lineRule="auto"/>
              <w:jc w:val="center"/>
              <w:rPr>
                <w:rFonts w:ascii="Arial" w:hAnsi="Arial" w:cs="Arial"/>
                <w:sz w:val="20"/>
                <w:szCs w:val="20"/>
                <w:lang w:eastAsia="en-US"/>
              </w:rPr>
            </w:pPr>
            <w:r w:rsidRPr="00D812E2">
              <w:rPr>
                <w:rFonts w:ascii="Arial" w:hAnsi="Arial" w:cs="Arial"/>
                <w:sz w:val="20"/>
                <w:szCs w:val="20"/>
                <w:lang w:eastAsia="en-US"/>
              </w:rPr>
              <w:t>GML</w:t>
            </w:r>
          </w:p>
        </w:tc>
        <w:tc>
          <w:tcPr>
            <w:tcW w:w="4569" w:type="dxa"/>
            <w:shd w:val="clear" w:color="auto" w:fill="C6D9F2"/>
            <w:vAlign w:val="center"/>
          </w:tcPr>
          <w:p w:rsidR="00666802" w:rsidRPr="00D812E2" w:rsidRDefault="00666802" w:rsidP="00CE694F">
            <w:pPr>
              <w:spacing w:after="0" w:line="240" w:lineRule="auto"/>
              <w:rPr>
                <w:rFonts w:ascii="Arial" w:hAnsi="Arial" w:cs="Arial"/>
                <w:sz w:val="20"/>
                <w:szCs w:val="20"/>
                <w:lang w:eastAsia="en-US"/>
              </w:rPr>
            </w:pPr>
            <w:r w:rsidRPr="00D812E2">
              <w:rPr>
                <w:rFonts w:ascii="Arial" w:hAnsi="Arial" w:cs="Arial"/>
                <w:sz w:val="20"/>
                <w:szCs w:val="20"/>
                <w:lang w:eastAsia="en-US"/>
              </w:rPr>
              <w:t xml:space="preserve">Steel springs </w:t>
            </w:r>
            <w:r w:rsidR="0056035A" w:rsidRPr="00D812E2">
              <w:rPr>
                <w:rFonts w:ascii="Arial" w:hAnsi="Arial" w:cs="Arial"/>
                <w:sz w:val="20"/>
                <w:szCs w:val="20"/>
                <w:lang w:eastAsia="en-US"/>
              </w:rPr>
              <w:t>or</w:t>
            </w:r>
            <w:r w:rsidRPr="00D812E2">
              <w:rPr>
                <w:rFonts w:ascii="Arial" w:hAnsi="Arial" w:cs="Arial"/>
                <w:sz w:val="20"/>
                <w:szCs w:val="20"/>
                <w:lang w:eastAsia="en-US"/>
              </w:rPr>
              <w:t xml:space="preserve"> </w:t>
            </w:r>
            <w:r w:rsidR="00CE694F" w:rsidRPr="00D812E2">
              <w:rPr>
                <w:rFonts w:ascii="Arial" w:hAnsi="Arial" w:cs="Arial"/>
                <w:sz w:val="20"/>
                <w:szCs w:val="20"/>
                <w:lang w:eastAsia="en-US"/>
              </w:rPr>
              <w:t>road friendly</w:t>
            </w:r>
            <w:r w:rsidRPr="00D812E2">
              <w:rPr>
                <w:rFonts w:ascii="Arial" w:hAnsi="Arial" w:cs="Arial"/>
                <w:sz w:val="20"/>
                <w:szCs w:val="20"/>
                <w:lang w:eastAsia="en-US"/>
              </w:rPr>
              <w:t xml:space="preserve"> suspensions</w:t>
            </w:r>
          </w:p>
        </w:tc>
      </w:tr>
      <w:tr w:rsidR="00666802" w:rsidRPr="00D812E2" w:rsidTr="00D812E2">
        <w:trPr>
          <w:trHeight w:val="509"/>
          <w:jc w:val="center"/>
        </w:trPr>
        <w:tc>
          <w:tcPr>
            <w:tcW w:w="3369" w:type="dxa"/>
            <w:vAlign w:val="center"/>
          </w:tcPr>
          <w:p w:rsidR="00666802" w:rsidRPr="00D812E2" w:rsidRDefault="00666802" w:rsidP="00B50150">
            <w:pPr>
              <w:spacing w:after="0" w:line="240" w:lineRule="auto"/>
              <w:rPr>
                <w:rFonts w:ascii="Arial" w:hAnsi="Arial" w:cs="Arial"/>
                <w:sz w:val="20"/>
                <w:szCs w:val="20"/>
                <w:lang w:eastAsia="en-US"/>
              </w:rPr>
            </w:pPr>
            <w:r w:rsidRPr="00D812E2">
              <w:rPr>
                <w:rFonts w:ascii="Arial" w:hAnsi="Arial" w:cs="Arial"/>
                <w:sz w:val="20"/>
                <w:szCs w:val="20"/>
                <w:lang w:eastAsia="en-US"/>
              </w:rPr>
              <w:t>Concessional Mass Limit</w:t>
            </w:r>
          </w:p>
        </w:tc>
        <w:tc>
          <w:tcPr>
            <w:tcW w:w="1701" w:type="dxa"/>
            <w:vAlign w:val="center"/>
          </w:tcPr>
          <w:p w:rsidR="00666802" w:rsidRPr="00D812E2" w:rsidRDefault="00666802" w:rsidP="00B50150">
            <w:pPr>
              <w:spacing w:after="0" w:line="240" w:lineRule="auto"/>
              <w:jc w:val="center"/>
              <w:rPr>
                <w:rFonts w:ascii="Arial" w:hAnsi="Arial" w:cs="Arial"/>
                <w:sz w:val="20"/>
                <w:szCs w:val="20"/>
                <w:lang w:eastAsia="en-US"/>
              </w:rPr>
            </w:pPr>
            <w:r w:rsidRPr="00D812E2">
              <w:rPr>
                <w:rFonts w:ascii="Arial" w:hAnsi="Arial" w:cs="Arial"/>
                <w:sz w:val="20"/>
                <w:szCs w:val="20"/>
                <w:lang w:eastAsia="en-US"/>
              </w:rPr>
              <w:t>CML</w:t>
            </w:r>
          </w:p>
        </w:tc>
        <w:tc>
          <w:tcPr>
            <w:tcW w:w="4569" w:type="dxa"/>
            <w:vAlign w:val="center"/>
          </w:tcPr>
          <w:p w:rsidR="00666802" w:rsidRPr="00D812E2" w:rsidRDefault="00666802" w:rsidP="00CE694F">
            <w:pPr>
              <w:spacing w:after="0" w:line="240" w:lineRule="auto"/>
              <w:rPr>
                <w:rFonts w:ascii="Arial" w:hAnsi="Arial" w:cs="Arial"/>
                <w:sz w:val="20"/>
                <w:szCs w:val="20"/>
                <w:lang w:eastAsia="en-US"/>
              </w:rPr>
            </w:pPr>
            <w:r w:rsidRPr="00D812E2">
              <w:rPr>
                <w:rFonts w:ascii="Arial" w:hAnsi="Arial" w:cs="Arial"/>
                <w:sz w:val="20"/>
                <w:szCs w:val="20"/>
                <w:lang w:eastAsia="en-US"/>
              </w:rPr>
              <w:t xml:space="preserve">Steel springs </w:t>
            </w:r>
            <w:r w:rsidR="0056035A" w:rsidRPr="00D812E2">
              <w:rPr>
                <w:rFonts w:ascii="Arial" w:hAnsi="Arial" w:cs="Arial"/>
                <w:sz w:val="20"/>
                <w:szCs w:val="20"/>
                <w:lang w:eastAsia="en-US"/>
              </w:rPr>
              <w:t>or</w:t>
            </w:r>
            <w:r w:rsidRPr="00D812E2">
              <w:rPr>
                <w:rFonts w:ascii="Arial" w:hAnsi="Arial" w:cs="Arial"/>
                <w:sz w:val="20"/>
                <w:szCs w:val="20"/>
                <w:lang w:eastAsia="en-US"/>
              </w:rPr>
              <w:t xml:space="preserve"> </w:t>
            </w:r>
            <w:r w:rsidR="00CE694F" w:rsidRPr="00D812E2">
              <w:rPr>
                <w:rFonts w:ascii="Arial" w:hAnsi="Arial" w:cs="Arial"/>
                <w:sz w:val="20"/>
                <w:szCs w:val="20"/>
                <w:lang w:eastAsia="en-US"/>
              </w:rPr>
              <w:t xml:space="preserve">road friendly </w:t>
            </w:r>
            <w:r w:rsidRPr="00D812E2">
              <w:rPr>
                <w:rFonts w:ascii="Arial" w:hAnsi="Arial" w:cs="Arial"/>
                <w:sz w:val="20"/>
                <w:szCs w:val="20"/>
                <w:lang w:eastAsia="en-US"/>
              </w:rPr>
              <w:t>suspension</w:t>
            </w:r>
          </w:p>
        </w:tc>
      </w:tr>
      <w:tr w:rsidR="00666802" w:rsidRPr="00D812E2" w:rsidTr="00D812E2">
        <w:trPr>
          <w:trHeight w:val="509"/>
          <w:jc w:val="center"/>
        </w:trPr>
        <w:tc>
          <w:tcPr>
            <w:tcW w:w="3369" w:type="dxa"/>
            <w:shd w:val="clear" w:color="auto" w:fill="C6D9F2"/>
            <w:vAlign w:val="center"/>
          </w:tcPr>
          <w:p w:rsidR="00666802" w:rsidRPr="00D812E2" w:rsidRDefault="00666802" w:rsidP="00B50150">
            <w:pPr>
              <w:spacing w:after="0" w:line="240" w:lineRule="auto"/>
              <w:rPr>
                <w:rFonts w:ascii="Arial" w:hAnsi="Arial" w:cs="Arial"/>
                <w:sz w:val="20"/>
                <w:szCs w:val="20"/>
                <w:lang w:eastAsia="en-US"/>
              </w:rPr>
            </w:pPr>
            <w:r w:rsidRPr="00D812E2">
              <w:rPr>
                <w:rFonts w:ascii="Arial" w:hAnsi="Arial" w:cs="Arial"/>
                <w:sz w:val="20"/>
                <w:szCs w:val="20"/>
                <w:lang w:eastAsia="en-US"/>
              </w:rPr>
              <w:t>Higher Mass Limits</w:t>
            </w:r>
          </w:p>
        </w:tc>
        <w:tc>
          <w:tcPr>
            <w:tcW w:w="1701" w:type="dxa"/>
            <w:shd w:val="clear" w:color="auto" w:fill="C6D9F2"/>
            <w:vAlign w:val="center"/>
          </w:tcPr>
          <w:p w:rsidR="00666802" w:rsidRPr="00D812E2" w:rsidRDefault="00666802" w:rsidP="00B50150">
            <w:pPr>
              <w:spacing w:after="0" w:line="240" w:lineRule="auto"/>
              <w:jc w:val="center"/>
              <w:rPr>
                <w:rFonts w:ascii="Arial" w:hAnsi="Arial" w:cs="Arial"/>
                <w:sz w:val="20"/>
                <w:szCs w:val="20"/>
                <w:lang w:eastAsia="en-US"/>
              </w:rPr>
            </w:pPr>
            <w:r w:rsidRPr="00D812E2">
              <w:rPr>
                <w:rFonts w:ascii="Arial" w:hAnsi="Arial" w:cs="Arial"/>
                <w:sz w:val="20"/>
                <w:szCs w:val="20"/>
                <w:lang w:eastAsia="en-US"/>
              </w:rPr>
              <w:t>HML</w:t>
            </w:r>
          </w:p>
        </w:tc>
        <w:tc>
          <w:tcPr>
            <w:tcW w:w="4569" w:type="dxa"/>
            <w:shd w:val="clear" w:color="auto" w:fill="C6D9F2"/>
            <w:vAlign w:val="center"/>
          </w:tcPr>
          <w:p w:rsidR="00666802" w:rsidRPr="00D812E2" w:rsidRDefault="00CE694F" w:rsidP="00B50150">
            <w:pPr>
              <w:spacing w:after="0" w:line="240" w:lineRule="auto"/>
              <w:rPr>
                <w:rFonts w:ascii="Arial" w:hAnsi="Arial" w:cs="Arial"/>
                <w:sz w:val="20"/>
                <w:szCs w:val="20"/>
                <w:lang w:eastAsia="en-US"/>
              </w:rPr>
            </w:pPr>
            <w:r w:rsidRPr="00D812E2">
              <w:rPr>
                <w:rFonts w:ascii="Arial" w:hAnsi="Arial" w:cs="Arial"/>
                <w:sz w:val="20"/>
                <w:szCs w:val="20"/>
                <w:lang w:eastAsia="en-US"/>
              </w:rPr>
              <w:t xml:space="preserve">Road friendly </w:t>
            </w:r>
            <w:r w:rsidR="00666802" w:rsidRPr="00D812E2">
              <w:rPr>
                <w:rFonts w:ascii="Arial" w:hAnsi="Arial" w:cs="Arial"/>
                <w:sz w:val="20"/>
                <w:szCs w:val="20"/>
                <w:lang w:eastAsia="en-US"/>
              </w:rPr>
              <w:t>suspension</w:t>
            </w:r>
          </w:p>
        </w:tc>
      </w:tr>
    </w:tbl>
    <w:p w:rsidR="00666802" w:rsidRPr="00D812E2" w:rsidRDefault="00666802"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 xml:space="preserve">To </w:t>
      </w:r>
      <w:r w:rsidR="001241CF" w:rsidRPr="00D812E2">
        <w:rPr>
          <w:rFonts w:ascii="Arial" w:hAnsi="Arial" w:cs="Arial"/>
          <w:lang w:eastAsia="en-US"/>
        </w:rPr>
        <w:t>en</w:t>
      </w:r>
      <w:r w:rsidRPr="00D812E2">
        <w:rPr>
          <w:rFonts w:ascii="Arial" w:hAnsi="Arial" w:cs="Arial"/>
          <w:lang w:eastAsia="en-US"/>
        </w:rPr>
        <w:t xml:space="preserve">able access </w:t>
      </w:r>
      <w:r w:rsidR="0056035A" w:rsidRPr="00D812E2">
        <w:rPr>
          <w:rFonts w:ascii="Arial" w:hAnsi="Arial" w:cs="Arial"/>
          <w:lang w:eastAsia="en-US"/>
        </w:rPr>
        <w:t xml:space="preserve">to </w:t>
      </w:r>
      <w:r w:rsidRPr="00D812E2">
        <w:rPr>
          <w:rFonts w:ascii="Arial" w:hAnsi="Arial" w:cs="Arial"/>
          <w:lang w:eastAsia="en-US"/>
        </w:rPr>
        <w:t xml:space="preserve">HML, vehicles must have </w:t>
      </w:r>
      <w:r w:rsidR="00CE694F" w:rsidRPr="00D812E2">
        <w:rPr>
          <w:rFonts w:ascii="Arial" w:hAnsi="Arial" w:cs="Arial"/>
          <w:lang w:eastAsia="en-US"/>
        </w:rPr>
        <w:t>road friendly</w:t>
      </w:r>
      <w:r w:rsidRPr="00D812E2">
        <w:rPr>
          <w:rFonts w:ascii="Arial" w:hAnsi="Arial" w:cs="Arial"/>
          <w:lang w:eastAsia="en-US"/>
        </w:rPr>
        <w:t xml:space="preserve"> suspension </w:t>
      </w:r>
      <w:r w:rsidR="00CE694F" w:rsidRPr="00D812E2">
        <w:rPr>
          <w:rFonts w:ascii="Arial" w:hAnsi="Arial" w:cs="Arial"/>
          <w:lang w:eastAsia="en-US"/>
        </w:rPr>
        <w:t xml:space="preserve">(RFS) </w:t>
      </w:r>
      <w:r w:rsidRPr="00D812E2">
        <w:rPr>
          <w:rFonts w:ascii="Arial" w:hAnsi="Arial" w:cs="Arial"/>
          <w:lang w:eastAsia="en-US"/>
        </w:rPr>
        <w:t xml:space="preserve">and must be accredited to the National Heavy Vehicle Accreditation Scheme (NHVAS), which is a set of standards an operator is required to comply with. Vehicles with </w:t>
      </w:r>
      <w:r w:rsidR="00CE694F" w:rsidRPr="00D812E2">
        <w:rPr>
          <w:rFonts w:ascii="Arial" w:hAnsi="Arial" w:cs="Arial"/>
          <w:lang w:eastAsia="en-US"/>
        </w:rPr>
        <w:t>RFS</w:t>
      </w:r>
      <w:r w:rsidRPr="00D812E2">
        <w:rPr>
          <w:rFonts w:ascii="Arial" w:hAnsi="Arial" w:cs="Arial"/>
          <w:lang w:eastAsia="en-US"/>
        </w:rPr>
        <w:t xml:space="preserve"> can automatically access </w:t>
      </w:r>
      <w:proofErr w:type="gramStart"/>
      <w:r w:rsidRPr="00D812E2">
        <w:rPr>
          <w:rFonts w:ascii="Arial" w:hAnsi="Arial" w:cs="Arial"/>
          <w:lang w:eastAsia="en-US"/>
        </w:rPr>
        <w:t>CML,</w:t>
      </w:r>
      <w:proofErr w:type="gramEnd"/>
      <w:r w:rsidRPr="00D812E2">
        <w:rPr>
          <w:rFonts w:ascii="Arial" w:hAnsi="Arial" w:cs="Arial"/>
          <w:lang w:eastAsia="en-US"/>
        </w:rPr>
        <w:t xml:space="preserve"> however vehicles with steel sprung suspension must be accredited to the NHVAS to access CML. No accreditation is required for vehicles to access GML.</w:t>
      </w:r>
    </w:p>
    <w:p w:rsidR="00CF5A61" w:rsidRPr="00D812E2" w:rsidRDefault="00CF5A61" w:rsidP="00D812E2">
      <w:pPr>
        <w:spacing w:after="0" w:line="300" w:lineRule="atLeast"/>
        <w:jc w:val="both"/>
        <w:rPr>
          <w:rFonts w:ascii="Arial" w:hAnsi="Arial" w:cs="Arial"/>
          <w:lang w:eastAsia="en-US"/>
        </w:rPr>
      </w:pPr>
    </w:p>
    <w:p w:rsidR="00666802" w:rsidRPr="00D812E2" w:rsidRDefault="00CE694F" w:rsidP="00D812E2">
      <w:pPr>
        <w:spacing w:after="0" w:line="300" w:lineRule="atLeast"/>
        <w:jc w:val="both"/>
        <w:rPr>
          <w:rFonts w:ascii="Arial" w:hAnsi="Arial" w:cs="Arial"/>
          <w:lang w:eastAsia="en-US"/>
        </w:rPr>
      </w:pPr>
      <w:r w:rsidRPr="00D812E2">
        <w:rPr>
          <w:rFonts w:ascii="Arial" w:hAnsi="Arial" w:cs="Arial"/>
          <w:lang w:eastAsia="en-US"/>
        </w:rPr>
        <w:t>RFS</w:t>
      </w:r>
      <w:r w:rsidR="00666802" w:rsidRPr="00D812E2">
        <w:rPr>
          <w:rFonts w:ascii="Arial" w:hAnsi="Arial" w:cs="Arial"/>
          <w:lang w:eastAsia="en-US"/>
        </w:rPr>
        <w:t xml:space="preserve"> is a newer technology than steel sprung suspension, </w:t>
      </w:r>
      <w:r w:rsidRPr="00D812E2">
        <w:rPr>
          <w:rFonts w:ascii="Arial" w:hAnsi="Arial" w:cs="Arial"/>
          <w:lang w:eastAsia="en-US"/>
        </w:rPr>
        <w:t xml:space="preserve">and </w:t>
      </w:r>
      <w:r w:rsidR="00AB78B1" w:rsidRPr="00D812E2">
        <w:rPr>
          <w:rFonts w:ascii="Arial" w:hAnsi="Arial" w:cs="Arial"/>
          <w:lang w:eastAsia="en-US"/>
        </w:rPr>
        <w:t>is</w:t>
      </w:r>
      <w:r w:rsidRPr="00D812E2">
        <w:rPr>
          <w:rFonts w:ascii="Arial" w:hAnsi="Arial" w:cs="Arial"/>
          <w:lang w:eastAsia="en-US"/>
        </w:rPr>
        <w:t xml:space="preserve"> most commonly an air bag suspension system. W</w:t>
      </w:r>
      <w:r w:rsidR="00666802" w:rsidRPr="00D812E2">
        <w:rPr>
          <w:rFonts w:ascii="Arial" w:hAnsi="Arial" w:cs="Arial"/>
          <w:lang w:eastAsia="en-US"/>
        </w:rPr>
        <w:t>hen fitted to a vehicle’s axle groups</w:t>
      </w:r>
      <w:r w:rsidR="00AB78B1" w:rsidRPr="00D812E2">
        <w:rPr>
          <w:rFonts w:ascii="Arial" w:hAnsi="Arial" w:cs="Arial"/>
          <w:lang w:eastAsia="en-US"/>
        </w:rPr>
        <w:t>,</w:t>
      </w:r>
      <w:r w:rsidR="00666802" w:rsidRPr="00D812E2">
        <w:rPr>
          <w:rFonts w:ascii="Arial" w:hAnsi="Arial" w:cs="Arial"/>
          <w:lang w:eastAsia="en-US"/>
        </w:rPr>
        <w:t xml:space="preserve"> </w:t>
      </w:r>
      <w:r w:rsidRPr="00D812E2">
        <w:rPr>
          <w:rFonts w:ascii="Arial" w:hAnsi="Arial" w:cs="Arial"/>
          <w:lang w:eastAsia="en-US"/>
        </w:rPr>
        <w:t>RFS</w:t>
      </w:r>
      <w:r w:rsidR="00666802" w:rsidRPr="00D812E2">
        <w:rPr>
          <w:rFonts w:ascii="Arial" w:hAnsi="Arial" w:cs="Arial"/>
          <w:lang w:eastAsia="en-US"/>
        </w:rPr>
        <w:t xml:space="preserve"> provides less impact to roads than axle groups fitted with steel sprung suspension. Consequently, vehicles fitted with RFS are eligible to access higher mass limits, whereas vehicles fitted with steel sprung suspension are not. </w:t>
      </w:r>
    </w:p>
    <w:p w:rsidR="00666802" w:rsidRPr="00D812E2" w:rsidRDefault="00666802"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 xml:space="preserve">In the table </w:t>
      </w:r>
      <w:r w:rsidR="00DE66EB" w:rsidRPr="00D812E2">
        <w:rPr>
          <w:rFonts w:ascii="Arial" w:hAnsi="Arial" w:cs="Arial"/>
          <w:lang w:eastAsia="en-US"/>
        </w:rPr>
        <w:t>following</w:t>
      </w:r>
      <w:r w:rsidRPr="00D812E2">
        <w:rPr>
          <w:rFonts w:ascii="Arial" w:hAnsi="Arial" w:cs="Arial"/>
          <w:lang w:eastAsia="en-US"/>
        </w:rPr>
        <w:t>, you can see that vehicles are identified as GML or HML. The two smaller rigid trucks have been provided as an example</w:t>
      </w:r>
      <w:r w:rsidR="001241CF" w:rsidRPr="00D812E2">
        <w:rPr>
          <w:rFonts w:ascii="Arial" w:hAnsi="Arial" w:cs="Arial"/>
          <w:lang w:eastAsia="en-US"/>
        </w:rPr>
        <w:t xml:space="preserve"> and operate at GML</w:t>
      </w:r>
      <w:r w:rsidRPr="00D812E2">
        <w:rPr>
          <w:rFonts w:ascii="Arial" w:hAnsi="Arial" w:cs="Arial"/>
          <w:lang w:eastAsia="en-US"/>
        </w:rPr>
        <w:t xml:space="preserve">. Referring to the ESA column, you will notice that where a combination has a GML and an HML (RFS) reference, the ESA is the same. This is because the table assumes the combinations operating at GML have steel suspension. In fact, if the combinations operating at GML had </w:t>
      </w:r>
      <w:r w:rsidR="00CE694F" w:rsidRPr="00D812E2">
        <w:rPr>
          <w:rFonts w:ascii="Arial" w:hAnsi="Arial" w:cs="Arial"/>
          <w:lang w:eastAsia="en-US"/>
        </w:rPr>
        <w:t>RFS</w:t>
      </w:r>
      <w:r w:rsidRPr="00D812E2">
        <w:rPr>
          <w:rFonts w:ascii="Arial" w:hAnsi="Arial" w:cs="Arial"/>
          <w:lang w:eastAsia="en-US"/>
        </w:rPr>
        <w:t>, the impact would be less.</w:t>
      </w:r>
    </w:p>
    <w:p w:rsidR="00AB78B1" w:rsidRPr="00D812E2" w:rsidRDefault="00AB78B1" w:rsidP="00D812E2">
      <w:pPr>
        <w:spacing w:after="0" w:line="300" w:lineRule="atLeast"/>
        <w:jc w:val="both"/>
        <w:rPr>
          <w:rFonts w:ascii="Arial" w:hAnsi="Arial" w:cs="Arial"/>
          <w:lang w:eastAsia="en-US"/>
        </w:rPr>
      </w:pPr>
    </w:p>
    <w:p w:rsidR="00D1738D" w:rsidRPr="00D812E2" w:rsidRDefault="00D1738D" w:rsidP="00D812E2">
      <w:pPr>
        <w:spacing w:after="0" w:line="300" w:lineRule="atLeast"/>
        <w:jc w:val="both"/>
        <w:rPr>
          <w:rFonts w:ascii="Arial" w:hAnsi="Arial" w:cs="Arial"/>
        </w:rPr>
      </w:pPr>
      <w:r w:rsidRPr="00D812E2">
        <w:rPr>
          <w:rFonts w:ascii="Arial" w:hAnsi="Arial" w:cs="Arial"/>
          <w:lang w:eastAsia="en-US"/>
        </w:rPr>
        <w:t xml:space="preserve">It must be remembered that damage to roads is caused by axle weights, not by a vehicle’s gross mass. Axle weights and impact are measured by equivalent standard axles, or </w:t>
      </w:r>
      <w:r w:rsidR="00AB78B1" w:rsidRPr="00D812E2">
        <w:rPr>
          <w:rFonts w:ascii="Arial" w:hAnsi="Arial" w:cs="Arial"/>
          <w:lang w:eastAsia="en-US"/>
        </w:rPr>
        <w:t>ESAs</w:t>
      </w:r>
      <w:r w:rsidRPr="00D812E2">
        <w:rPr>
          <w:rFonts w:ascii="Arial" w:hAnsi="Arial" w:cs="Arial"/>
          <w:lang w:eastAsia="en-US"/>
        </w:rPr>
        <w:t>. These</w:t>
      </w:r>
      <w:r w:rsidR="00AB78B1" w:rsidRPr="00D812E2">
        <w:rPr>
          <w:rFonts w:ascii="Arial" w:hAnsi="Arial" w:cs="Arial"/>
          <w:lang w:eastAsia="en-US"/>
        </w:rPr>
        <w:t xml:space="preserve"> are a comparative measure of road impact and the passage of a standard axle</w:t>
      </w:r>
      <w:r w:rsidR="00C902A6" w:rsidRPr="00D812E2">
        <w:rPr>
          <w:rFonts w:ascii="Arial" w:hAnsi="Arial" w:cs="Arial"/>
          <w:lang w:eastAsia="en-US"/>
        </w:rPr>
        <w:t xml:space="preserve"> across that road. It is a complex calculation, however it is commonly used by road designers and bridge engineers to determine the damage certain types of vehicles can cause. </w:t>
      </w:r>
      <w:r w:rsidR="00A4501C" w:rsidRPr="00D812E2">
        <w:rPr>
          <w:rFonts w:ascii="Arial" w:hAnsi="Arial" w:cs="Arial"/>
          <w:lang w:eastAsia="en-US"/>
        </w:rPr>
        <w:t xml:space="preserve">The vehicles listed in the table following </w:t>
      </w:r>
      <w:r w:rsidRPr="00D812E2">
        <w:rPr>
          <w:rFonts w:ascii="Arial" w:hAnsi="Arial" w:cs="Arial"/>
        </w:rPr>
        <w:t>have had the ESAs calculated in the three columns on the right</w:t>
      </w:r>
      <w:r w:rsidR="00A4501C" w:rsidRPr="00D812E2">
        <w:rPr>
          <w:rFonts w:ascii="Arial" w:hAnsi="Arial" w:cs="Arial"/>
        </w:rPr>
        <w:t>.</w:t>
      </w:r>
      <w:r w:rsidRPr="00D812E2">
        <w:rPr>
          <w:rFonts w:ascii="Arial" w:hAnsi="Arial" w:cs="Arial"/>
        </w:rPr>
        <w:t xml:space="preserve"> The percentages in the heading</w:t>
      </w:r>
      <w:r w:rsidR="00F25014" w:rsidRPr="00D812E2">
        <w:rPr>
          <w:rFonts w:ascii="Arial" w:hAnsi="Arial" w:cs="Arial"/>
        </w:rPr>
        <w:t>s</w:t>
      </w:r>
      <w:r w:rsidRPr="00D812E2">
        <w:rPr>
          <w:rFonts w:ascii="Arial" w:hAnsi="Arial" w:cs="Arial"/>
        </w:rPr>
        <w:t xml:space="preserve"> of the columns refer to the amount of load a vehicle has.</w:t>
      </w:r>
    </w:p>
    <w:p w:rsidR="00C902A6" w:rsidRDefault="00C902A6" w:rsidP="00D1738D">
      <w:pPr>
        <w:spacing w:after="0" w:line="280" w:lineRule="atLeast"/>
        <w:jc w:val="both"/>
        <w:rPr>
          <w:rFonts w:ascii="Arial" w:hAnsi="Arial" w:cs="Arial"/>
          <w:sz w:val="20"/>
          <w:szCs w:val="20"/>
          <w:lang w:eastAsia="en-US"/>
        </w:rPr>
      </w:pPr>
      <w:r>
        <w:rPr>
          <w:rFonts w:ascii="Arial" w:hAnsi="Arial" w:cs="Arial"/>
          <w:sz w:val="20"/>
          <w:szCs w:val="20"/>
          <w:lang w:eastAsia="en-US"/>
        </w:rPr>
        <w:br w:type="page"/>
      </w:r>
    </w:p>
    <w:p w:rsidR="005A5B63" w:rsidRPr="00F25014" w:rsidRDefault="005A5B63" w:rsidP="00F25014">
      <w:pPr>
        <w:spacing w:after="0" w:line="240" w:lineRule="auto"/>
        <w:jc w:val="both"/>
        <w:rPr>
          <w:rFonts w:ascii="Arial" w:hAnsi="Arial" w:cs="Arial"/>
          <w:sz w:val="16"/>
          <w:szCs w:val="16"/>
          <w:lang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8"/>
        <w:gridCol w:w="1418"/>
        <w:gridCol w:w="1275"/>
        <w:gridCol w:w="1322"/>
        <w:gridCol w:w="1323"/>
        <w:gridCol w:w="1323"/>
      </w:tblGrid>
      <w:tr w:rsidR="00666802" w:rsidRPr="00D812E2" w:rsidTr="00D812E2">
        <w:trPr>
          <w:trHeight w:val="325"/>
          <w:jc w:val="center"/>
        </w:trPr>
        <w:tc>
          <w:tcPr>
            <w:tcW w:w="5671" w:type="dxa"/>
            <w:gridSpan w:val="3"/>
            <w:vMerge w:val="restart"/>
            <w:tcBorders>
              <w:top w:val="nil"/>
              <w:left w:val="nil"/>
            </w:tcBorders>
          </w:tcPr>
          <w:p w:rsidR="00666802" w:rsidRPr="00D812E2" w:rsidRDefault="00666802" w:rsidP="00AE680D">
            <w:pPr>
              <w:spacing w:after="0" w:line="280" w:lineRule="atLeast"/>
              <w:jc w:val="both"/>
              <w:rPr>
                <w:rFonts w:ascii="Arial" w:hAnsi="Arial" w:cs="Arial"/>
                <w:sz w:val="20"/>
                <w:szCs w:val="20"/>
                <w:lang w:eastAsia="en-US"/>
              </w:rPr>
            </w:pPr>
          </w:p>
        </w:tc>
        <w:tc>
          <w:tcPr>
            <w:tcW w:w="3968" w:type="dxa"/>
            <w:gridSpan w:val="3"/>
            <w:vAlign w:val="center"/>
          </w:tcPr>
          <w:p w:rsidR="00666802" w:rsidRPr="00D812E2" w:rsidRDefault="00666802" w:rsidP="00AE680D">
            <w:pPr>
              <w:spacing w:after="0" w:line="240" w:lineRule="auto"/>
              <w:jc w:val="center"/>
              <w:rPr>
                <w:rFonts w:ascii="Arial" w:hAnsi="Arial" w:cs="Arial"/>
                <w:b/>
                <w:sz w:val="20"/>
                <w:szCs w:val="20"/>
                <w:lang w:eastAsia="en-US"/>
              </w:rPr>
            </w:pPr>
            <w:r w:rsidRPr="00D812E2">
              <w:rPr>
                <w:rFonts w:ascii="Arial" w:hAnsi="Arial" w:cs="Arial"/>
                <w:b/>
                <w:sz w:val="20"/>
                <w:szCs w:val="20"/>
              </w:rPr>
              <w:t>Load Status</w:t>
            </w:r>
          </w:p>
        </w:tc>
      </w:tr>
      <w:tr w:rsidR="00666802" w:rsidRPr="00D812E2" w:rsidTr="00D812E2">
        <w:trPr>
          <w:trHeight w:val="325"/>
          <w:jc w:val="center"/>
        </w:trPr>
        <w:tc>
          <w:tcPr>
            <w:tcW w:w="5671" w:type="dxa"/>
            <w:gridSpan w:val="3"/>
            <w:vMerge/>
            <w:tcBorders>
              <w:left w:val="nil"/>
            </w:tcBorders>
          </w:tcPr>
          <w:p w:rsidR="00666802" w:rsidRPr="00D812E2" w:rsidRDefault="00666802" w:rsidP="00AE680D">
            <w:pPr>
              <w:spacing w:after="0" w:line="280" w:lineRule="atLeast"/>
              <w:jc w:val="both"/>
              <w:rPr>
                <w:rFonts w:ascii="Arial" w:hAnsi="Arial" w:cs="Arial"/>
                <w:sz w:val="20"/>
                <w:szCs w:val="20"/>
                <w:lang w:eastAsia="en-US"/>
              </w:rPr>
            </w:pPr>
          </w:p>
        </w:tc>
        <w:tc>
          <w:tcPr>
            <w:tcW w:w="1322" w:type="dxa"/>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0%</w:t>
            </w:r>
          </w:p>
        </w:tc>
        <w:tc>
          <w:tcPr>
            <w:tcW w:w="1323" w:type="dxa"/>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50%</w:t>
            </w:r>
          </w:p>
        </w:tc>
        <w:tc>
          <w:tcPr>
            <w:tcW w:w="1323" w:type="dxa"/>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100%</w:t>
            </w:r>
          </w:p>
        </w:tc>
      </w:tr>
      <w:tr w:rsidR="00666802" w:rsidRPr="00D812E2" w:rsidTr="00D812E2">
        <w:trPr>
          <w:trHeight w:val="268"/>
          <w:jc w:val="center"/>
        </w:trPr>
        <w:tc>
          <w:tcPr>
            <w:tcW w:w="2978" w:type="dxa"/>
            <w:tcBorders>
              <w:bottom w:val="single" w:sz="4" w:space="0" w:color="auto"/>
            </w:tcBorders>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Vehicle Type</w:t>
            </w:r>
          </w:p>
        </w:tc>
        <w:tc>
          <w:tcPr>
            <w:tcW w:w="1418" w:type="dxa"/>
            <w:tcBorders>
              <w:bottom w:val="single" w:sz="4" w:space="0" w:color="auto"/>
            </w:tcBorders>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GCM</w:t>
            </w:r>
          </w:p>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(tonnes)</w:t>
            </w:r>
          </w:p>
        </w:tc>
        <w:tc>
          <w:tcPr>
            <w:tcW w:w="1275" w:type="dxa"/>
            <w:tcBorders>
              <w:bottom w:val="single" w:sz="4" w:space="0" w:color="auto"/>
            </w:tcBorders>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Payload</w:t>
            </w:r>
          </w:p>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(tonnes)</w:t>
            </w:r>
          </w:p>
        </w:tc>
        <w:tc>
          <w:tcPr>
            <w:tcW w:w="3968" w:type="dxa"/>
            <w:gridSpan w:val="3"/>
            <w:tcBorders>
              <w:bottom w:val="single" w:sz="4" w:space="0" w:color="auto"/>
            </w:tcBorders>
            <w:vAlign w:val="center"/>
          </w:tcPr>
          <w:p w:rsidR="00666802" w:rsidRPr="00D812E2" w:rsidRDefault="00666802" w:rsidP="00AE680D">
            <w:pPr>
              <w:spacing w:after="0" w:line="240" w:lineRule="auto"/>
              <w:jc w:val="center"/>
              <w:rPr>
                <w:rFonts w:ascii="Arial" w:hAnsi="Arial" w:cs="Arial"/>
                <w:b/>
                <w:sz w:val="20"/>
                <w:szCs w:val="20"/>
              </w:rPr>
            </w:pPr>
            <w:r w:rsidRPr="00D812E2">
              <w:rPr>
                <w:rFonts w:ascii="Arial" w:hAnsi="Arial" w:cs="Arial"/>
                <w:b/>
                <w:sz w:val="20"/>
                <w:szCs w:val="20"/>
              </w:rPr>
              <w:t>Calculated ESA's 4</w:t>
            </w:r>
            <w:r w:rsidRPr="00D812E2">
              <w:rPr>
                <w:rFonts w:ascii="Arial" w:hAnsi="Arial" w:cs="Arial"/>
                <w:b/>
                <w:sz w:val="20"/>
                <w:szCs w:val="20"/>
                <w:vertAlign w:val="superscript"/>
              </w:rPr>
              <w:t>th</w:t>
            </w:r>
            <w:r w:rsidRPr="00D812E2">
              <w:rPr>
                <w:rFonts w:ascii="Arial" w:hAnsi="Arial" w:cs="Arial"/>
                <w:b/>
                <w:sz w:val="20"/>
                <w:szCs w:val="20"/>
              </w:rPr>
              <w:t xml:space="preserve"> Power</w:t>
            </w:r>
          </w:p>
        </w:tc>
      </w:tr>
      <w:tr w:rsidR="00666802" w:rsidRPr="00D812E2" w:rsidTr="00D812E2">
        <w:trPr>
          <w:trHeight w:val="397"/>
          <w:jc w:val="center"/>
        </w:trPr>
        <w:tc>
          <w:tcPr>
            <w:tcW w:w="2978" w:type="dxa"/>
            <w:shd w:val="clear" w:color="auto" w:fill="auto"/>
            <w:vAlign w:val="center"/>
          </w:tcPr>
          <w:p w:rsidR="00666802" w:rsidRPr="00D812E2" w:rsidRDefault="00666802" w:rsidP="00AE680D">
            <w:pPr>
              <w:spacing w:after="0" w:line="240" w:lineRule="auto"/>
              <w:jc w:val="right"/>
              <w:rPr>
                <w:rFonts w:ascii="Arial" w:hAnsi="Arial" w:cs="Arial"/>
                <w:sz w:val="20"/>
                <w:szCs w:val="20"/>
              </w:rPr>
            </w:pPr>
            <w:r w:rsidRPr="00D812E2">
              <w:rPr>
                <w:rFonts w:ascii="Arial" w:hAnsi="Arial" w:cs="Arial"/>
                <w:sz w:val="20"/>
                <w:szCs w:val="20"/>
              </w:rPr>
              <w:t>Two Axle Rigid GML</w:t>
            </w:r>
          </w:p>
        </w:tc>
        <w:tc>
          <w:tcPr>
            <w:tcW w:w="1418"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15.0</w:t>
            </w:r>
          </w:p>
        </w:tc>
        <w:tc>
          <w:tcPr>
            <w:tcW w:w="1275"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7.00</w:t>
            </w:r>
          </w:p>
        </w:tc>
        <w:tc>
          <w:tcPr>
            <w:tcW w:w="1322"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0.42</w:t>
            </w:r>
          </w:p>
        </w:tc>
        <w:tc>
          <w:tcPr>
            <w:tcW w:w="1323"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1.18</w:t>
            </w:r>
          </w:p>
        </w:tc>
        <w:tc>
          <w:tcPr>
            <w:tcW w:w="1323"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3.00</w:t>
            </w:r>
          </w:p>
        </w:tc>
      </w:tr>
      <w:tr w:rsidR="00666802" w:rsidRPr="00D812E2" w:rsidTr="00D812E2">
        <w:trPr>
          <w:trHeight w:val="397"/>
          <w:jc w:val="center"/>
        </w:trPr>
        <w:tc>
          <w:tcPr>
            <w:tcW w:w="2978" w:type="dxa"/>
            <w:tcBorders>
              <w:bottom w:val="single" w:sz="4" w:space="0" w:color="auto"/>
            </w:tcBorders>
            <w:shd w:val="clear" w:color="auto" w:fill="auto"/>
            <w:vAlign w:val="center"/>
          </w:tcPr>
          <w:p w:rsidR="00666802" w:rsidRPr="00D812E2" w:rsidRDefault="00666802" w:rsidP="00AE680D">
            <w:pPr>
              <w:spacing w:after="0" w:line="240" w:lineRule="auto"/>
              <w:jc w:val="right"/>
              <w:rPr>
                <w:rFonts w:ascii="Arial" w:hAnsi="Arial" w:cs="Arial"/>
                <w:bCs/>
                <w:sz w:val="20"/>
                <w:szCs w:val="20"/>
              </w:rPr>
            </w:pPr>
            <w:r w:rsidRPr="00D812E2">
              <w:rPr>
                <w:rFonts w:ascii="Arial" w:hAnsi="Arial" w:cs="Arial"/>
                <w:bCs/>
                <w:sz w:val="20"/>
                <w:szCs w:val="20"/>
              </w:rPr>
              <w:t>Three Axle Rigid GML</w:t>
            </w:r>
          </w:p>
        </w:tc>
        <w:tc>
          <w:tcPr>
            <w:tcW w:w="1418"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bCs/>
                <w:sz w:val="20"/>
                <w:szCs w:val="20"/>
              </w:rPr>
            </w:pPr>
            <w:r w:rsidRPr="00D812E2">
              <w:rPr>
                <w:rFonts w:ascii="Arial" w:hAnsi="Arial" w:cs="Arial"/>
                <w:bCs/>
                <w:sz w:val="20"/>
                <w:szCs w:val="20"/>
              </w:rPr>
              <w:t>22.5</w:t>
            </w:r>
          </w:p>
        </w:tc>
        <w:tc>
          <w:tcPr>
            <w:tcW w:w="1275"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bCs/>
                <w:sz w:val="20"/>
                <w:szCs w:val="20"/>
              </w:rPr>
            </w:pPr>
            <w:r w:rsidRPr="00D812E2">
              <w:rPr>
                <w:rFonts w:ascii="Arial" w:hAnsi="Arial" w:cs="Arial"/>
                <w:bCs/>
                <w:sz w:val="20"/>
                <w:szCs w:val="20"/>
              </w:rPr>
              <w:t>13.12</w:t>
            </w:r>
          </w:p>
        </w:tc>
        <w:tc>
          <w:tcPr>
            <w:tcW w:w="1322"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bCs/>
                <w:sz w:val="20"/>
                <w:szCs w:val="20"/>
              </w:rPr>
            </w:pPr>
            <w:r w:rsidRPr="00D812E2">
              <w:rPr>
                <w:rFonts w:ascii="Arial" w:hAnsi="Arial" w:cs="Arial"/>
                <w:bCs/>
                <w:sz w:val="20"/>
                <w:szCs w:val="20"/>
              </w:rPr>
              <w:t>0.51</w:t>
            </w:r>
          </w:p>
        </w:tc>
        <w:tc>
          <w:tcPr>
            <w:tcW w:w="1323"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bCs/>
                <w:sz w:val="20"/>
                <w:szCs w:val="20"/>
              </w:rPr>
            </w:pPr>
            <w:r w:rsidRPr="00D812E2">
              <w:rPr>
                <w:rFonts w:ascii="Arial" w:hAnsi="Arial" w:cs="Arial"/>
                <w:bCs/>
                <w:sz w:val="20"/>
                <w:szCs w:val="20"/>
              </w:rPr>
              <w:t>1.27</w:t>
            </w:r>
          </w:p>
        </w:tc>
        <w:tc>
          <w:tcPr>
            <w:tcW w:w="1323"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bCs/>
                <w:sz w:val="20"/>
                <w:szCs w:val="20"/>
              </w:rPr>
            </w:pPr>
            <w:r w:rsidRPr="00D812E2">
              <w:rPr>
                <w:rFonts w:ascii="Arial" w:hAnsi="Arial" w:cs="Arial"/>
                <w:bCs/>
                <w:sz w:val="20"/>
                <w:szCs w:val="20"/>
              </w:rPr>
              <w:t>3.58</w:t>
            </w:r>
          </w:p>
        </w:tc>
      </w:tr>
      <w:tr w:rsidR="00666802" w:rsidRPr="00D812E2" w:rsidTr="00D812E2">
        <w:trPr>
          <w:trHeight w:val="397"/>
          <w:jc w:val="center"/>
        </w:trPr>
        <w:tc>
          <w:tcPr>
            <w:tcW w:w="2978" w:type="dxa"/>
            <w:shd w:val="clear" w:color="auto" w:fill="C6D9F1" w:themeFill="text2" w:themeFillTint="33"/>
            <w:vAlign w:val="center"/>
          </w:tcPr>
          <w:p w:rsidR="00666802" w:rsidRPr="00D812E2" w:rsidRDefault="00666802" w:rsidP="00AE680D">
            <w:pPr>
              <w:spacing w:after="0" w:line="240" w:lineRule="auto"/>
              <w:jc w:val="right"/>
              <w:rPr>
                <w:rFonts w:ascii="Arial" w:hAnsi="Arial" w:cs="Arial"/>
                <w:sz w:val="20"/>
                <w:szCs w:val="20"/>
              </w:rPr>
            </w:pPr>
            <w:r w:rsidRPr="00D812E2">
              <w:rPr>
                <w:rFonts w:ascii="Arial" w:hAnsi="Arial" w:cs="Arial"/>
                <w:sz w:val="20"/>
                <w:szCs w:val="20"/>
              </w:rPr>
              <w:t>Six Axle Artic GML</w:t>
            </w:r>
          </w:p>
        </w:tc>
        <w:tc>
          <w:tcPr>
            <w:tcW w:w="1418"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42.5</w:t>
            </w:r>
          </w:p>
        </w:tc>
        <w:tc>
          <w:tcPr>
            <w:tcW w:w="1275"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24.13</w:t>
            </w:r>
          </w:p>
        </w:tc>
        <w:tc>
          <w:tcPr>
            <w:tcW w:w="1322"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1.14</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2.03</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4.96</w:t>
            </w:r>
          </w:p>
        </w:tc>
      </w:tr>
      <w:tr w:rsidR="00666802" w:rsidRPr="00D812E2" w:rsidTr="00D812E2">
        <w:trPr>
          <w:trHeight w:val="397"/>
          <w:jc w:val="center"/>
        </w:trPr>
        <w:tc>
          <w:tcPr>
            <w:tcW w:w="2978" w:type="dxa"/>
            <w:shd w:val="clear" w:color="auto" w:fill="C6D9F1" w:themeFill="text2" w:themeFillTint="33"/>
            <w:vAlign w:val="center"/>
          </w:tcPr>
          <w:p w:rsidR="00666802" w:rsidRPr="00D812E2" w:rsidRDefault="00666802" w:rsidP="00AE680D">
            <w:pPr>
              <w:spacing w:after="0" w:line="240" w:lineRule="auto"/>
              <w:jc w:val="right"/>
              <w:rPr>
                <w:rFonts w:ascii="Arial" w:hAnsi="Arial" w:cs="Arial"/>
                <w:sz w:val="20"/>
                <w:szCs w:val="20"/>
              </w:rPr>
            </w:pPr>
            <w:r w:rsidRPr="00D812E2">
              <w:rPr>
                <w:rFonts w:ascii="Arial" w:hAnsi="Arial" w:cs="Arial"/>
                <w:sz w:val="20"/>
                <w:szCs w:val="20"/>
              </w:rPr>
              <w:t xml:space="preserve">Six Axle Artic HML </w:t>
            </w:r>
            <w:r w:rsidRPr="00D812E2">
              <w:rPr>
                <w:rFonts w:ascii="Arial" w:hAnsi="Arial" w:cs="Arial"/>
                <w:sz w:val="20"/>
                <w:szCs w:val="20"/>
                <w:vertAlign w:val="superscript"/>
              </w:rPr>
              <w:t>(RFS)</w:t>
            </w:r>
          </w:p>
        </w:tc>
        <w:tc>
          <w:tcPr>
            <w:tcW w:w="1418"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45.5</w:t>
            </w:r>
          </w:p>
        </w:tc>
        <w:tc>
          <w:tcPr>
            <w:tcW w:w="1275"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27.13</w:t>
            </w:r>
          </w:p>
        </w:tc>
        <w:tc>
          <w:tcPr>
            <w:tcW w:w="1322"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1.14</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2.03</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4.96</w:t>
            </w:r>
          </w:p>
        </w:tc>
      </w:tr>
      <w:tr w:rsidR="00666802" w:rsidRPr="00D812E2" w:rsidTr="00D812E2">
        <w:trPr>
          <w:trHeight w:val="397"/>
          <w:jc w:val="center"/>
        </w:trPr>
        <w:tc>
          <w:tcPr>
            <w:tcW w:w="2978" w:type="dxa"/>
            <w:shd w:val="clear" w:color="auto" w:fill="auto"/>
            <w:vAlign w:val="center"/>
          </w:tcPr>
          <w:p w:rsidR="00666802" w:rsidRPr="00D812E2" w:rsidRDefault="00666802" w:rsidP="00CE694F">
            <w:pPr>
              <w:spacing w:after="0" w:line="240" w:lineRule="auto"/>
              <w:jc w:val="right"/>
              <w:rPr>
                <w:rFonts w:ascii="Arial" w:hAnsi="Arial" w:cs="Arial"/>
                <w:sz w:val="20"/>
                <w:szCs w:val="20"/>
              </w:rPr>
            </w:pPr>
            <w:r w:rsidRPr="00D812E2">
              <w:rPr>
                <w:rFonts w:ascii="Arial" w:hAnsi="Arial" w:cs="Arial"/>
                <w:sz w:val="20"/>
                <w:szCs w:val="20"/>
              </w:rPr>
              <w:t>B</w:t>
            </w:r>
            <w:r w:rsidR="00CE694F" w:rsidRPr="00D812E2">
              <w:rPr>
                <w:rFonts w:ascii="Arial" w:hAnsi="Arial" w:cs="Arial"/>
                <w:sz w:val="20"/>
                <w:szCs w:val="20"/>
              </w:rPr>
              <w:t>-</w:t>
            </w:r>
            <w:r w:rsidRPr="00D812E2">
              <w:rPr>
                <w:rFonts w:ascii="Arial" w:hAnsi="Arial" w:cs="Arial"/>
                <w:sz w:val="20"/>
                <w:szCs w:val="20"/>
              </w:rPr>
              <w:t>double GML</w:t>
            </w:r>
          </w:p>
        </w:tc>
        <w:tc>
          <w:tcPr>
            <w:tcW w:w="1418"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62.5</w:t>
            </w:r>
          </w:p>
        </w:tc>
        <w:tc>
          <w:tcPr>
            <w:tcW w:w="1275"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38.93</w:t>
            </w:r>
          </w:p>
        </w:tc>
        <w:tc>
          <w:tcPr>
            <w:tcW w:w="1322"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1.15</w:t>
            </w:r>
          </w:p>
        </w:tc>
        <w:tc>
          <w:tcPr>
            <w:tcW w:w="1323"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2.24</w:t>
            </w:r>
          </w:p>
        </w:tc>
        <w:tc>
          <w:tcPr>
            <w:tcW w:w="1323" w:type="dxa"/>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6.34</w:t>
            </w:r>
          </w:p>
        </w:tc>
      </w:tr>
      <w:tr w:rsidR="00666802" w:rsidRPr="00D812E2" w:rsidTr="00D812E2">
        <w:trPr>
          <w:trHeight w:val="397"/>
          <w:jc w:val="center"/>
        </w:trPr>
        <w:tc>
          <w:tcPr>
            <w:tcW w:w="2978" w:type="dxa"/>
            <w:tcBorders>
              <w:bottom w:val="single" w:sz="4" w:space="0" w:color="auto"/>
            </w:tcBorders>
            <w:shd w:val="clear" w:color="auto" w:fill="auto"/>
            <w:vAlign w:val="center"/>
          </w:tcPr>
          <w:p w:rsidR="00666802" w:rsidRPr="00D812E2" w:rsidRDefault="00666802" w:rsidP="00CE694F">
            <w:pPr>
              <w:spacing w:after="0" w:line="240" w:lineRule="auto"/>
              <w:jc w:val="right"/>
              <w:rPr>
                <w:rFonts w:ascii="Arial" w:hAnsi="Arial" w:cs="Arial"/>
                <w:sz w:val="20"/>
                <w:szCs w:val="20"/>
              </w:rPr>
            </w:pPr>
            <w:r w:rsidRPr="00D812E2">
              <w:rPr>
                <w:rFonts w:ascii="Arial" w:hAnsi="Arial" w:cs="Arial"/>
                <w:sz w:val="20"/>
                <w:szCs w:val="20"/>
              </w:rPr>
              <w:t>B</w:t>
            </w:r>
            <w:r w:rsidR="00CE694F" w:rsidRPr="00D812E2">
              <w:rPr>
                <w:rFonts w:ascii="Arial" w:hAnsi="Arial" w:cs="Arial"/>
                <w:sz w:val="20"/>
                <w:szCs w:val="20"/>
              </w:rPr>
              <w:t>-</w:t>
            </w:r>
            <w:r w:rsidRPr="00D812E2">
              <w:rPr>
                <w:rFonts w:ascii="Arial" w:hAnsi="Arial" w:cs="Arial"/>
                <w:sz w:val="20"/>
                <w:szCs w:val="20"/>
              </w:rPr>
              <w:t xml:space="preserve">double HML </w:t>
            </w:r>
            <w:r w:rsidRPr="00D812E2">
              <w:rPr>
                <w:rFonts w:ascii="Arial" w:hAnsi="Arial" w:cs="Arial"/>
                <w:sz w:val="20"/>
                <w:szCs w:val="20"/>
                <w:vertAlign w:val="superscript"/>
              </w:rPr>
              <w:t>(RFS)</w:t>
            </w:r>
          </w:p>
        </w:tc>
        <w:tc>
          <w:tcPr>
            <w:tcW w:w="1418"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68.0</w:t>
            </w:r>
          </w:p>
        </w:tc>
        <w:tc>
          <w:tcPr>
            <w:tcW w:w="1275"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44.43</w:t>
            </w:r>
          </w:p>
        </w:tc>
        <w:tc>
          <w:tcPr>
            <w:tcW w:w="1322"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1.15</w:t>
            </w:r>
          </w:p>
        </w:tc>
        <w:tc>
          <w:tcPr>
            <w:tcW w:w="1323"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2.24</w:t>
            </w:r>
          </w:p>
        </w:tc>
        <w:tc>
          <w:tcPr>
            <w:tcW w:w="1323" w:type="dxa"/>
            <w:tcBorders>
              <w:bottom w:val="single" w:sz="4" w:space="0" w:color="auto"/>
            </w:tcBorders>
            <w:shd w:val="clear" w:color="auto" w:fill="auto"/>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6.34</w:t>
            </w:r>
          </w:p>
        </w:tc>
      </w:tr>
      <w:tr w:rsidR="00666802" w:rsidRPr="00D812E2" w:rsidTr="00D812E2">
        <w:trPr>
          <w:trHeight w:val="397"/>
          <w:jc w:val="center"/>
        </w:trPr>
        <w:tc>
          <w:tcPr>
            <w:tcW w:w="2978" w:type="dxa"/>
            <w:shd w:val="clear" w:color="auto" w:fill="C6D9F1" w:themeFill="text2" w:themeFillTint="33"/>
            <w:vAlign w:val="center"/>
          </w:tcPr>
          <w:p w:rsidR="00666802" w:rsidRPr="00D812E2" w:rsidRDefault="00666802" w:rsidP="00AE680D">
            <w:pPr>
              <w:spacing w:after="0" w:line="240" w:lineRule="auto"/>
              <w:jc w:val="right"/>
              <w:rPr>
                <w:rFonts w:ascii="Arial" w:hAnsi="Arial" w:cs="Arial"/>
                <w:sz w:val="20"/>
                <w:szCs w:val="20"/>
              </w:rPr>
            </w:pPr>
            <w:r w:rsidRPr="00D812E2">
              <w:rPr>
                <w:rFonts w:ascii="Arial" w:hAnsi="Arial" w:cs="Arial"/>
                <w:sz w:val="20"/>
                <w:szCs w:val="20"/>
              </w:rPr>
              <w:t>B-triple GML</w:t>
            </w:r>
          </w:p>
        </w:tc>
        <w:tc>
          <w:tcPr>
            <w:tcW w:w="1418"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82.5</w:t>
            </w:r>
          </w:p>
        </w:tc>
        <w:tc>
          <w:tcPr>
            <w:tcW w:w="1275"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52.44</w:t>
            </w:r>
          </w:p>
        </w:tc>
        <w:tc>
          <w:tcPr>
            <w:tcW w:w="1322"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1.16</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2.51</w:t>
            </w:r>
          </w:p>
        </w:tc>
        <w:tc>
          <w:tcPr>
            <w:tcW w:w="1323" w:type="dxa"/>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7.72</w:t>
            </w:r>
          </w:p>
        </w:tc>
      </w:tr>
      <w:tr w:rsidR="00666802" w:rsidRPr="00D812E2" w:rsidTr="00D812E2">
        <w:trPr>
          <w:trHeight w:val="397"/>
          <w:jc w:val="center"/>
        </w:trPr>
        <w:tc>
          <w:tcPr>
            <w:tcW w:w="2978"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right"/>
              <w:rPr>
                <w:rFonts w:ascii="Arial" w:hAnsi="Arial" w:cs="Arial"/>
                <w:sz w:val="20"/>
                <w:szCs w:val="20"/>
              </w:rPr>
            </w:pPr>
            <w:r w:rsidRPr="00D812E2">
              <w:rPr>
                <w:rFonts w:ascii="Arial" w:hAnsi="Arial" w:cs="Arial"/>
                <w:sz w:val="20"/>
                <w:szCs w:val="20"/>
              </w:rPr>
              <w:t xml:space="preserve">B-triple HML </w:t>
            </w:r>
            <w:r w:rsidRPr="00D812E2">
              <w:rPr>
                <w:rFonts w:ascii="Arial" w:hAnsi="Arial" w:cs="Arial"/>
                <w:sz w:val="20"/>
                <w:szCs w:val="20"/>
                <w:vertAlign w:val="superscript"/>
              </w:rPr>
              <w:t>(RFS)</w:t>
            </w:r>
          </w:p>
        </w:tc>
        <w:tc>
          <w:tcPr>
            <w:tcW w:w="1418"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90.5</w:t>
            </w:r>
          </w:p>
        </w:tc>
        <w:tc>
          <w:tcPr>
            <w:tcW w:w="1275"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60.44</w:t>
            </w:r>
          </w:p>
        </w:tc>
        <w:tc>
          <w:tcPr>
            <w:tcW w:w="1322"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1.16</w:t>
            </w:r>
          </w:p>
        </w:tc>
        <w:tc>
          <w:tcPr>
            <w:tcW w:w="1323"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2.51</w:t>
            </w:r>
          </w:p>
        </w:tc>
        <w:tc>
          <w:tcPr>
            <w:tcW w:w="1323" w:type="dxa"/>
            <w:tcBorders>
              <w:bottom w:val="single" w:sz="4" w:space="0" w:color="auto"/>
            </w:tcBorders>
            <w:shd w:val="clear" w:color="auto" w:fill="C6D9F1" w:themeFill="text2" w:themeFillTint="33"/>
            <w:vAlign w:val="center"/>
          </w:tcPr>
          <w:p w:rsidR="00666802" w:rsidRPr="00D812E2" w:rsidRDefault="00666802" w:rsidP="00AE680D">
            <w:pPr>
              <w:spacing w:after="0" w:line="240" w:lineRule="auto"/>
              <w:jc w:val="center"/>
              <w:rPr>
                <w:rFonts w:ascii="Arial" w:hAnsi="Arial" w:cs="Arial"/>
                <w:sz w:val="20"/>
                <w:szCs w:val="20"/>
              </w:rPr>
            </w:pPr>
            <w:r w:rsidRPr="00D812E2">
              <w:rPr>
                <w:rFonts w:ascii="Arial" w:hAnsi="Arial" w:cs="Arial"/>
                <w:sz w:val="20"/>
                <w:szCs w:val="20"/>
              </w:rPr>
              <w:t>7.72</w:t>
            </w:r>
          </w:p>
        </w:tc>
      </w:tr>
      <w:tr w:rsidR="0070649C" w:rsidRPr="00D812E2" w:rsidTr="00D812E2">
        <w:trPr>
          <w:trHeight w:val="397"/>
          <w:jc w:val="center"/>
        </w:trPr>
        <w:tc>
          <w:tcPr>
            <w:tcW w:w="2978" w:type="dxa"/>
            <w:shd w:val="clear" w:color="auto" w:fill="auto"/>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Type 1 R/train GML</w:t>
            </w:r>
          </w:p>
        </w:tc>
        <w:tc>
          <w:tcPr>
            <w:tcW w:w="1418"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79.0</w:t>
            </w:r>
          </w:p>
        </w:tc>
        <w:tc>
          <w:tcPr>
            <w:tcW w:w="1275"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47.77</w:t>
            </w:r>
          </w:p>
        </w:tc>
        <w:tc>
          <w:tcPr>
            <w:tcW w:w="1322"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1.20</w:t>
            </w:r>
          </w:p>
        </w:tc>
        <w:tc>
          <w:tcPr>
            <w:tcW w:w="1323"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2.77</w:t>
            </w:r>
          </w:p>
        </w:tc>
        <w:tc>
          <w:tcPr>
            <w:tcW w:w="1323"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8.41</w:t>
            </w:r>
          </w:p>
        </w:tc>
      </w:tr>
      <w:tr w:rsidR="0070649C" w:rsidRPr="00D812E2" w:rsidTr="00D812E2">
        <w:trPr>
          <w:trHeight w:val="397"/>
          <w:jc w:val="center"/>
        </w:trPr>
        <w:tc>
          <w:tcPr>
            <w:tcW w:w="2978" w:type="dxa"/>
            <w:tcBorders>
              <w:bottom w:val="single" w:sz="4" w:space="0" w:color="auto"/>
            </w:tcBorders>
            <w:shd w:val="clear" w:color="auto" w:fill="auto"/>
            <w:vAlign w:val="center"/>
          </w:tcPr>
          <w:p w:rsidR="0070649C" w:rsidRPr="00D812E2" w:rsidRDefault="0070649C" w:rsidP="0070649C">
            <w:pPr>
              <w:spacing w:after="0" w:line="240" w:lineRule="auto"/>
              <w:jc w:val="right"/>
              <w:rPr>
                <w:rFonts w:ascii="Arial" w:hAnsi="Arial" w:cs="Arial"/>
                <w:sz w:val="20"/>
                <w:szCs w:val="20"/>
                <w:lang w:val="fr-FR"/>
              </w:rPr>
            </w:pPr>
            <w:r w:rsidRPr="00D812E2">
              <w:rPr>
                <w:rFonts w:ascii="Arial" w:hAnsi="Arial" w:cs="Arial"/>
                <w:sz w:val="20"/>
                <w:szCs w:val="20"/>
                <w:lang w:val="fr-FR"/>
              </w:rPr>
              <w:t xml:space="preserve">Type 1 R/train HML </w:t>
            </w:r>
            <w:r w:rsidRPr="00D812E2">
              <w:rPr>
                <w:rFonts w:ascii="Arial" w:hAnsi="Arial" w:cs="Arial"/>
                <w:sz w:val="20"/>
                <w:szCs w:val="20"/>
                <w:vertAlign w:val="superscript"/>
                <w:lang w:val="fr-FR"/>
              </w:rPr>
              <w:t>(RFS)</w:t>
            </w:r>
          </w:p>
        </w:tc>
        <w:tc>
          <w:tcPr>
            <w:tcW w:w="1418"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85.0</w:t>
            </w:r>
          </w:p>
        </w:tc>
        <w:tc>
          <w:tcPr>
            <w:tcW w:w="1275"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53.77</w:t>
            </w:r>
          </w:p>
        </w:tc>
        <w:tc>
          <w:tcPr>
            <w:tcW w:w="1322"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1.20</w:t>
            </w:r>
          </w:p>
        </w:tc>
        <w:tc>
          <w:tcPr>
            <w:tcW w:w="1323"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2.77</w:t>
            </w:r>
          </w:p>
        </w:tc>
        <w:tc>
          <w:tcPr>
            <w:tcW w:w="1323"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8.41</w:t>
            </w:r>
          </w:p>
        </w:tc>
      </w:tr>
      <w:tr w:rsidR="0070649C" w:rsidRPr="00D812E2" w:rsidTr="00D812E2">
        <w:trPr>
          <w:trHeight w:val="397"/>
          <w:jc w:val="center"/>
        </w:trPr>
        <w:tc>
          <w:tcPr>
            <w:tcW w:w="2978" w:type="dxa"/>
            <w:shd w:val="clear" w:color="auto" w:fill="C6D9F1" w:themeFill="text2" w:themeFillTint="33"/>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AB-triple GML</w:t>
            </w:r>
          </w:p>
        </w:tc>
        <w:tc>
          <w:tcPr>
            <w:tcW w:w="1418"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99.0</w:t>
            </w:r>
          </w:p>
        </w:tc>
        <w:tc>
          <w:tcPr>
            <w:tcW w:w="1275"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64.20</w:t>
            </w:r>
          </w:p>
        </w:tc>
        <w:tc>
          <w:tcPr>
            <w:tcW w:w="1322"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1.18</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2.90</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9.78</w:t>
            </w:r>
          </w:p>
        </w:tc>
      </w:tr>
      <w:tr w:rsidR="0070649C" w:rsidRPr="00D812E2" w:rsidTr="00D812E2">
        <w:trPr>
          <w:trHeight w:val="397"/>
          <w:jc w:val="center"/>
        </w:trPr>
        <w:tc>
          <w:tcPr>
            <w:tcW w:w="2978"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 xml:space="preserve">AB-triple HML </w:t>
            </w:r>
            <w:r w:rsidRPr="00D812E2">
              <w:rPr>
                <w:rFonts w:ascii="Arial" w:hAnsi="Arial" w:cs="Arial"/>
                <w:sz w:val="20"/>
                <w:szCs w:val="20"/>
                <w:vertAlign w:val="superscript"/>
              </w:rPr>
              <w:t>(RFS)</w:t>
            </w:r>
          </w:p>
        </w:tc>
        <w:tc>
          <w:tcPr>
            <w:tcW w:w="1418"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107.5</w:t>
            </w:r>
          </w:p>
        </w:tc>
        <w:tc>
          <w:tcPr>
            <w:tcW w:w="1275"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72.70</w:t>
            </w:r>
          </w:p>
        </w:tc>
        <w:tc>
          <w:tcPr>
            <w:tcW w:w="1322"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1.18</w:t>
            </w:r>
          </w:p>
        </w:tc>
        <w:tc>
          <w:tcPr>
            <w:tcW w:w="1323"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2.90</w:t>
            </w:r>
          </w:p>
        </w:tc>
        <w:tc>
          <w:tcPr>
            <w:tcW w:w="1323" w:type="dxa"/>
            <w:tcBorders>
              <w:bottom w:val="single" w:sz="4" w:space="0" w:color="auto"/>
            </w:tcBorders>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9.78</w:t>
            </w:r>
          </w:p>
        </w:tc>
      </w:tr>
      <w:tr w:rsidR="0070649C" w:rsidRPr="00D812E2" w:rsidTr="00D812E2">
        <w:trPr>
          <w:trHeight w:val="397"/>
          <w:jc w:val="center"/>
        </w:trPr>
        <w:tc>
          <w:tcPr>
            <w:tcW w:w="2978" w:type="dxa"/>
            <w:shd w:val="clear" w:color="auto" w:fill="auto"/>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BAB-quad GML</w:t>
            </w:r>
          </w:p>
        </w:tc>
        <w:tc>
          <w:tcPr>
            <w:tcW w:w="1418"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119.0</w:t>
            </w:r>
          </w:p>
        </w:tc>
        <w:tc>
          <w:tcPr>
            <w:tcW w:w="1275"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77.37</w:t>
            </w:r>
          </w:p>
        </w:tc>
        <w:tc>
          <w:tcPr>
            <w:tcW w:w="1322"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1.21</w:t>
            </w:r>
          </w:p>
        </w:tc>
        <w:tc>
          <w:tcPr>
            <w:tcW w:w="1323"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3.20</w:t>
            </w:r>
          </w:p>
        </w:tc>
        <w:tc>
          <w:tcPr>
            <w:tcW w:w="1323" w:type="dxa"/>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11.16</w:t>
            </w:r>
          </w:p>
        </w:tc>
      </w:tr>
      <w:tr w:rsidR="0070649C" w:rsidRPr="00D812E2" w:rsidTr="00D812E2">
        <w:trPr>
          <w:trHeight w:val="397"/>
          <w:jc w:val="center"/>
        </w:trPr>
        <w:tc>
          <w:tcPr>
            <w:tcW w:w="2978" w:type="dxa"/>
            <w:tcBorders>
              <w:bottom w:val="single" w:sz="4" w:space="0" w:color="auto"/>
            </w:tcBorders>
            <w:shd w:val="clear" w:color="auto" w:fill="auto"/>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 xml:space="preserve">BAB-quad HML </w:t>
            </w:r>
            <w:r w:rsidRPr="00D812E2">
              <w:rPr>
                <w:rFonts w:ascii="Arial" w:hAnsi="Arial" w:cs="Arial"/>
                <w:sz w:val="20"/>
                <w:szCs w:val="20"/>
                <w:vertAlign w:val="superscript"/>
              </w:rPr>
              <w:t>(RFS)</w:t>
            </w:r>
          </w:p>
        </w:tc>
        <w:tc>
          <w:tcPr>
            <w:tcW w:w="1418"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130.0</w:t>
            </w:r>
          </w:p>
        </w:tc>
        <w:tc>
          <w:tcPr>
            <w:tcW w:w="1275"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88.37</w:t>
            </w:r>
          </w:p>
        </w:tc>
        <w:tc>
          <w:tcPr>
            <w:tcW w:w="1322"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1.21</w:t>
            </w:r>
          </w:p>
        </w:tc>
        <w:tc>
          <w:tcPr>
            <w:tcW w:w="1323"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3.20</w:t>
            </w:r>
          </w:p>
        </w:tc>
        <w:tc>
          <w:tcPr>
            <w:tcW w:w="1323" w:type="dxa"/>
            <w:tcBorders>
              <w:bottom w:val="single" w:sz="4" w:space="0" w:color="auto"/>
            </w:tcBorders>
            <w:shd w:val="clear" w:color="auto" w:fill="auto"/>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11.16</w:t>
            </w:r>
          </w:p>
        </w:tc>
      </w:tr>
      <w:tr w:rsidR="0070649C" w:rsidRPr="00D812E2" w:rsidTr="00D812E2">
        <w:trPr>
          <w:trHeight w:val="397"/>
          <w:jc w:val="center"/>
        </w:trPr>
        <w:tc>
          <w:tcPr>
            <w:tcW w:w="2978" w:type="dxa"/>
            <w:shd w:val="clear" w:color="auto" w:fill="C6D9F1" w:themeFill="text2" w:themeFillTint="33"/>
            <w:vAlign w:val="center"/>
          </w:tcPr>
          <w:p w:rsidR="0070649C" w:rsidRPr="00D812E2" w:rsidRDefault="0070649C" w:rsidP="0070649C">
            <w:pPr>
              <w:spacing w:after="0" w:line="240" w:lineRule="auto"/>
              <w:jc w:val="right"/>
              <w:rPr>
                <w:rFonts w:ascii="Arial" w:hAnsi="Arial" w:cs="Arial"/>
                <w:sz w:val="20"/>
                <w:szCs w:val="20"/>
              </w:rPr>
            </w:pPr>
            <w:r w:rsidRPr="00D812E2">
              <w:rPr>
                <w:rFonts w:ascii="Arial" w:hAnsi="Arial" w:cs="Arial"/>
                <w:sz w:val="20"/>
                <w:szCs w:val="20"/>
              </w:rPr>
              <w:t>Type 2 R/train GML</w:t>
            </w:r>
          </w:p>
        </w:tc>
        <w:tc>
          <w:tcPr>
            <w:tcW w:w="1418"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115.5</w:t>
            </w:r>
          </w:p>
        </w:tc>
        <w:tc>
          <w:tcPr>
            <w:tcW w:w="1275"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71.41</w:t>
            </w:r>
          </w:p>
        </w:tc>
        <w:tc>
          <w:tcPr>
            <w:tcW w:w="1322"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1.26</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3.51</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11.85</w:t>
            </w:r>
          </w:p>
        </w:tc>
      </w:tr>
      <w:tr w:rsidR="0070649C" w:rsidRPr="00D812E2" w:rsidTr="00D812E2">
        <w:trPr>
          <w:trHeight w:val="397"/>
          <w:jc w:val="center"/>
        </w:trPr>
        <w:tc>
          <w:tcPr>
            <w:tcW w:w="2978" w:type="dxa"/>
            <w:shd w:val="clear" w:color="auto" w:fill="C6D9F1" w:themeFill="text2" w:themeFillTint="33"/>
            <w:vAlign w:val="center"/>
          </w:tcPr>
          <w:p w:rsidR="0070649C" w:rsidRPr="00D812E2" w:rsidRDefault="0070649C" w:rsidP="0070649C">
            <w:pPr>
              <w:spacing w:after="0" w:line="240" w:lineRule="auto"/>
              <w:jc w:val="right"/>
              <w:rPr>
                <w:rFonts w:ascii="Arial" w:hAnsi="Arial" w:cs="Arial"/>
                <w:sz w:val="20"/>
                <w:szCs w:val="20"/>
                <w:lang w:val="fr-FR"/>
              </w:rPr>
            </w:pPr>
            <w:r w:rsidRPr="00D812E2">
              <w:rPr>
                <w:rFonts w:ascii="Arial" w:hAnsi="Arial" w:cs="Arial"/>
                <w:sz w:val="20"/>
                <w:szCs w:val="20"/>
                <w:lang w:val="fr-FR"/>
              </w:rPr>
              <w:t xml:space="preserve">Type 2 R/train HML </w:t>
            </w:r>
            <w:r w:rsidRPr="00D812E2">
              <w:rPr>
                <w:rFonts w:ascii="Arial" w:hAnsi="Arial" w:cs="Arial"/>
                <w:sz w:val="20"/>
                <w:szCs w:val="20"/>
                <w:vertAlign w:val="superscript"/>
                <w:lang w:val="fr-FR"/>
              </w:rPr>
              <w:t>(RFS)</w:t>
            </w:r>
          </w:p>
        </w:tc>
        <w:tc>
          <w:tcPr>
            <w:tcW w:w="1418"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124.5</w:t>
            </w:r>
          </w:p>
        </w:tc>
        <w:tc>
          <w:tcPr>
            <w:tcW w:w="1275"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80.41</w:t>
            </w:r>
          </w:p>
        </w:tc>
        <w:tc>
          <w:tcPr>
            <w:tcW w:w="1322"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1.26</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3.51</w:t>
            </w:r>
          </w:p>
        </w:tc>
        <w:tc>
          <w:tcPr>
            <w:tcW w:w="1323" w:type="dxa"/>
            <w:shd w:val="clear" w:color="auto" w:fill="C6D9F1" w:themeFill="text2" w:themeFillTint="33"/>
            <w:vAlign w:val="center"/>
          </w:tcPr>
          <w:p w:rsidR="0070649C" w:rsidRPr="00D812E2" w:rsidRDefault="0070649C" w:rsidP="0070649C">
            <w:pPr>
              <w:spacing w:after="0" w:line="240" w:lineRule="auto"/>
              <w:jc w:val="center"/>
              <w:rPr>
                <w:rFonts w:ascii="Arial" w:hAnsi="Arial" w:cs="Arial"/>
                <w:sz w:val="20"/>
                <w:szCs w:val="20"/>
              </w:rPr>
            </w:pPr>
            <w:r w:rsidRPr="00D812E2">
              <w:rPr>
                <w:rFonts w:ascii="Arial" w:hAnsi="Arial" w:cs="Arial"/>
                <w:sz w:val="20"/>
                <w:szCs w:val="20"/>
              </w:rPr>
              <w:t>11.85</w:t>
            </w:r>
          </w:p>
        </w:tc>
      </w:tr>
    </w:tbl>
    <w:p w:rsidR="00DE66EB" w:rsidRPr="00D812E2" w:rsidRDefault="00DE66EB" w:rsidP="00D812E2">
      <w:pPr>
        <w:spacing w:after="0" w:line="300" w:lineRule="atLeast"/>
        <w:jc w:val="both"/>
        <w:rPr>
          <w:rFonts w:ascii="Arial" w:hAnsi="Arial" w:cs="Arial"/>
          <w:lang w:eastAsia="en-US"/>
        </w:rPr>
      </w:pPr>
    </w:p>
    <w:p w:rsidR="00760871" w:rsidRPr="00D812E2" w:rsidRDefault="00760871" w:rsidP="00D812E2">
      <w:pPr>
        <w:spacing w:after="0" w:line="300" w:lineRule="atLeast"/>
        <w:jc w:val="both"/>
        <w:rPr>
          <w:rFonts w:ascii="Arial" w:hAnsi="Arial" w:cs="Arial"/>
          <w:lang w:eastAsia="en-US"/>
        </w:rPr>
      </w:pPr>
      <w:r w:rsidRPr="00D812E2">
        <w:rPr>
          <w:rFonts w:ascii="Arial" w:hAnsi="Arial" w:cs="Arial"/>
          <w:lang w:eastAsia="en-US"/>
        </w:rPr>
        <w:t xml:space="preserve">It is clear from the table that vehicles accessing HML (with RFS) have the same impact as </w:t>
      </w:r>
      <w:proofErr w:type="gramStart"/>
      <w:r w:rsidRPr="00D812E2">
        <w:rPr>
          <w:rFonts w:ascii="Arial" w:hAnsi="Arial" w:cs="Arial"/>
          <w:lang w:eastAsia="en-US"/>
        </w:rPr>
        <w:t>vehicles</w:t>
      </w:r>
      <w:proofErr w:type="gramEnd"/>
      <w:r w:rsidRPr="00D812E2">
        <w:rPr>
          <w:rFonts w:ascii="Arial" w:hAnsi="Arial" w:cs="Arial"/>
          <w:lang w:eastAsia="en-US"/>
        </w:rPr>
        <w:t xml:space="preserve"> operating at GML, where it is assumed that steel sprung suspension is being used.</w:t>
      </w:r>
    </w:p>
    <w:p w:rsidR="00760871" w:rsidRPr="00D812E2" w:rsidRDefault="00760871" w:rsidP="00D812E2">
      <w:pPr>
        <w:spacing w:after="0" w:line="300" w:lineRule="atLeast"/>
        <w:jc w:val="both"/>
        <w:rPr>
          <w:rFonts w:ascii="Arial" w:hAnsi="Arial" w:cs="Arial"/>
          <w:lang w:eastAsia="en-US"/>
        </w:rPr>
      </w:pPr>
    </w:p>
    <w:p w:rsidR="00760871" w:rsidRPr="00D812E2" w:rsidRDefault="00760871" w:rsidP="00D812E2">
      <w:pPr>
        <w:spacing w:after="0" w:line="300" w:lineRule="atLeast"/>
        <w:jc w:val="both"/>
        <w:rPr>
          <w:rFonts w:ascii="Arial" w:hAnsi="Arial" w:cs="Arial"/>
          <w:lang w:eastAsia="en-US"/>
        </w:rPr>
      </w:pPr>
    </w:p>
    <w:p w:rsidR="00666802" w:rsidRPr="00E761DA" w:rsidRDefault="00666802" w:rsidP="00BB7353">
      <w:pPr>
        <w:pStyle w:val="Heading1"/>
        <w:rPr>
          <w:sz w:val="24"/>
          <w:szCs w:val="24"/>
        </w:rPr>
      </w:pPr>
      <w:bookmarkStart w:id="12" w:name="_Toc301346297"/>
      <w:bookmarkStart w:id="13" w:name="_Toc301363571"/>
      <w:r>
        <w:rPr>
          <w:sz w:val="24"/>
          <w:szCs w:val="24"/>
        </w:rPr>
        <w:t>Prescriptive modular combinations and IAP</w:t>
      </w:r>
      <w:bookmarkEnd w:id="12"/>
      <w:bookmarkEnd w:id="13"/>
    </w:p>
    <w:p w:rsidR="00666802" w:rsidRPr="00D812E2" w:rsidRDefault="00666802"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Due to the safe nature of B-doubles, Australia has embraced the use of these high productivity vehicles over the past 20 years, with no requirement for IAP to be fitted, regardless of the level of mass limit being accessed. However, NSW currently require IAP to be fitted to prescriptive modular combinations, such as B-doubles operating at HML, without any justifiable reasoning behind this decision being provided to industry.</w:t>
      </w:r>
    </w:p>
    <w:p w:rsidR="00F25014" w:rsidRPr="00D812E2" w:rsidRDefault="00F25014"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 xml:space="preserve">It is only the </w:t>
      </w:r>
      <w:r w:rsidR="00835CC0" w:rsidRPr="00D812E2">
        <w:rPr>
          <w:rFonts w:ascii="Arial" w:hAnsi="Arial" w:cs="Arial"/>
          <w:lang w:eastAsia="en-US"/>
        </w:rPr>
        <w:t xml:space="preserve">NSW and Qld </w:t>
      </w:r>
      <w:r w:rsidRPr="00D812E2">
        <w:rPr>
          <w:rFonts w:ascii="Arial" w:hAnsi="Arial" w:cs="Arial"/>
          <w:lang w:eastAsia="en-US"/>
        </w:rPr>
        <w:t>road agenc</w:t>
      </w:r>
      <w:r w:rsidR="00835CC0" w:rsidRPr="00D812E2">
        <w:rPr>
          <w:rFonts w:ascii="Arial" w:hAnsi="Arial" w:cs="Arial"/>
          <w:lang w:eastAsia="en-US"/>
        </w:rPr>
        <w:t xml:space="preserve">ies </w:t>
      </w:r>
      <w:r w:rsidRPr="00D812E2">
        <w:rPr>
          <w:rFonts w:ascii="Arial" w:hAnsi="Arial" w:cs="Arial"/>
          <w:lang w:eastAsia="en-US"/>
        </w:rPr>
        <w:t>that consider prescriptive modular combinations to be so risky as to warrant being subjected to ongoing monitoring. In other states, operators do not require IAP to be fitted to prescriptive modular combinations, and these vehicles operate freely on approved routes. Obviously, there are routes within these states that these vehicles are limited to, just as road trains and indeed all kinds of heavy vehicles are limited (for example in urban areas, or roads with bridges not capable of taking a particular mass). Nevertheless, IAP is not required to be fitted to these combinations in any of these states. These states wish to encourage the adoption of better, safer combinations, and do not impose unnecessary hurdles to their use. In fact, in some cases, B-triples and AB-triples are given enhanced access over traditional road trains.</w:t>
      </w:r>
    </w:p>
    <w:p w:rsidR="00D812E2" w:rsidRDefault="00D812E2">
      <w:pPr>
        <w:spacing w:after="0" w:line="240" w:lineRule="auto"/>
        <w:rPr>
          <w:rFonts w:ascii="Arial" w:hAnsi="Arial" w:cs="Arial"/>
          <w:lang w:eastAsia="en-US"/>
        </w:rPr>
      </w:pPr>
      <w:r>
        <w:rPr>
          <w:rFonts w:ascii="Arial" w:hAnsi="Arial" w:cs="Arial"/>
          <w:lang w:eastAsia="en-US"/>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6"/>
        <w:gridCol w:w="4393"/>
      </w:tblGrid>
      <w:tr w:rsidR="00666802" w:rsidRPr="00D812E2" w:rsidTr="00D812E2">
        <w:trPr>
          <w:trHeight w:val="850"/>
          <w:jc w:val="center"/>
        </w:trPr>
        <w:tc>
          <w:tcPr>
            <w:tcW w:w="5246" w:type="dxa"/>
            <w:vAlign w:val="center"/>
          </w:tcPr>
          <w:p w:rsidR="00666802" w:rsidRPr="00D812E2" w:rsidRDefault="00666802" w:rsidP="003D0F29">
            <w:pPr>
              <w:spacing w:after="0" w:line="240" w:lineRule="auto"/>
              <w:jc w:val="center"/>
              <w:rPr>
                <w:rFonts w:ascii="Arial" w:hAnsi="Arial" w:cs="Arial"/>
                <w:b/>
                <w:sz w:val="20"/>
                <w:szCs w:val="20"/>
              </w:rPr>
            </w:pPr>
            <w:r w:rsidRPr="00D812E2">
              <w:rPr>
                <w:rFonts w:ascii="Arial" w:hAnsi="Arial" w:cs="Arial"/>
                <w:b/>
                <w:sz w:val="20"/>
                <w:szCs w:val="20"/>
              </w:rPr>
              <w:lastRenderedPageBreak/>
              <w:t>Modular vehicles not required to have IAP</w:t>
            </w:r>
          </w:p>
        </w:tc>
        <w:tc>
          <w:tcPr>
            <w:tcW w:w="4393" w:type="dxa"/>
            <w:vAlign w:val="center"/>
          </w:tcPr>
          <w:p w:rsidR="00666802" w:rsidRPr="00D812E2" w:rsidRDefault="00666802" w:rsidP="003D0F29">
            <w:pPr>
              <w:spacing w:after="0" w:line="240" w:lineRule="auto"/>
              <w:jc w:val="center"/>
              <w:rPr>
                <w:rFonts w:ascii="Arial" w:hAnsi="Arial" w:cs="Arial"/>
                <w:b/>
                <w:sz w:val="20"/>
                <w:szCs w:val="20"/>
              </w:rPr>
            </w:pPr>
            <w:r w:rsidRPr="00D812E2">
              <w:rPr>
                <w:rFonts w:ascii="Arial" w:hAnsi="Arial" w:cs="Arial"/>
                <w:b/>
                <w:sz w:val="20"/>
                <w:szCs w:val="20"/>
              </w:rPr>
              <w:t>Modular vehicles required to have IAP</w:t>
            </w:r>
          </w:p>
        </w:tc>
      </w:tr>
      <w:tr w:rsidR="00666802" w:rsidRPr="00D812E2" w:rsidTr="00D812E2">
        <w:trPr>
          <w:trHeight w:val="850"/>
          <w:jc w:val="center"/>
        </w:trPr>
        <w:tc>
          <w:tcPr>
            <w:tcW w:w="5246" w:type="dxa"/>
            <w:shd w:val="clear" w:color="auto" w:fill="C6D9F2"/>
            <w:vAlign w:val="center"/>
          </w:tcPr>
          <w:p w:rsidR="00666802" w:rsidRPr="00D812E2" w:rsidRDefault="00666802" w:rsidP="003D0F29">
            <w:pPr>
              <w:spacing w:before="80" w:after="80" w:line="240" w:lineRule="auto"/>
              <w:ind w:left="34" w:right="284"/>
              <w:rPr>
                <w:rFonts w:ascii="Arial" w:hAnsi="Arial" w:cs="Arial"/>
                <w:sz w:val="20"/>
                <w:szCs w:val="20"/>
              </w:rPr>
            </w:pPr>
            <w:r w:rsidRPr="00D812E2">
              <w:rPr>
                <w:rFonts w:ascii="Arial" w:hAnsi="Arial" w:cs="Arial"/>
                <w:sz w:val="20"/>
                <w:szCs w:val="20"/>
              </w:rPr>
              <w:t>“B” coupled vehicles at GML and CML, and HML in NT, SA, Tas, Vic, WA, ACT</w:t>
            </w:r>
          </w:p>
        </w:tc>
        <w:tc>
          <w:tcPr>
            <w:tcW w:w="4393" w:type="dxa"/>
            <w:shd w:val="clear" w:color="auto" w:fill="C6D9F2"/>
            <w:vAlign w:val="center"/>
          </w:tcPr>
          <w:p w:rsidR="00666802" w:rsidRPr="00D812E2" w:rsidRDefault="00666802" w:rsidP="003D0F29">
            <w:pPr>
              <w:spacing w:after="0" w:line="240" w:lineRule="auto"/>
              <w:ind w:left="284" w:right="284"/>
              <w:rPr>
                <w:rFonts w:ascii="Arial" w:hAnsi="Arial" w:cs="Arial"/>
                <w:sz w:val="20"/>
                <w:szCs w:val="20"/>
              </w:rPr>
            </w:pPr>
            <w:r w:rsidRPr="00D812E2">
              <w:rPr>
                <w:rFonts w:ascii="Arial" w:hAnsi="Arial" w:cs="Arial"/>
                <w:sz w:val="20"/>
                <w:szCs w:val="20"/>
              </w:rPr>
              <w:t>B-doubles accessing HML in NSW and QLD</w:t>
            </w:r>
          </w:p>
        </w:tc>
      </w:tr>
      <w:tr w:rsidR="00666802" w:rsidRPr="00D812E2" w:rsidTr="00D812E2">
        <w:trPr>
          <w:trHeight w:val="850"/>
          <w:jc w:val="center"/>
        </w:trPr>
        <w:tc>
          <w:tcPr>
            <w:tcW w:w="5246" w:type="dxa"/>
            <w:vAlign w:val="center"/>
          </w:tcPr>
          <w:p w:rsidR="00666802" w:rsidRPr="00D812E2" w:rsidRDefault="00666802" w:rsidP="003D0F29">
            <w:pPr>
              <w:spacing w:before="80" w:after="80" w:line="240" w:lineRule="auto"/>
              <w:ind w:left="34" w:right="284"/>
              <w:rPr>
                <w:rFonts w:ascii="Arial" w:hAnsi="Arial" w:cs="Arial"/>
                <w:sz w:val="20"/>
                <w:szCs w:val="20"/>
              </w:rPr>
            </w:pPr>
            <w:r w:rsidRPr="00D812E2">
              <w:rPr>
                <w:rFonts w:ascii="Arial" w:hAnsi="Arial" w:cs="Arial"/>
                <w:sz w:val="20"/>
                <w:szCs w:val="20"/>
              </w:rPr>
              <w:t>Tri-axle semi</w:t>
            </w:r>
            <w:r w:rsidR="00835CC0" w:rsidRPr="00D812E2">
              <w:rPr>
                <w:rFonts w:ascii="Arial" w:hAnsi="Arial" w:cs="Arial"/>
                <w:sz w:val="20"/>
                <w:szCs w:val="20"/>
              </w:rPr>
              <w:t>-</w:t>
            </w:r>
            <w:r w:rsidRPr="00D812E2">
              <w:rPr>
                <w:rFonts w:ascii="Arial" w:hAnsi="Arial" w:cs="Arial"/>
                <w:sz w:val="20"/>
                <w:szCs w:val="20"/>
              </w:rPr>
              <w:t>trailer combinations at GML, CML, and HML in NT, SA, Tas, Vic, WA, ACT</w:t>
            </w:r>
          </w:p>
        </w:tc>
        <w:tc>
          <w:tcPr>
            <w:tcW w:w="4393" w:type="dxa"/>
            <w:vAlign w:val="center"/>
          </w:tcPr>
          <w:p w:rsidR="00666802" w:rsidRPr="00D812E2" w:rsidRDefault="00666802" w:rsidP="00835CC0">
            <w:pPr>
              <w:spacing w:after="0" w:line="240" w:lineRule="auto"/>
              <w:ind w:left="284" w:right="284"/>
              <w:rPr>
                <w:rFonts w:ascii="Arial" w:hAnsi="Arial" w:cs="Arial"/>
                <w:sz w:val="20"/>
                <w:szCs w:val="20"/>
              </w:rPr>
            </w:pPr>
            <w:r w:rsidRPr="00D812E2">
              <w:rPr>
                <w:rFonts w:ascii="Arial" w:hAnsi="Arial" w:cs="Arial"/>
                <w:sz w:val="20"/>
                <w:szCs w:val="20"/>
              </w:rPr>
              <w:t xml:space="preserve">Tri-axle </w:t>
            </w:r>
            <w:r w:rsidR="00835CC0" w:rsidRPr="00D812E2">
              <w:rPr>
                <w:rFonts w:ascii="Arial" w:hAnsi="Arial" w:cs="Arial"/>
                <w:sz w:val="20"/>
                <w:szCs w:val="20"/>
              </w:rPr>
              <w:t>s</w:t>
            </w:r>
            <w:r w:rsidRPr="00D812E2">
              <w:rPr>
                <w:rFonts w:ascii="Arial" w:hAnsi="Arial" w:cs="Arial"/>
                <w:sz w:val="20"/>
                <w:szCs w:val="20"/>
              </w:rPr>
              <w:t>emi-trailer combinations accessing HML in NSW and QLD</w:t>
            </w:r>
          </w:p>
        </w:tc>
      </w:tr>
      <w:tr w:rsidR="00666802" w:rsidRPr="00D812E2" w:rsidTr="00D812E2">
        <w:trPr>
          <w:trHeight w:val="850"/>
          <w:jc w:val="center"/>
        </w:trPr>
        <w:tc>
          <w:tcPr>
            <w:tcW w:w="5246" w:type="dxa"/>
            <w:shd w:val="clear" w:color="auto" w:fill="C6D9F2"/>
            <w:vAlign w:val="center"/>
          </w:tcPr>
          <w:p w:rsidR="00666802" w:rsidRPr="00D812E2" w:rsidRDefault="00666802" w:rsidP="003D0F29">
            <w:pPr>
              <w:spacing w:before="80" w:after="80" w:line="240" w:lineRule="auto"/>
              <w:ind w:left="34" w:right="284"/>
              <w:rPr>
                <w:rFonts w:ascii="Arial" w:hAnsi="Arial" w:cs="Arial"/>
                <w:sz w:val="20"/>
                <w:szCs w:val="20"/>
              </w:rPr>
            </w:pPr>
            <w:r w:rsidRPr="00D812E2">
              <w:rPr>
                <w:rFonts w:ascii="Arial" w:hAnsi="Arial" w:cs="Arial"/>
                <w:sz w:val="20"/>
                <w:szCs w:val="20"/>
              </w:rPr>
              <w:t xml:space="preserve">Type 1 and Type 2 Road trains, B-triples, AB-triples, ABB and BAB Quads, in </w:t>
            </w:r>
            <w:r w:rsidR="00835CC0" w:rsidRPr="00D812E2">
              <w:rPr>
                <w:rFonts w:ascii="Arial" w:hAnsi="Arial" w:cs="Arial"/>
                <w:sz w:val="20"/>
                <w:szCs w:val="20"/>
              </w:rPr>
              <w:t xml:space="preserve">Qld, </w:t>
            </w:r>
            <w:r w:rsidRPr="00D812E2">
              <w:rPr>
                <w:rFonts w:ascii="Arial" w:hAnsi="Arial" w:cs="Arial"/>
                <w:sz w:val="20"/>
                <w:szCs w:val="20"/>
              </w:rPr>
              <w:t>NT, SA, Tas, Vic, WA</w:t>
            </w:r>
            <w:r w:rsidRPr="00D812E2">
              <w:rPr>
                <w:rFonts w:ascii="Arial" w:hAnsi="Arial" w:cs="Arial"/>
                <w:sz w:val="20"/>
                <w:szCs w:val="20"/>
              </w:rPr>
              <w:br/>
              <w:t>(where these combinations are applicable)</w:t>
            </w:r>
          </w:p>
        </w:tc>
        <w:tc>
          <w:tcPr>
            <w:tcW w:w="4393" w:type="dxa"/>
            <w:shd w:val="clear" w:color="auto" w:fill="C6D9F2"/>
            <w:vAlign w:val="center"/>
          </w:tcPr>
          <w:p w:rsidR="00666802" w:rsidRPr="00D812E2" w:rsidRDefault="00666802" w:rsidP="003D0F29">
            <w:pPr>
              <w:spacing w:after="0" w:line="240" w:lineRule="auto"/>
              <w:ind w:left="284" w:right="284"/>
              <w:rPr>
                <w:rFonts w:ascii="Arial" w:hAnsi="Arial" w:cs="Arial"/>
                <w:sz w:val="20"/>
                <w:szCs w:val="20"/>
              </w:rPr>
            </w:pPr>
            <w:r w:rsidRPr="00D812E2">
              <w:rPr>
                <w:rFonts w:ascii="Arial" w:hAnsi="Arial" w:cs="Arial"/>
                <w:sz w:val="20"/>
                <w:szCs w:val="20"/>
              </w:rPr>
              <w:t>B-triples and AB-triples in NSW</w:t>
            </w:r>
          </w:p>
        </w:tc>
      </w:tr>
    </w:tbl>
    <w:p w:rsidR="00F25014" w:rsidRPr="00D812E2" w:rsidRDefault="00F25014" w:rsidP="00D812E2">
      <w:pPr>
        <w:spacing w:after="0" w:line="300" w:lineRule="atLeast"/>
        <w:rPr>
          <w:rFonts w:ascii="Arial" w:hAnsi="Arial" w:cs="Arial"/>
          <w:lang w:eastAsia="en-US"/>
        </w:rPr>
      </w:pPr>
    </w:p>
    <w:p w:rsidR="00666802" w:rsidRPr="00D812E2" w:rsidRDefault="00666802" w:rsidP="00D812E2">
      <w:pPr>
        <w:spacing w:after="0" w:line="300" w:lineRule="atLeast"/>
        <w:jc w:val="both"/>
        <w:rPr>
          <w:rFonts w:ascii="Arial" w:hAnsi="Arial" w:cs="Arial"/>
          <w:lang w:eastAsia="en-US"/>
        </w:rPr>
      </w:pPr>
      <w:r w:rsidRPr="00D812E2">
        <w:rPr>
          <w:rFonts w:ascii="Arial" w:hAnsi="Arial" w:cs="Arial"/>
          <w:lang w:eastAsia="en-US"/>
        </w:rPr>
        <w:t xml:space="preserve">Vehicles in the first column are at no more risk of travelling off-route as vehicles in the second </w:t>
      </w:r>
      <w:proofErr w:type="gramStart"/>
      <w:r w:rsidRPr="00D812E2">
        <w:rPr>
          <w:rFonts w:ascii="Arial" w:hAnsi="Arial" w:cs="Arial"/>
          <w:lang w:eastAsia="en-US"/>
        </w:rPr>
        <w:t>column,</w:t>
      </w:r>
      <w:proofErr w:type="gramEnd"/>
      <w:r w:rsidRPr="00D812E2">
        <w:rPr>
          <w:rFonts w:ascii="Arial" w:hAnsi="Arial" w:cs="Arial"/>
          <w:lang w:eastAsia="en-US"/>
        </w:rPr>
        <w:t xml:space="preserve"> however, the vehicles in the second column are determined by NSW </w:t>
      </w:r>
      <w:r w:rsidR="00835CC0" w:rsidRPr="00D812E2">
        <w:rPr>
          <w:rFonts w:ascii="Arial" w:hAnsi="Arial" w:cs="Arial"/>
          <w:lang w:eastAsia="en-US"/>
        </w:rPr>
        <w:t xml:space="preserve">(and Qld to a lesser extent) </w:t>
      </w:r>
      <w:r w:rsidRPr="00D812E2">
        <w:rPr>
          <w:rFonts w:ascii="Arial" w:hAnsi="Arial" w:cs="Arial"/>
          <w:lang w:eastAsia="en-US"/>
        </w:rPr>
        <w:t>as being of severe risk of route departure that IAP must be fitted.</w:t>
      </w:r>
    </w:p>
    <w:p w:rsidR="005A5B63" w:rsidRPr="00D812E2" w:rsidRDefault="005A5B63" w:rsidP="00D812E2">
      <w:pPr>
        <w:spacing w:after="0" w:line="300" w:lineRule="atLeast"/>
        <w:jc w:val="both"/>
        <w:rPr>
          <w:rFonts w:ascii="Arial" w:hAnsi="Arial" w:cs="Arial"/>
          <w:lang w:eastAsia="en-US"/>
        </w:rPr>
      </w:pPr>
    </w:p>
    <w:p w:rsidR="00666802" w:rsidRPr="00D812E2" w:rsidRDefault="00666802" w:rsidP="00D812E2">
      <w:pPr>
        <w:spacing w:after="0" w:line="300" w:lineRule="atLeast"/>
        <w:jc w:val="both"/>
        <w:rPr>
          <w:rFonts w:ascii="Arial" w:hAnsi="Arial" w:cs="Arial"/>
          <w:b/>
          <w:i/>
          <w:lang w:eastAsia="en-US"/>
        </w:rPr>
      </w:pPr>
      <w:r w:rsidRPr="00D812E2">
        <w:rPr>
          <w:rFonts w:ascii="Arial" w:hAnsi="Arial" w:cs="Arial"/>
          <w:lang w:eastAsia="en-US"/>
        </w:rPr>
        <w:t>There is no legitimate analysis for this judgment. B-triples and AB-triples are simply safer, modern alternatives to traditional road trains. Combinations at HML carry some additional mass for no additional road wear due to RFS, which is a vehicle requirement to enable HML to be accessed. Bridge effects for HML are the same as bridge effects for GML, and otherwise well managed and maintained bridges have no issue.</w:t>
      </w:r>
    </w:p>
    <w:p w:rsidR="00666802" w:rsidRPr="00D812E2" w:rsidRDefault="00666802" w:rsidP="00D812E2">
      <w:pPr>
        <w:spacing w:after="0" w:line="300" w:lineRule="atLeast"/>
        <w:jc w:val="both"/>
        <w:rPr>
          <w:rFonts w:ascii="Arial" w:hAnsi="Arial" w:cs="Arial"/>
          <w:lang w:eastAsia="en-US"/>
        </w:rPr>
      </w:pPr>
    </w:p>
    <w:p w:rsidR="00CF5A61" w:rsidRPr="00D812E2" w:rsidRDefault="00CF5A61" w:rsidP="00D812E2">
      <w:pPr>
        <w:spacing w:after="0" w:line="300" w:lineRule="atLeast"/>
        <w:jc w:val="both"/>
        <w:rPr>
          <w:rFonts w:ascii="Arial" w:hAnsi="Arial" w:cs="Arial"/>
          <w:lang w:eastAsia="en-US"/>
        </w:rPr>
      </w:pPr>
    </w:p>
    <w:p w:rsidR="00E64EE2" w:rsidRDefault="00E64EE2" w:rsidP="00E64EE2">
      <w:pPr>
        <w:pStyle w:val="Heading1"/>
        <w:rPr>
          <w:sz w:val="24"/>
          <w:szCs w:val="24"/>
        </w:rPr>
      </w:pPr>
      <w:bookmarkStart w:id="14" w:name="_Toc301346298"/>
      <w:bookmarkStart w:id="15" w:name="_Toc301363572"/>
      <w:r>
        <w:rPr>
          <w:sz w:val="24"/>
          <w:szCs w:val="24"/>
        </w:rPr>
        <w:t>Is there a risk?</w:t>
      </w:r>
      <w:bookmarkEnd w:id="14"/>
      <w:bookmarkEnd w:id="15"/>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It must be made very clear that the ATA supports in-vehicle telematics, which can provide major business benefits. IAP, when fitted to vehicles that are high impact and high risk (such as large, very heavy cranes) provides regulators with some administrative assurance that route compliance is being adhered to in high risk situations that would otherwise require onsite supervision to move.</w:t>
      </w:r>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rPr>
      </w:pPr>
      <w:r w:rsidRPr="00D812E2">
        <w:rPr>
          <w:rFonts w:ascii="Arial" w:hAnsi="Arial" w:cs="Arial"/>
        </w:rPr>
        <w:t>Protecting bridges and other sensitive infrastructure is important; it is equally important to identify equipment that creates a significant risk. Certain types of cranes (such as the Demag 250 and the Liebherr 200) do not meet the relevant bridge formula, and are therefore a potential significant risk to bridges. As an example, using the Axle Spacing Mass Schedule calculations, the Liebherr 200 with five axles and weighing around 60 tonnes and axle spacing of 8.44m subsequently breaches the Schedule by almost 60%. It should be noted that by comparison, prescriptive modular combinations comply with the Schedule, and are therefore not a risk to bridge infrastructure.</w:t>
      </w:r>
    </w:p>
    <w:p w:rsidR="00E64EE2" w:rsidRPr="00D812E2" w:rsidRDefault="00E64EE2" w:rsidP="00D812E2">
      <w:pPr>
        <w:spacing w:after="0" w:line="300" w:lineRule="atLeast"/>
        <w:jc w:val="both"/>
        <w:rPr>
          <w:rFonts w:ascii="Arial" w:hAnsi="Arial" w:cs="Arial"/>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The issues arise when jurisdictions claim prescriptive modular combinations are such a high risk to infrastructure that continual monitoring is required. The Truck Impact Chart clearly demonstrates the ESAs for each vehicle combination, being the measure by which impact of a truck on the road is measured.</w:t>
      </w:r>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In the table following, we have sorted the data based on ESAs per 1,000 tonnes, being the least amount of impact through to the most amount of impact to roads. Logically, if IAP is being used as a risk management tool, those vehicles with the most impact would be required to fit IAP, however this is not the case. It is clear from the chart that the unintended outcome of the policy is to penalise efficient vehicles.</w:t>
      </w:r>
    </w:p>
    <w:p w:rsidR="00D812E2" w:rsidRDefault="00D812E2">
      <w:pPr>
        <w:spacing w:after="0" w:line="240" w:lineRule="auto"/>
        <w:rPr>
          <w:rFonts w:ascii="Arial" w:hAnsi="Arial" w:cs="Arial"/>
          <w:lang w:eastAsia="en-US"/>
        </w:rPr>
      </w:pPr>
      <w:r>
        <w:rPr>
          <w:rFonts w:ascii="Arial" w:hAnsi="Arial" w:cs="Arial"/>
          <w:lang w:eastAsia="en-US"/>
        </w:rPr>
        <w:br w:type="page"/>
      </w:r>
    </w:p>
    <w:p w:rsidR="00E64EE2" w:rsidRPr="00D812E2" w:rsidRDefault="00E64EE2" w:rsidP="00D812E2">
      <w:pPr>
        <w:spacing w:after="0" w:line="300" w:lineRule="atLeast"/>
        <w:jc w:val="both"/>
        <w:rPr>
          <w:rFonts w:ascii="Arial" w:hAnsi="Arial" w:cs="Arial"/>
          <w:lang w:eastAsia="en-US"/>
        </w:rPr>
      </w:pPr>
    </w:p>
    <w:tbl>
      <w:tblPr>
        <w:tblW w:w="8895" w:type="dxa"/>
        <w:jc w:val="right"/>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297"/>
        <w:gridCol w:w="1297"/>
        <w:gridCol w:w="1297"/>
        <w:gridCol w:w="1297"/>
        <w:gridCol w:w="1297"/>
      </w:tblGrid>
      <w:tr w:rsidR="00E64EE2" w:rsidRPr="00D812E2" w:rsidTr="00D812E2">
        <w:trPr>
          <w:trHeight w:val="20"/>
          <w:jc w:val="right"/>
        </w:trPr>
        <w:tc>
          <w:tcPr>
            <w:tcW w:w="2410" w:type="dxa"/>
            <w:tcBorders>
              <w:bottom w:val="single" w:sz="4" w:space="0" w:color="auto"/>
            </w:tcBorders>
            <w:shd w:val="clear" w:color="auto" w:fill="auto"/>
            <w:vAlign w:val="center"/>
          </w:tcPr>
          <w:p w:rsidR="00E64EE2" w:rsidRPr="00D812E2" w:rsidRDefault="00435EF3" w:rsidP="00EF57A2">
            <w:pPr>
              <w:spacing w:after="0" w:line="240" w:lineRule="auto"/>
              <w:jc w:val="center"/>
              <w:rPr>
                <w:rFonts w:ascii="Arial" w:hAnsi="Arial" w:cs="Arial"/>
                <w:b/>
                <w:sz w:val="20"/>
                <w:szCs w:val="20"/>
              </w:rPr>
            </w:pPr>
            <w:r w:rsidRPr="00435EF3">
              <w:rPr>
                <w:rFonts w:ascii="Arial" w:hAnsi="Arial" w:cs="Arial"/>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7" type="#_x0000_t67" style="position:absolute;left:0;text-align:left;margin-left:-34.45pt;margin-top:11.65pt;width:24.6pt;height:349.8pt;z-index:251658240"/>
              </w:pict>
            </w:r>
            <w:r w:rsidR="00E64EE2" w:rsidRPr="00D812E2">
              <w:rPr>
                <w:rFonts w:ascii="Arial" w:hAnsi="Arial" w:cs="Arial"/>
                <w:b/>
                <w:sz w:val="20"/>
                <w:szCs w:val="20"/>
              </w:rPr>
              <w:t>Vehicle Type</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GCM</w:t>
            </w:r>
          </w:p>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(tonnes)</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Payload</w:t>
            </w:r>
          </w:p>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(tonnes)</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No Trips per 1000 tonnes</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ESA's per 1000 tonnes</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IAP required?</w:t>
            </w:r>
          </w:p>
        </w:tc>
      </w:tr>
      <w:tr w:rsidR="00E64EE2" w:rsidRPr="00D812E2" w:rsidTr="00D812E2">
        <w:trPr>
          <w:trHeight w:val="396"/>
          <w:jc w:val="right"/>
        </w:trPr>
        <w:tc>
          <w:tcPr>
            <w:tcW w:w="2410" w:type="dxa"/>
            <w:tcBorders>
              <w:bottom w:val="single" w:sz="4" w:space="0" w:color="auto"/>
            </w:tcBorders>
            <w:shd w:val="clear" w:color="auto" w:fill="C6D9F1" w:themeFill="text2" w:themeFillTint="33"/>
            <w:vAlign w:val="center"/>
          </w:tcPr>
          <w:p w:rsidR="00E64EE2" w:rsidRPr="00D812E2" w:rsidRDefault="00D812E2" w:rsidP="00D812E2">
            <w:pPr>
              <w:spacing w:after="0" w:line="240" w:lineRule="auto"/>
              <w:jc w:val="right"/>
              <w:rPr>
                <w:rFonts w:ascii="Arial" w:hAnsi="Arial" w:cs="Arial"/>
                <w:sz w:val="20"/>
                <w:szCs w:val="20"/>
              </w:rPr>
            </w:pPr>
            <w:r>
              <w:rPr>
                <w:rFonts w:ascii="Arial" w:hAnsi="Arial" w:cs="Arial"/>
                <w:noProof/>
                <w:sz w:val="20"/>
                <w:szCs w:val="20"/>
              </w:rPr>
              <w:drawing>
                <wp:anchor distT="0" distB="0" distL="114300" distR="114300" simplePos="0" relativeHeight="251700224" behindDoc="0" locked="0" layoutInCell="1" allowOverlap="1">
                  <wp:simplePos x="0" y="0"/>
                  <wp:positionH relativeFrom="column">
                    <wp:posOffset>-774065</wp:posOffset>
                  </wp:positionH>
                  <wp:positionV relativeFrom="paragraph">
                    <wp:posOffset>-29210</wp:posOffset>
                  </wp:positionV>
                  <wp:extent cx="306705" cy="3967480"/>
                  <wp:effectExtent l="19050" t="0" r="0" b="0"/>
                  <wp:wrapNone/>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06705" cy="3967480"/>
                          </a:xfrm>
                          <a:prstGeom prst="rect">
                            <a:avLst/>
                          </a:prstGeom>
                          <a:noFill/>
                          <a:ln w="9525">
                            <a:noFill/>
                            <a:miter lim="800000"/>
                            <a:headEnd/>
                            <a:tailEnd/>
                          </a:ln>
                        </pic:spPr>
                      </pic:pic>
                    </a:graphicData>
                  </a:graphic>
                </wp:anchor>
              </w:drawing>
            </w:r>
            <w:r w:rsidR="00E64EE2" w:rsidRPr="00D812E2">
              <w:rPr>
                <w:rFonts w:ascii="Arial" w:hAnsi="Arial" w:cs="Arial"/>
                <w:sz w:val="20"/>
                <w:szCs w:val="20"/>
              </w:rPr>
              <w:t xml:space="preserve">BAB-quad </w:t>
            </w:r>
            <w:r w:rsidR="00E64EE2" w:rsidRPr="00D812E2">
              <w:rPr>
                <w:rFonts w:ascii="Arial" w:hAnsi="Arial" w:cs="Arial"/>
                <w:sz w:val="20"/>
                <w:szCs w:val="20"/>
                <w:lang w:val="fr-FR"/>
              </w:rPr>
              <w:t xml:space="preserve">HML </w:t>
            </w:r>
            <w:r w:rsidR="00E64EE2" w:rsidRPr="00D812E2">
              <w:rPr>
                <w:rFonts w:ascii="Arial" w:hAnsi="Arial" w:cs="Arial"/>
                <w:sz w:val="20"/>
                <w:szCs w:val="20"/>
                <w:vertAlign w:val="superscript"/>
                <w:lang w:val="fr-FR"/>
              </w:rPr>
              <w:t>(RFS)</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130.0</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88.37</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12</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149</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 xml:space="preserve">B-triple HML </w:t>
            </w:r>
            <w:r w:rsidRPr="00D812E2">
              <w:rPr>
                <w:rFonts w:ascii="Arial" w:hAnsi="Arial" w:cs="Arial"/>
                <w:sz w:val="20"/>
                <w:szCs w:val="20"/>
                <w:vertAlign w:val="superscript"/>
              </w:rPr>
              <w:t>(RFS)</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90.5</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60.44</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17</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152</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 xml:space="preserve">AB-triple </w:t>
            </w:r>
            <w:r w:rsidRPr="00D812E2">
              <w:rPr>
                <w:rFonts w:ascii="Arial" w:hAnsi="Arial" w:cs="Arial"/>
                <w:sz w:val="20"/>
                <w:szCs w:val="20"/>
                <w:lang w:val="fr-FR"/>
              </w:rPr>
              <w:t xml:space="preserve">HML </w:t>
            </w:r>
            <w:r w:rsidRPr="00D812E2">
              <w:rPr>
                <w:rFonts w:ascii="Arial" w:hAnsi="Arial" w:cs="Arial"/>
                <w:sz w:val="20"/>
                <w:szCs w:val="20"/>
                <w:vertAlign w:val="superscript"/>
                <w:lang w:val="fr-FR"/>
              </w:rPr>
              <w:t>(RFS)</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107.5</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72.70</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14</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154</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tcBorders>
              <w:bottom w:val="single" w:sz="4" w:space="0" w:color="auto"/>
            </w:tcBorders>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BAB-quad GML</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119.0</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77.37</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13</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161</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lang w:val="fr-FR"/>
              </w:rPr>
            </w:pPr>
            <w:r w:rsidRPr="00D812E2">
              <w:rPr>
                <w:rFonts w:ascii="Arial" w:hAnsi="Arial" w:cs="Arial"/>
                <w:sz w:val="20"/>
                <w:szCs w:val="20"/>
                <w:lang w:val="fr-FR"/>
              </w:rPr>
              <w:t xml:space="preserve">Type 2 R/train HML </w:t>
            </w:r>
            <w:r w:rsidRPr="00D812E2">
              <w:rPr>
                <w:rFonts w:ascii="Arial" w:hAnsi="Arial" w:cs="Arial"/>
                <w:sz w:val="20"/>
                <w:szCs w:val="20"/>
                <w:vertAlign w:val="superscript"/>
                <w:lang w:val="fr-FR"/>
              </w:rPr>
              <w:t>(RFS)</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124.5</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80.41</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13</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171</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 xml:space="preserve">B-double HML </w:t>
            </w:r>
            <w:r w:rsidRPr="00D812E2">
              <w:rPr>
                <w:rFonts w:ascii="Arial" w:hAnsi="Arial" w:cs="Arial"/>
                <w:sz w:val="20"/>
                <w:szCs w:val="20"/>
                <w:vertAlign w:val="superscript"/>
              </w:rPr>
              <w:t>(RFS)</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68.0</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44.43</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23</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173</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AB-triple GML</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99.0</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64.20</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16</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176</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B-triple GML</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82.5</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52.44</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20</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178</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lang w:val="fr-FR"/>
              </w:rPr>
            </w:pPr>
            <w:r w:rsidRPr="00D812E2">
              <w:rPr>
                <w:rFonts w:ascii="Arial" w:hAnsi="Arial" w:cs="Arial"/>
                <w:sz w:val="20"/>
                <w:szCs w:val="20"/>
                <w:lang w:val="fr-FR"/>
              </w:rPr>
              <w:t xml:space="preserve">Type 1 R/train HML </w:t>
            </w:r>
            <w:r w:rsidRPr="00D812E2">
              <w:rPr>
                <w:rFonts w:ascii="Arial" w:hAnsi="Arial" w:cs="Arial"/>
                <w:sz w:val="20"/>
                <w:szCs w:val="20"/>
                <w:vertAlign w:val="superscript"/>
                <w:lang w:val="fr-FR"/>
              </w:rPr>
              <w:t>(RFS)</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85.0</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53.77</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19</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183</w:t>
            </w:r>
          </w:p>
        </w:tc>
        <w:tc>
          <w:tcPr>
            <w:tcW w:w="1297" w:type="dxa"/>
            <w:tcBorders>
              <w:bottom w:val="single" w:sz="4" w:space="0" w:color="auto"/>
            </w:tcBorders>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B-double GML</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62.5</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38.93</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26</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195</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r w:rsidR="00E64EE2" w:rsidRPr="00D812E2" w:rsidTr="00D812E2">
        <w:trPr>
          <w:trHeight w:val="396"/>
          <w:jc w:val="right"/>
        </w:trPr>
        <w:tc>
          <w:tcPr>
            <w:tcW w:w="2410" w:type="dxa"/>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Type 2 R/train GML</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115.5</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71.41</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15</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197</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r w:rsidR="00E64EE2" w:rsidRPr="00D812E2" w:rsidTr="00D812E2">
        <w:trPr>
          <w:trHeight w:val="396"/>
          <w:jc w:val="right"/>
        </w:trPr>
        <w:tc>
          <w:tcPr>
            <w:tcW w:w="2410" w:type="dxa"/>
            <w:tcBorders>
              <w:bottom w:val="single" w:sz="4" w:space="0" w:color="auto"/>
            </w:tcBorders>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Type 1 R/train GML</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79.0</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47.77</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21</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202</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r w:rsidR="00E64EE2" w:rsidRPr="00D812E2" w:rsidTr="00D812E2">
        <w:trPr>
          <w:trHeight w:val="396"/>
          <w:jc w:val="right"/>
        </w:trPr>
        <w:tc>
          <w:tcPr>
            <w:tcW w:w="2410" w:type="dxa"/>
            <w:shd w:val="clear" w:color="auto" w:fill="C6D9F1" w:themeFill="text2" w:themeFillTint="33"/>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 xml:space="preserve">Six Axle Artic HML </w:t>
            </w:r>
            <w:r w:rsidRPr="00D812E2">
              <w:rPr>
                <w:rFonts w:ascii="Arial" w:hAnsi="Arial" w:cs="Arial"/>
                <w:sz w:val="20"/>
                <w:szCs w:val="20"/>
                <w:vertAlign w:val="superscript"/>
              </w:rPr>
              <w:t>(RFS)</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45.5</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27.13</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37</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226</w:t>
            </w:r>
          </w:p>
        </w:tc>
        <w:tc>
          <w:tcPr>
            <w:tcW w:w="1297" w:type="dxa"/>
            <w:shd w:val="clear" w:color="auto" w:fill="C6D9F1" w:themeFill="text2" w:themeFillTint="33"/>
            <w:vAlign w:val="center"/>
          </w:tcPr>
          <w:p w:rsidR="00E64EE2" w:rsidRPr="00D812E2" w:rsidRDefault="00E64EE2" w:rsidP="00EF57A2">
            <w:pPr>
              <w:spacing w:after="0" w:line="240" w:lineRule="auto"/>
              <w:jc w:val="center"/>
              <w:rPr>
                <w:rFonts w:ascii="Arial" w:hAnsi="Arial" w:cs="Arial"/>
                <w:b/>
                <w:sz w:val="20"/>
                <w:szCs w:val="20"/>
              </w:rPr>
            </w:pPr>
            <w:r w:rsidRPr="00D812E2">
              <w:rPr>
                <w:rFonts w:ascii="Arial" w:hAnsi="Arial" w:cs="Arial"/>
                <w:b/>
                <w:sz w:val="20"/>
                <w:szCs w:val="20"/>
              </w:rPr>
              <w:t>YES</w:t>
            </w:r>
          </w:p>
        </w:tc>
      </w:tr>
      <w:tr w:rsidR="00E64EE2" w:rsidRPr="00D812E2" w:rsidTr="00D812E2">
        <w:trPr>
          <w:trHeight w:val="396"/>
          <w:jc w:val="right"/>
        </w:trPr>
        <w:tc>
          <w:tcPr>
            <w:tcW w:w="2410" w:type="dxa"/>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Six Axle Artic GML</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42.5</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24.13</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42</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257</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r w:rsidR="00E64EE2" w:rsidRPr="00D812E2" w:rsidTr="00D812E2">
        <w:trPr>
          <w:trHeight w:val="396"/>
          <w:jc w:val="right"/>
        </w:trPr>
        <w:tc>
          <w:tcPr>
            <w:tcW w:w="2410" w:type="dxa"/>
            <w:tcBorders>
              <w:bottom w:val="single" w:sz="4" w:space="0" w:color="auto"/>
            </w:tcBorders>
            <w:shd w:val="clear" w:color="auto" w:fill="auto"/>
            <w:vAlign w:val="center"/>
          </w:tcPr>
          <w:p w:rsidR="00E64EE2" w:rsidRPr="00D812E2" w:rsidRDefault="00E64EE2" w:rsidP="00EF57A2">
            <w:pPr>
              <w:spacing w:after="0" w:line="240" w:lineRule="auto"/>
              <w:jc w:val="right"/>
              <w:rPr>
                <w:rFonts w:ascii="Arial" w:hAnsi="Arial" w:cs="Arial"/>
                <w:bCs/>
                <w:sz w:val="20"/>
                <w:szCs w:val="20"/>
              </w:rPr>
            </w:pPr>
            <w:r w:rsidRPr="00D812E2">
              <w:rPr>
                <w:rFonts w:ascii="Arial" w:hAnsi="Arial" w:cs="Arial"/>
                <w:bCs/>
                <w:sz w:val="20"/>
                <w:szCs w:val="20"/>
              </w:rPr>
              <w:t>Three Axle Rigid GML</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Cs/>
                <w:sz w:val="20"/>
                <w:szCs w:val="20"/>
              </w:rPr>
            </w:pPr>
            <w:r w:rsidRPr="00D812E2">
              <w:rPr>
                <w:rFonts w:ascii="Arial" w:hAnsi="Arial" w:cs="Arial"/>
                <w:bCs/>
                <w:sz w:val="20"/>
                <w:szCs w:val="20"/>
              </w:rPr>
              <w:t>22.5</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Cs/>
                <w:sz w:val="20"/>
                <w:szCs w:val="20"/>
              </w:rPr>
            </w:pPr>
            <w:r w:rsidRPr="00D812E2">
              <w:rPr>
                <w:rFonts w:ascii="Arial" w:hAnsi="Arial" w:cs="Arial"/>
                <w:bCs/>
                <w:sz w:val="20"/>
                <w:szCs w:val="20"/>
              </w:rPr>
              <w:t>13.12</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Cs/>
                <w:sz w:val="20"/>
                <w:szCs w:val="20"/>
              </w:rPr>
            </w:pPr>
            <w:r w:rsidRPr="00D812E2">
              <w:rPr>
                <w:rFonts w:ascii="Arial" w:hAnsi="Arial" w:cs="Arial"/>
                <w:bCs/>
                <w:sz w:val="20"/>
                <w:szCs w:val="20"/>
              </w:rPr>
              <w:t>77</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Cs/>
                <w:sz w:val="20"/>
                <w:szCs w:val="20"/>
              </w:rPr>
            </w:pPr>
            <w:r w:rsidRPr="00D812E2">
              <w:rPr>
                <w:rFonts w:ascii="Arial" w:hAnsi="Arial" w:cs="Arial"/>
                <w:bCs/>
                <w:sz w:val="20"/>
                <w:szCs w:val="20"/>
              </w:rPr>
              <w:t>316</w:t>
            </w:r>
          </w:p>
        </w:tc>
        <w:tc>
          <w:tcPr>
            <w:tcW w:w="1297" w:type="dxa"/>
            <w:tcBorders>
              <w:bottom w:val="single" w:sz="4" w:space="0" w:color="auto"/>
            </w:tcBorders>
            <w:shd w:val="clear" w:color="auto" w:fill="auto"/>
            <w:vAlign w:val="center"/>
          </w:tcPr>
          <w:p w:rsidR="00E64EE2" w:rsidRPr="00D812E2" w:rsidRDefault="00E64EE2" w:rsidP="00EF57A2">
            <w:pPr>
              <w:spacing w:after="0" w:line="240" w:lineRule="auto"/>
              <w:jc w:val="center"/>
              <w:rPr>
                <w:rFonts w:ascii="Arial" w:hAnsi="Arial" w:cs="Arial"/>
                <w:bCs/>
                <w:sz w:val="20"/>
                <w:szCs w:val="20"/>
              </w:rPr>
            </w:pPr>
            <w:r w:rsidRPr="00D812E2">
              <w:rPr>
                <w:rFonts w:ascii="Arial" w:hAnsi="Arial" w:cs="Arial"/>
                <w:bCs/>
                <w:sz w:val="20"/>
                <w:szCs w:val="20"/>
              </w:rPr>
              <w:t>NO</w:t>
            </w:r>
          </w:p>
        </w:tc>
      </w:tr>
      <w:tr w:rsidR="00E64EE2" w:rsidRPr="00D812E2" w:rsidTr="00D812E2">
        <w:trPr>
          <w:trHeight w:val="396"/>
          <w:jc w:val="right"/>
        </w:trPr>
        <w:tc>
          <w:tcPr>
            <w:tcW w:w="2410" w:type="dxa"/>
            <w:shd w:val="clear" w:color="auto" w:fill="auto"/>
            <w:vAlign w:val="center"/>
          </w:tcPr>
          <w:p w:rsidR="00E64EE2" w:rsidRPr="00D812E2" w:rsidRDefault="00E64EE2" w:rsidP="00EF57A2">
            <w:pPr>
              <w:spacing w:after="0" w:line="240" w:lineRule="auto"/>
              <w:jc w:val="right"/>
              <w:rPr>
                <w:rFonts w:ascii="Arial" w:hAnsi="Arial" w:cs="Arial"/>
                <w:sz w:val="20"/>
                <w:szCs w:val="20"/>
              </w:rPr>
            </w:pPr>
            <w:r w:rsidRPr="00D812E2">
              <w:rPr>
                <w:rFonts w:ascii="Arial" w:hAnsi="Arial" w:cs="Arial"/>
                <w:sz w:val="20"/>
                <w:szCs w:val="20"/>
              </w:rPr>
              <w:t>Two Axle Rigid GML</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15.0</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7.00</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143</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490</w:t>
            </w:r>
          </w:p>
        </w:tc>
        <w:tc>
          <w:tcPr>
            <w:tcW w:w="1297" w:type="dxa"/>
            <w:shd w:val="clear" w:color="auto" w:fill="auto"/>
            <w:vAlign w:val="center"/>
          </w:tcPr>
          <w:p w:rsidR="00E64EE2" w:rsidRPr="00D812E2" w:rsidRDefault="00E64EE2" w:rsidP="00EF57A2">
            <w:pPr>
              <w:spacing w:after="0" w:line="240" w:lineRule="auto"/>
              <w:jc w:val="center"/>
              <w:rPr>
                <w:rFonts w:ascii="Arial" w:hAnsi="Arial" w:cs="Arial"/>
                <w:sz w:val="20"/>
                <w:szCs w:val="20"/>
              </w:rPr>
            </w:pPr>
            <w:r w:rsidRPr="00D812E2">
              <w:rPr>
                <w:rFonts w:ascii="Arial" w:hAnsi="Arial" w:cs="Arial"/>
                <w:sz w:val="20"/>
                <w:szCs w:val="20"/>
              </w:rPr>
              <w:t>NO</w:t>
            </w:r>
          </w:p>
        </w:tc>
      </w:tr>
    </w:tbl>
    <w:p w:rsidR="00D812E2" w:rsidRPr="00D812E2" w:rsidRDefault="00D812E2" w:rsidP="00D812E2">
      <w:pPr>
        <w:spacing w:after="0" w:line="300" w:lineRule="atLeast"/>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While it is true that road trains are restricted to where they can travel, as can be seen by the numerous road train routes around Australia, it should be remembered there is no “fence” keeping drivers of road trains on these particular routes. Agencies rely purely on their enforcement personnel to manage this compliance. NSW have come to a conclusion that IAP must be fitted to modern prescriptive modular vehicles. Remember, as demonstrated above, these are vehicles do less damage to roads, are safer, and more productive. Where is the risk?</w:t>
      </w:r>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p>
    <w:p w:rsidR="00E64EE2" w:rsidRPr="00E761DA" w:rsidRDefault="00E64EE2" w:rsidP="00E64EE2">
      <w:pPr>
        <w:pStyle w:val="Heading1"/>
        <w:rPr>
          <w:sz w:val="24"/>
          <w:szCs w:val="24"/>
        </w:rPr>
      </w:pPr>
      <w:bookmarkStart w:id="16" w:name="_Toc301346299"/>
      <w:bookmarkStart w:id="17" w:name="_Toc301363573"/>
      <w:r>
        <w:rPr>
          <w:sz w:val="24"/>
          <w:szCs w:val="24"/>
        </w:rPr>
        <w:t>Costs and accuracy of IAP</w:t>
      </w:r>
      <w:bookmarkEnd w:id="16"/>
      <w:bookmarkEnd w:id="17"/>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When NSW first advised the industry that it would be moving to implement IAP for HML, operators were required to pre-enrol in the IAP, thus allowing them to access HML until the full implementation of IAP took place. During that period, over 3,000 vehicles became pre-enrolled. Recent comments made by NSW and QLD agency staff indicate only some 500 vehicles are using IAP, a significant shortfall in the numbers expected to take up the technology.</w:t>
      </w:r>
    </w:p>
    <w:p w:rsidR="00E64EE2" w:rsidRPr="00D812E2" w:rsidRDefault="00E64EE2" w:rsidP="00D812E2">
      <w:pPr>
        <w:spacing w:after="0" w:line="300" w:lineRule="atLeast"/>
        <w:jc w:val="both"/>
        <w:rPr>
          <w:rFonts w:ascii="Arial" w:hAnsi="Arial" w:cs="Arial"/>
          <w:lang w:eastAsia="en-US"/>
        </w:rPr>
      </w:pPr>
    </w:p>
    <w:p w:rsidR="00D812E2" w:rsidRDefault="00E64EE2" w:rsidP="00D812E2">
      <w:pPr>
        <w:spacing w:after="0" w:line="300" w:lineRule="atLeast"/>
        <w:jc w:val="both"/>
        <w:rPr>
          <w:rFonts w:ascii="Arial" w:hAnsi="Arial" w:cs="Arial"/>
          <w:lang w:eastAsia="en-US"/>
        </w:rPr>
      </w:pPr>
      <w:r w:rsidRPr="00D812E2">
        <w:rPr>
          <w:rFonts w:ascii="Arial" w:hAnsi="Arial" w:cs="Arial"/>
          <w:lang w:eastAsia="en-US"/>
        </w:rPr>
        <w:t>Agency monitoring costs are high. Assuming 3 agency staff within a jurisdiction to monitor these 500 vehicles, with a salary cost to approximately $70,000 per annum, the cost is $210,000 per annum to monitor 500 vehicles. Operators are required to spend up to $1700 per unit to install IAP, with ongoing monthly costs of $174, and an annual hardware inspection fee of $250. A properly conducted cost benefit analysis would identify that the costs to both government and operator far outweigh any supposed benefit. At this stage, the ATA is unaware of any cost benefit analysis being conducted by the previous NSW government.</w:t>
      </w:r>
      <w:r w:rsidR="00D812E2">
        <w:rPr>
          <w:rFonts w:ascii="Arial" w:hAnsi="Arial" w:cs="Arial"/>
          <w:lang w:eastAsia="en-US"/>
        </w:rPr>
        <w:br w:type="page"/>
      </w: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lastRenderedPageBreak/>
        <w:t xml:space="preserve">In the NTC’s report </w:t>
      </w:r>
      <w:r w:rsidRPr="00D812E2">
        <w:rPr>
          <w:rFonts w:ascii="Arial" w:hAnsi="Arial" w:cs="Arial"/>
          <w:i/>
          <w:lang w:eastAsia="en-US"/>
        </w:rPr>
        <w:t>Modular road freight vehicles: A national framework for B-triple operations</w:t>
      </w:r>
      <w:r w:rsidRPr="00D812E2">
        <w:rPr>
          <w:rFonts w:ascii="Arial" w:hAnsi="Arial" w:cs="Arial"/>
          <w:lang w:eastAsia="en-US"/>
        </w:rPr>
        <w:t xml:space="preserve"> Craig Day from Days Transport, Narrandera is quoted as follows:</w:t>
      </w:r>
    </w:p>
    <w:p w:rsidR="00E64EE2" w:rsidRPr="00D812E2" w:rsidRDefault="00E64EE2" w:rsidP="00D812E2">
      <w:pPr>
        <w:spacing w:after="0" w:line="300" w:lineRule="atLeast"/>
        <w:jc w:val="both"/>
        <w:rPr>
          <w:rFonts w:ascii="Arial" w:hAnsi="Arial" w:cs="Arial"/>
        </w:rPr>
      </w:pPr>
    </w:p>
    <w:p w:rsidR="00E64EE2" w:rsidRPr="00D812E2" w:rsidRDefault="00E64EE2" w:rsidP="00D812E2">
      <w:pPr>
        <w:spacing w:after="0" w:line="300" w:lineRule="atLeast"/>
        <w:ind w:left="567" w:right="567"/>
        <w:jc w:val="both"/>
        <w:rPr>
          <w:rFonts w:ascii="Arial" w:hAnsi="Arial" w:cs="Arial"/>
          <w:i/>
        </w:rPr>
      </w:pPr>
      <w:r w:rsidRPr="00D812E2">
        <w:rPr>
          <w:rFonts w:ascii="Arial" w:hAnsi="Arial" w:cs="Arial"/>
          <w:i/>
        </w:rPr>
        <w:t>B-triples would allow me to haul more freight while using less fuel, less labour, less emissions; they’re a more productive vehicle, and they’re a safer vehicle too, meaning less damage to the freight, and it gives me peace of mind for my drivers.</w:t>
      </w:r>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Mr Day would happily utilise B-triples if IAP was not a requirement; however, the cost to administer the system is simply prohibitive for most operators.</w:t>
      </w:r>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The accuracy of the information provided by the IAP must also be questioned when, in Appendix A - Non-RIS Items, Part 7 Intelligent Access Program, item 10, referring to Model Clauses 17(1), 32(1) and 41(1) of the draft Heavy Vehicle National Law (HVNL) it states:</w:t>
      </w:r>
    </w:p>
    <w:p w:rsidR="00E64EE2" w:rsidRPr="00D812E2" w:rsidRDefault="00E64EE2" w:rsidP="00D812E2">
      <w:pPr>
        <w:spacing w:after="0" w:line="300" w:lineRule="atLeast"/>
        <w:jc w:val="both"/>
        <w:rPr>
          <w:rFonts w:ascii="Arial"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217"/>
      </w:tblGrid>
      <w:tr w:rsidR="00E64EE2" w:rsidRPr="00D812E2" w:rsidTr="00D812E2">
        <w:trPr>
          <w:trHeight w:val="2033"/>
        </w:trPr>
        <w:tc>
          <w:tcPr>
            <w:tcW w:w="5637" w:type="dxa"/>
            <w:vAlign w:val="center"/>
          </w:tcPr>
          <w:p w:rsidR="00E64EE2" w:rsidRPr="00D812E2" w:rsidRDefault="00E64EE2" w:rsidP="00EF57A2">
            <w:pPr>
              <w:spacing w:after="0" w:line="240" w:lineRule="atLeast"/>
              <w:ind w:left="113" w:right="113"/>
              <w:rPr>
                <w:rFonts w:ascii="Arial" w:hAnsi="Arial" w:cs="Arial"/>
                <w:sz w:val="20"/>
                <w:szCs w:val="20"/>
                <w:lang w:eastAsia="en-US"/>
              </w:rPr>
            </w:pPr>
            <w:r w:rsidRPr="00D812E2">
              <w:rPr>
                <w:rFonts w:ascii="Arial" w:hAnsi="Arial" w:cs="Arial"/>
                <w:sz w:val="20"/>
                <w:szCs w:val="20"/>
                <w:u w:val="single"/>
                <w:lang w:eastAsia="en-US"/>
              </w:rPr>
              <w:t>Ensure information is accurate, up-to-date and complete</w:t>
            </w:r>
          </w:p>
          <w:p w:rsidR="00E64EE2" w:rsidRDefault="00E64EE2" w:rsidP="00EF57A2">
            <w:pPr>
              <w:spacing w:after="0" w:line="240" w:lineRule="atLeast"/>
              <w:ind w:left="113" w:right="113"/>
              <w:rPr>
                <w:rFonts w:ascii="Arial" w:hAnsi="Arial" w:cs="Arial"/>
                <w:sz w:val="20"/>
                <w:szCs w:val="20"/>
                <w:lang w:eastAsia="en-US"/>
              </w:rPr>
            </w:pPr>
            <w:r w:rsidRPr="00D812E2">
              <w:rPr>
                <w:rFonts w:ascii="Arial" w:hAnsi="Arial" w:cs="Arial"/>
                <w:sz w:val="20"/>
                <w:szCs w:val="20"/>
                <w:lang w:eastAsia="en-US"/>
              </w:rPr>
              <w:t>The model law provides that a service provider, TCA and IAP auditors must take reasonable steps to ensure IAP information is accurate, up-to-date and complete.</w:t>
            </w:r>
          </w:p>
          <w:p w:rsidR="00D812E2" w:rsidRPr="00D812E2" w:rsidRDefault="00D812E2" w:rsidP="00EF57A2">
            <w:pPr>
              <w:spacing w:after="0" w:line="240" w:lineRule="atLeast"/>
              <w:ind w:left="113" w:right="113"/>
              <w:rPr>
                <w:rFonts w:ascii="Arial" w:hAnsi="Arial" w:cs="Arial"/>
                <w:sz w:val="20"/>
                <w:szCs w:val="20"/>
                <w:lang w:eastAsia="en-US"/>
              </w:rPr>
            </w:pPr>
          </w:p>
          <w:p w:rsidR="00E64EE2" w:rsidRPr="00D812E2" w:rsidRDefault="00E64EE2" w:rsidP="00EF57A2">
            <w:pPr>
              <w:spacing w:after="0" w:line="240" w:lineRule="atLeast"/>
              <w:ind w:left="113" w:right="113"/>
              <w:rPr>
                <w:rFonts w:ascii="Arial" w:hAnsi="Arial" w:cs="Arial"/>
                <w:sz w:val="20"/>
                <w:szCs w:val="20"/>
                <w:lang w:eastAsia="en-US"/>
              </w:rPr>
            </w:pPr>
            <w:r w:rsidRPr="00D812E2">
              <w:rPr>
                <w:rFonts w:ascii="Arial" w:hAnsi="Arial" w:cs="Arial"/>
                <w:sz w:val="20"/>
                <w:szCs w:val="20"/>
                <w:lang w:eastAsia="en-US"/>
              </w:rPr>
              <w:t>One jurisdiction has also required that the information not be misleading.</w:t>
            </w:r>
          </w:p>
        </w:tc>
        <w:tc>
          <w:tcPr>
            <w:tcW w:w="4217" w:type="dxa"/>
            <w:vAlign w:val="center"/>
          </w:tcPr>
          <w:p w:rsidR="00E64EE2" w:rsidRPr="00D812E2" w:rsidRDefault="00E64EE2" w:rsidP="00EF57A2">
            <w:pPr>
              <w:spacing w:after="0" w:line="240" w:lineRule="atLeast"/>
              <w:ind w:left="113" w:right="113"/>
              <w:rPr>
                <w:rFonts w:ascii="Arial" w:hAnsi="Arial" w:cs="Arial"/>
                <w:sz w:val="20"/>
                <w:szCs w:val="20"/>
                <w:lang w:eastAsia="en-US"/>
              </w:rPr>
            </w:pPr>
            <w:r w:rsidRPr="00D812E2">
              <w:rPr>
                <w:rFonts w:ascii="Arial" w:hAnsi="Arial" w:cs="Arial"/>
                <w:sz w:val="20"/>
                <w:szCs w:val="20"/>
                <w:lang w:eastAsia="en-US"/>
              </w:rPr>
              <w:t>It should be noted that, as IAP information is generally automatically generated, requiring it not to be misleading imposes an obligation that may not be possible to satisfy.</w:t>
            </w:r>
          </w:p>
        </w:tc>
      </w:tr>
    </w:tbl>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lang w:eastAsia="en-US"/>
        </w:rPr>
      </w:pPr>
      <w:r w:rsidRPr="00D812E2">
        <w:rPr>
          <w:rFonts w:ascii="Arial" w:hAnsi="Arial" w:cs="Arial"/>
          <w:lang w:eastAsia="en-US"/>
        </w:rPr>
        <w:t>As the information captured by the IAP may be misleading, uncertainties arise surrounding the legitimacy and value of the information being captured. Operators who have fitted IAP for commercial gain have reported receiving upwards of 1,500 non-conformance reports per vehicle per month, but that no non-conformance existed, so the reports were incorrect. Some of these may be explained where a driver took the vehicle into a parking bay or service centre, which is not recognised as an approved route by the IAP (even though such actions are compliant), and therefore the device returns a non-conformance report. This negates any perceived commercial gain due to the sizeable administrative task required to respond to the non-conformance reports.</w:t>
      </w:r>
    </w:p>
    <w:p w:rsidR="00F25014" w:rsidRPr="00D812E2" w:rsidRDefault="00F25014" w:rsidP="00D812E2">
      <w:pPr>
        <w:spacing w:after="0" w:line="300" w:lineRule="atLeast"/>
        <w:rPr>
          <w:rFonts w:ascii="Arial" w:hAnsi="Arial" w:cs="Arial"/>
          <w:lang w:eastAsia="en-US"/>
        </w:rPr>
      </w:pPr>
    </w:p>
    <w:p w:rsidR="00D812E2" w:rsidRPr="00D812E2" w:rsidRDefault="00D812E2" w:rsidP="00D812E2">
      <w:pPr>
        <w:spacing w:after="0" w:line="300" w:lineRule="atLeast"/>
        <w:rPr>
          <w:rFonts w:ascii="Arial" w:hAnsi="Arial" w:cs="Arial"/>
          <w:lang w:eastAsia="en-US"/>
        </w:rPr>
      </w:pPr>
    </w:p>
    <w:p w:rsidR="00F25014" w:rsidRPr="00E761DA" w:rsidRDefault="00F25014" w:rsidP="00F25014">
      <w:pPr>
        <w:pStyle w:val="Heading1"/>
        <w:rPr>
          <w:sz w:val="24"/>
          <w:szCs w:val="24"/>
        </w:rPr>
      </w:pPr>
      <w:bookmarkStart w:id="18" w:name="_Toc301346300"/>
      <w:bookmarkStart w:id="19" w:name="_Toc301363574"/>
      <w:r>
        <w:rPr>
          <w:sz w:val="24"/>
          <w:szCs w:val="24"/>
        </w:rPr>
        <w:t>Non-direct costs of IAP</w:t>
      </w:r>
      <w:bookmarkEnd w:id="18"/>
      <w:bookmarkEnd w:id="19"/>
    </w:p>
    <w:p w:rsidR="00E64EE2" w:rsidRPr="00D812E2" w:rsidRDefault="00E64EE2" w:rsidP="00D812E2">
      <w:pPr>
        <w:spacing w:after="0" w:line="300" w:lineRule="atLeast"/>
        <w:jc w:val="both"/>
        <w:rPr>
          <w:rFonts w:ascii="Arial" w:hAnsi="Arial" w:cs="Arial"/>
          <w:lang w:eastAsia="en-US"/>
        </w:rPr>
      </w:pPr>
    </w:p>
    <w:p w:rsidR="00E64EE2" w:rsidRPr="00D812E2" w:rsidRDefault="00E64EE2" w:rsidP="00D812E2">
      <w:pPr>
        <w:spacing w:after="0" w:line="300" w:lineRule="atLeast"/>
        <w:jc w:val="both"/>
        <w:rPr>
          <w:rFonts w:ascii="Arial" w:hAnsi="Arial" w:cs="Arial"/>
        </w:rPr>
      </w:pPr>
      <w:r w:rsidRPr="00D812E2">
        <w:rPr>
          <w:rFonts w:ascii="Arial" w:hAnsi="Arial" w:cs="Arial"/>
        </w:rPr>
        <w:t>Another area that the previous NSW government appear to have miss</w:t>
      </w:r>
      <w:r w:rsidR="00B900E9" w:rsidRPr="00D812E2">
        <w:rPr>
          <w:rFonts w:ascii="Arial" w:hAnsi="Arial" w:cs="Arial"/>
        </w:rPr>
        <w:t>ed</w:t>
      </w:r>
      <w:r w:rsidRPr="00D812E2">
        <w:rPr>
          <w:rFonts w:ascii="Arial" w:hAnsi="Arial" w:cs="Arial"/>
        </w:rPr>
        <w:t xml:space="preserve"> is the significant economic losses and loss of safety benefits. Looking at an example of vehicles in the Truck Impact Chart, and considering fuel use and emissions, it is obvious that prescriptive modular combinations have a significant environmental advantage.</w:t>
      </w:r>
    </w:p>
    <w:p w:rsidR="005773DF" w:rsidRPr="00D812E2" w:rsidRDefault="005773DF" w:rsidP="005773DF">
      <w:pPr>
        <w:spacing w:after="0" w:line="300" w:lineRule="atLeast"/>
        <w:jc w:val="both"/>
        <w:rPr>
          <w:rFonts w:ascii="Arial" w:hAnsi="Arial" w:cs="Arial"/>
          <w:lang w:eastAsia="en-US"/>
        </w:rPr>
      </w:pPr>
    </w:p>
    <w:p w:rsidR="005773DF" w:rsidRPr="00D812E2" w:rsidRDefault="005773DF" w:rsidP="005773DF">
      <w:pPr>
        <w:spacing w:after="0" w:line="300" w:lineRule="atLeast"/>
        <w:jc w:val="both"/>
        <w:rPr>
          <w:rFonts w:ascii="Arial" w:hAnsi="Arial" w:cs="Arial"/>
          <w:lang w:eastAsia="en-US"/>
        </w:rPr>
      </w:pPr>
      <w:r w:rsidRPr="00D812E2">
        <w:rPr>
          <w:rFonts w:ascii="Arial" w:hAnsi="Arial" w:cs="Arial"/>
          <w:lang w:eastAsia="en-US"/>
        </w:rPr>
        <w:t>Comparing the same combination, it is clear that a B-double at HML uses 2,340 litres less fuel than a B-double at GML, and takes 3 trips less to move the same amount of freight.</w:t>
      </w:r>
    </w:p>
    <w:p w:rsidR="005773DF" w:rsidRPr="00D812E2" w:rsidRDefault="005773DF" w:rsidP="005773DF">
      <w:pPr>
        <w:spacing w:after="0" w:line="300" w:lineRule="atLeast"/>
        <w:jc w:val="both"/>
        <w:rPr>
          <w:rFonts w:ascii="Arial" w:hAnsi="Arial" w:cs="Arial"/>
          <w:lang w:eastAsia="en-US"/>
        </w:rPr>
      </w:pPr>
    </w:p>
    <w:p w:rsidR="005773DF" w:rsidRPr="00D812E2" w:rsidRDefault="005773DF" w:rsidP="005773DF">
      <w:pPr>
        <w:spacing w:after="0" w:line="300" w:lineRule="atLeast"/>
        <w:jc w:val="both"/>
        <w:rPr>
          <w:rFonts w:ascii="Arial" w:hAnsi="Arial" w:cs="Arial"/>
        </w:rPr>
      </w:pPr>
      <w:r w:rsidRPr="00D812E2">
        <w:rPr>
          <w:rFonts w:ascii="Arial" w:hAnsi="Arial" w:cs="Arial"/>
        </w:rPr>
        <w:t xml:space="preserve">It should also be noted that a B-triple at GML uses 12,280 litres less fuel than a semi-trailer combination, and takes 22 less trips to move the same amount of freight. That’s 22 </w:t>
      </w:r>
      <w:r w:rsidRPr="00D812E2">
        <w:rPr>
          <w:rFonts w:ascii="Arial" w:hAnsi="Arial" w:cs="Arial"/>
          <w:u w:val="single"/>
        </w:rPr>
        <w:t>less</w:t>
      </w:r>
      <w:r w:rsidRPr="00D812E2">
        <w:rPr>
          <w:rFonts w:ascii="Arial" w:hAnsi="Arial" w:cs="Arial"/>
        </w:rPr>
        <w:t xml:space="preserve"> semi-trailers on the road, which over a 12 month period drastically reduces the risk and likelihood of a road accident.</w:t>
      </w:r>
    </w:p>
    <w:p w:rsidR="005773DF" w:rsidRDefault="005773DF">
      <w:pPr>
        <w:spacing w:after="0" w:line="240" w:lineRule="auto"/>
        <w:rPr>
          <w:rFonts w:ascii="Arial" w:hAnsi="Arial" w:cs="Arial"/>
        </w:rPr>
      </w:pPr>
      <w:r>
        <w:rPr>
          <w:rFonts w:ascii="Arial" w:hAnsi="Arial" w:cs="Arial"/>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127"/>
        <w:gridCol w:w="2409"/>
        <w:gridCol w:w="2160"/>
      </w:tblGrid>
      <w:tr w:rsidR="00E64EE2" w:rsidRPr="005773DF" w:rsidTr="00EF57A2">
        <w:trPr>
          <w:trHeight w:val="374"/>
        </w:trPr>
        <w:tc>
          <w:tcPr>
            <w:tcW w:w="2943" w:type="dxa"/>
            <w:vAlign w:val="center"/>
          </w:tcPr>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lastRenderedPageBreak/>
              <w:t>Vehicle</w:t>
            </w:r>
          </w:p>
        </w:tc>
        <w:tc>
          <w:tcPr>
            <w:tcW w:w="2127" w:type="dxa"/>
            <w:vAlign w:val="center"/>
          </w:tcPr>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t>No trips per</w:t>
            </w:r>
          </w:p>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t>1,000 tonnes</w:t>
            </w:r>
          </w:p>
        </w:tc>
        <w:tc>
          <w:tcPr>
            <w:tcW w:w="2409" w:type="dxa"/>
            <w:vAlign w:val="center"/>
          </w:tcPr>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t>Litres of Fuel used per</w:t>
            </w:r>
          </w:p>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t>1,000 tonnes lead*</w:t>
            </w:r>
          </w:p>
        </w:tc>
        <w:tc>
          <w:tcPr>
            <w:tcW w:w="2160" w:type="dxa"/>
            <w:vAlign w:val="center"/>
          </w:tcPr>
          <w:p w:rsidR="00E64EE2" w:rsidRPr="005773DF" w:rsidRDefault="00E64EE2" w:rsidP="00EF57A2">
            <w:pPr>
              <w:spacing w:after="0" w:line="240" w:lineRule="auto"/>
              <w:jc w:val="center"/>
              <w:rPr>
                <w:rFonts w:ascii="Arial" w:hAnsi="Arial" w:cs="Arial"/>
                <w:b/>
                <w:sz w:val="20"/>
                <w:szCs w:val="20"/>
              </w:rPr>
            </w:pPr>
            <w:r w:rsidRPr="005773DF">
              <w:rPr>
                <w:rFonts w:ascii="Arial" w:hAnsi="Arial" w:cs="Arial"/>
                <w:b/>
                <w:sz w:val="20"/>
                <w:szCs w:val="20"/>
              </w:rPr>
              <w:t>Emissions</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Six Axle Artic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42</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39,480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92%</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 xml:space="preserve">Six Axle Artic HML </w:t>
            </w:r>
            <w:r w:rsidRPr="005773DF">
              <w:rPr>
                <w:rFonts w:ascii="Arial" w:hAnsi="Arial" w:cs="Arial"/>
                <w:sz w:val="20"/>
                <w:szCs w:val="20"/>
                <w:vertAlign w:val="superscript"/>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37</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37,000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86%</w:t>
            </w:r>
          </w:p>
        </w:tc>
      </w:tr>
      <w:tr w:rsidR="00E64EE2" w:rsidRPr="005773DF" w:rsidTr="00C75B7B">
        <w:trPr>
          <w:trHeight w:val="330"/>
        </w:trPr>
        <w:tc>
          <w:tcPr>
            <w:tcW w:w="2943" w:type="dxa"/>
            <w:shd w:val="clear" w:color="auto" w:fill="C6D9F1"/>
            <w:vAlign w:val="center"/>
          </w:tcPr>
          <w:p w:rsidR="00E64EE2" w:rsidRPr="005773DF" w:rsidRDefault="00E64EE2" w:rsidP="00B900E9">
            <w:pPr>
              <w:spacing w:after="0" w:line="240" w:lineRule="auto"/>
              <w:jc w:val="right"/>
              <w:rPr>
                <w:rFonts w:ascii="Arial" w:hAnsi="Arial" w:cs="Arial"/>
                <w:sz w:val="20"/>
                <w:szCs w:val="20"/>
              </w:rPr>
            </w:pPr>
            <w:r w:rsidRPr="005773DF">
              <w:rPr>
                <w:rFonts w:ascii="Arial" w:hAnsi="Arial" w:cs="Arial"/>
                <w:sz w:val="20"/>
                <w:szCs w:val="20"/>
              </w:rPr>
              <w:t>B</w:t>
            </w:r>
            <w:r w:rsidR="00B900E9" w:rsidRPr="005773DF">
              <w:rPr>
                <w:rFonts w:ascii="Arial" w:hAnsi="Arial" w:cs="Arial"/>
                <w:sz w:val="20"/>
                <w:szCs w:val="20"/>
              </w:rPr>
              <w:t>-</w:t>
            </w:r>
            <w:r w:rsidRPr="005773DF">
              <w:rPr>
                <w:rFonts w:ascii="Arial" w:hAnsi="Arial" w:cs="Arial"/>
                <w:sz w:val="20"/>
                <w:szCs w:val="20"/>
              </w:rPr>
              <w:t>double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26</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32,240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75%</w:t>
            </w:r>
          </w:p>
        </w:tc>
      </w:tr>
      <w:tr w:rsidR="00E64EE2" w:rsidRPr="005773DF" w:rsidTr="00C75B7B">
        <w:trPr>
          <w:trHeight w:val="330"/>
        </w:trPr>
        <w:tc>
          <w:tcPr>
            <w:tcW w:w="2943" w:type="dxa"/>
            <w:vAlign w:val="center"/>
          </w:tcPr>
          <w:p w:rsidR="00E64EE2" w:rsidRPr="005773DF" w:rsidRDefault="00E64EE2" w:rsidP="00B900E9">
            <w:pPr>
              <w:spacing w:after="0" w:line="240" w:lineRule="auto"/>
              <w:jc w:val="right"/>
              <w:rPr>
                <w:rFonts w:ascii="Arial" w:hAnsi="Arial" w:cs="Arial"/>
                <w:sz w:val="20"/>
                <w:szCs w:val="20"/>
              </w:rPr>
            </w:pPr>
            <w:r w:rsidRPr="005773DF">
              <w:rPr>
                <w:rFonts w:ascii="Arial" w:hAnsi="Arial" w:cs="Arial"/>
                <w:sz w:val="20"/>
                <w:szCs w:val="20"/>
              </w:rPr>
              <w:t>B</w:t>
            </w:r>
            <w:r w:rsidR="00B900E9" w:rsidRPr="005773DF">
              <w:rPr>
                <w:rFonts w:ascii="Arial" w:hAnsi="Arial" w:cs="Arial"/>
                <w:sz w:val="20"/>
                <w:szCs w:val="20"/>
              </w:rPr>
              <w:t>-</w:t>
            </w:r>
            <w:r w:rsidRPr="005773DF">
              <w:rPr>
                <w:rFonts w:ascii="Arial" w:hAnsi="Arial" w:cs="Arial"/>
                <w:sz w:val="20"/>
                <w:szCs w:val="20"/>
              </w:rPr>
              <w:t xml:space="preserve">double HML </w:t>
            </w:r>
            <w:r w:rsidRPr="005773DF">
              <w:rPr>
                <w:rFonts w:ascii="Arial" w:hAnsi="Arial" w:cs="Arial"/>
                <w:sz w:val="20"/>
                <w:szCs w:val="20"/>
                <w:vertAlign w:val="superscript"/>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23</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29,900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69%</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B-triple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20</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27,200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63%</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 xml:space="preserve">B-triple HML </w:t>
            </w:r>
            <w:r w:rsidRPr="005773DF">
              <w:rPr>
                <w:rFonts w:ascii="Arial" w:hAnsi="Arial" w:cs="Arial"/>
                <w:sz w:val="20"/>
                <w:szCs w:val="20"/>
                <w:vertAlign w:val="superscript"/>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17</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24,480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57%</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Type 1 R/train -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21</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28,560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66%</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lang w:val="fr-FR"/>
              </w:rPr>
            </w:pPr>
            <w:r w:rsidRPr="005773DF">
              <w:rPr>
                <w:rFonts w:ascii="Arial" w:hAnsi="Arial" w:cs="Arial"/>
                <w:sz w:val="20"/>
                <w:szCs w:val="20"/>
                <w:lang w:val="fr-FR"/>
              </w:rPr>
              <w:t xml:space="preserve">Type 1 R/train - HML </w:t>
            </w:r>
            <w:r w:rsidRPr="005773DF">
              <w:rPr>
                <w:rFonts w:ascii="Arial" w:hAnsi="Arial" w:cs="Arial"/>
                <w:sz w:val="20"/>
                <w:szCs w:val="20"/>
                <w:vertAlign w:val="superscript"/>
                <w:lang w:val="fr-FR"/>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19</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27,360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63%</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AB-triple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16</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24,000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56%</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 xml:space="preserve">AB-triple - HML </w:t>
            </w:r>
            <w:r w:rsidRPr="005773DF">
              <w:rPr>
                <w:rFonts w:ascii="Arial" w:hAnsi="Arial" w:cs="Arial"/>
                <w:sz w:val="20"/>
                <w:szCs w:val="20"/>
                <w:vertAlign w:val="superscript"/>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14</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22,120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51%</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BAB Quad -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13</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21,060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49%</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 xml:space="preserve">BAB Quad - HML </w:t>
            </w:r>
            <w:r w:rsidRPr="005773DF">
              <w:rPr>
                <w:rFonts w:ascii="Arial" w:hAnsi="Arial" w:cs="Arial"/>
                <w:sz w:val="20"/>
                <w:szCs w:val="20"/>
                <w:vertAlign w:val="superscript"/>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12</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20,400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47%</w:t>
            </w:r>
          </w:p>
        </w:tc>
      </w:tr>
      <w:tr w:rsidR="00E64EE2" w:rsidRPr="005773DF" w:rsidTr="00C75B7B">
        <w:trPr>
          <w:trHeight w:val="330"/>
        </w:trPr>
        <w:tc>
          <w:tcPr>
            <w:tcW w:w="2943" w:type="dxa"/>
            <w:shd w:val="clear" w:color="auto" w:fill="C6D9F1"/>
            <w:vAlign w:val="center"/>
          </w:tcPr>
          <w:p w:rsidR="00E64EE2" w:rsidRPr="005773DF" w:rsidRDefault="00E64EE2" w:rsidP="00EF57A2">
            <w:pPr>
              <w:spacing w:after="0" w:line="240" w:lineRule="auto"/>
              <w:jc w:val="right"/>
              <w:rPr>
                <w:rFonts w:ascii="Arial" w:hAnsi="Arial" w:cs="Arial"/>
                <w:sz w:val="20"/>
                <w:szCs w:val="20"/>
              </w:rPr>
            </w:pPr>
            <w:r w:rsidRPr="005773DF">
              <w:rPr>
                <w:rFonts w:ascii="Arial" w:hAnsi="Arial" w:cs="Arial"/>
                <w:sz w:val="20"/>
                <w:szCs w:val="20"/>
              </w:rPr>
              <w:t>Type 2 R/train - GML</w:t>
            </w:r>
          </w:p>
        </w:tc>
        <w:tc>
          <w:tcPr>
            <w:tcW w:w="2127"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15</w:t>
            </w:r>
          </w:p>
        </w:tc>
        <w:tc>
          <w:tcPr>
            <w:tcW w:w="2409"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24,000</w:t>
            </w:r>
          </w:p>
        </w:tc>
        <w:tc>
          <w:tcPr>
            <w:tcW w:w="2160" w:type="dxa"/>
            <w:shd w:val="clear" w:color="auto" w:fill="C6D9F1"/>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56%</w:t>
            </w:r>
          </w:p>
        </w:tc>
      </w:tr>
      <w:tr w:rsidR="00E64EE2" w:rsidRPr="005773DF" w:rsidTr="00C75B7B">
        <w:trPr>
          <w:trHeight w:val="330"/>
        </w:trPr>
        <w:tc>
          <w:tcPr>
            <w:tcW w:w="2943" w:type="dxa"/>
            <w:vAlign w:val="center"/>
          </w:tcPr>
          <w:p w:rsidR="00E64EE2" w:rsidRPr="005773DF" w:rsidRDefault="00E64EE2" w:rsidP="00EF57A2">
            <w:pPr>
              <w:spacing w:after="0" w:line="240" w:lineRule="auto"/>
              <w:jc w:val="right"/>
              <w:rPr>
                <w:rFonts w:ascii="Arial" w:hAnsi="Arial" w:cs="Arial"/>
                <w:sz w:val="20"/>
                <w:szCs w:val="20"/>
                <w:lang w:val="fr-FR"/>
              </w:rPr>
            </w:pPr>
            <w:r w:rsidRPr="005773DF">
              <w:rPr>
                <w:rFonts w:ascii="Arial" w:hAnsi="Arial" w:cs="Arial"/>
                <w:sz w:val="20"/>
                <w:szCs w:val="20"/>
                <w:lang w:val="fr-FR"/>
              </w:rPr>
              <w:t xml:space="preserve">Type 2 R/train - HML </w:t>
            </w:r>
            <w:r w:rsidRPr="005773DF">
              <w:rPr>
                <w:rFonts w:ascii="Arial" w:hAnsi="Arial" w:cs="Arial"/>
                <w:sz w:val="20"/>
                <w:szCs w:val="20"/>
                <w:vertAlign w:val="superscript"/>
                <w:lang w:val="fr-FR"/>
              </w:rPr>
              <w:t>(RFS)</w:t>
            </w:r>
          </w:p>
        </w:tc>
        <w:tc>
          <w:tcPr>
            <w:tcW w:w="2127"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13</w:t>
            </w:r>
          </w:p>
        </w:tc>
        <w:tc>
          <w:tcPr>
            <w:tcW w:w="2409"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21,580</w:t>
            </w:r>
          </w:p>
        </w:tc>
        <w:tc>
          <w:tcPr>
            <w:tcW w:w="2160" w:type="dxa"/>
            <w:vAlign w:val="center"/>
          </w:tcPr>
          <w:p w:rsidR="00E64EE2" w:rsidRPr="005773DF" w:rsidRDefault="00E64EE2" w:rsidP="00EF57A2">
            <w:pPr>
              <w:spacing w:after="0" w:line="240" w:lineRule="auto"/>
              <w:jc w:val="center"/>
              <w:rPr>
                <w:rFonts w:ascii="Arial" w:hAnsi="Arial" w:cs="Arial"/>
                <w:sz w:val="20"/>
                <w:szCs w:val="20"/>
              </w:rPr>
            </w:pPr>
            <w:r w:rsidRPr="005773DF">
              <w:rPr>
                <w:rFonts w:ascii="Arial" w:hAnsi="Arial" w:cs="Arial"/>
                <w:sz w:val="20"/>
                <w:szCs w:val="20"/>
              </w:rPr>
              <w:t>50%</w:t>
            </w:r>
          </w:p>
        </w:tc>
      </w:tr>
    </w:tbl>
    <w:p w:rsidR="00E64EE2" w:rsidRPr="005773DF" w:rsidRDefault="00E64EE2" w:rsidP="00E64EE2">
      <w:pPr>
        <w:spacing w:after="0" w:line="280" w:lineRule="atLeast"/>
        <w:jc w:val="both"/>
        <w:rPr>
          <w:rFonts w:ascii="Arial" w:hAnsi="Arial" w:cs="Arial"/>
          <w:sz w:val="18"/>
          <w:szCs w:val="18"/>
        </w:rPr>
      </w:pPr>
      <w:proofErr w:type="gramStart"/>
      <w:r w:rsidRPr="005773DF">
        <w:rPr>
          <w:rFonts w:ascii="Arial" w:hAnsi="Arial" w:cs="Arial"/>
          <w:sz w:val="18"/>
          <w:szCs w:val="18"/>
        </w:rPr>
        <w:t>*  Note</w:t>
      </w:r>
      <w:proofErr w:type="gramEnd"/>
      <w:r w:rsidRPr="005773DF">
        <w:rPr>
          <w:rFonts w:ascii="Arial" w:hAnsi="Arial" w:cs="Arial"/>
          <w:sz w:val="18"/>
          <w:szCs w:val="18"/>
        </w:rPr>
        <w:t>: Fuel used per 1,000 tonnes lead assumes a 1,000km trip laden, then returning the 1,000km unladen</w:t>
      </w:r>
    </w:p>
    <w:p w:rsidR="00E64EE2" w:rsidRPr="00D812E2" w:rsidRDefault="00E64EE2" w:rsidP="00D812E2">
      <w:pPr>
        <w:spacing w:after="0" w:line="300" w:lineRule="atLeast"/>
        <w:jc w:val="both"/>
        <w:rPr>
          <w:rFonts w:ascii="Arial" w:hAnsi="Arial" w:cs="Arial"/>
        </w:rPr>
      </w:pPr>
    </w:p>
    <w:p w:rsidR="00E64EE2" w:rsidRPr="00D812E2" w:rsidRDefault="00E64EE2" w:rsidP="00D812E2">
      <w:pPr>
        <w:spacing w:after="0" w:line="300" w:lineRule="atLeast"/>
        <w:jc w:val="both"/>
        <w:rPr>
          <w:rFonts w:ascii="Arial" w:hAnsi="Arial" w:cs="Arial"/>
          <w:lang w:eastAsia="en-US"/>
        </w:rPr>
      </w:pPr>
    </w:p>
    <w:p w:rsidR="00E64EE2" w:rsidRPr="00E761DA" w:rsidRDefault="00E64EE2" w:rsidP="00E64EE2">
      <w:pPr>
        <w:pStyle w:val="Heading1"/>
        <w:rPr>
          <w:sz w:val="24"/>
          <w:szCs w:val="24"/>
        </w:rPr>
      </w:pPr>
      <w:bookmarkStart w:id="20" w:name="_Toc301346301"/>
      <w:bookmarkStart w:id="21" w:name="_Toc297298077"/>
      <w:bookmarkStart w:id="22" w:name="_Toc301363575"/>
      <w:r w:rsidRPr="00E761DA">
        <w:rPr>
          <w:sz w:val="24"/>
          <w:szCs w:val="24"/>
        </w:rPr>
        <w:t>IAP vs Self Compliance</w:t>
      </w:r>
      <w:bookmarkEnd w:id="20"/>
      <w:bookmarkEnd w:id="22"/>
    </w:p>
    <w:p w:rsidR="00E64EE2" w:rsidRPr="005773DF" w:rsidRDefault="00E64EE2" w:rsidP="005773DF">
      <w:pPr>
        <w:spacing w:after="0" w:line="300" w:lineRule="atLeast"/>
        <w:jc w:val="both"/>
        <w:rPr>
          <w:rFonts w:ascii="Arial" w:hAnsi="Arial" w:cs="Arial"/>
          <w:lang w:eastAsia="en-US"/>
        </w:rPr>
      </w:pPr>
    </w:p>
    <w:p w:rsidR="00E64EE2" w:rsidRPr="005773DF" w:rsidRDefault="00E64EE2" w:rsidP="005773DF">
      <w:pPr>
        <w:spacing w:after="0" w:line="300" w:lineRule="atLeast"/>
        <w:jc w:val="both"/>
        <w:rPr>
          <w:rFonts w:ascii="Arial" w:hAnsi="Arial" w:cs="Arial"/>
          <w:lang w:eastAsia="en-US"/>
        </w:rPr>
      </w:pPr>
      <w:r w:rsidRPr="005773DF">
        <w:rPr>
          <w:rFonts w:ascii="Arial" w:hAnsi="Arial" w:cs="Arial"/>
          <w:lang w:eastAsia="en-US"/>
        </w:rPr>
        <w:t xml:space="preserve">It should be noted there are significant shortcomings in IAP as a risk management tool. Firstly, it relies on self declaration, being the honesty of the driver. If a driver wishes to declare the vehicle wasn’t loaded to HML, or wasn’t combined with the trailers making it a B-triple, how would anyone know whether it was or wasn’t? If self declaration is deemed a suitable control method, then self compliance should also be deemed a suitable control method. This means, where agencies are happy to trust road train operators in complying </w:t>
      </w:r>
      <w:r w:rsidR="00B900E9" w:rsidRPr="005773DF">
        <w:rPr>
          <w:rFonts w:ascii="Arial" w:hAnsi="Arial" w:cs="Arial"/>
          <w:lang w:eastAsia="en-US"/>
        </w:rPr>
        <w:t>with</w:t>
      </w:r>
      <w:r w:rsidRPr="005773DF">
        <w:rPr>
          <w:rFonts w:ascii="Arial" w:hAnsi="Arial" w:cs="Arial"/>
          <w:lang w:eastAsia="en-US"/>
        </w:rPr>
        <w:t xml:space="preserve"> route requirements, the same trust must be given to operators of modern prescriptive modular combinations.</w:t>
      </w:r>
    </w:p>
    <w:p w:rsidR="00E64EE2" w:rsidRPr="005773DF" w:rsidRDefault="00E64EE2" w:rsidP="005773DF">
      <w:pPr>
        <w:spacing w:after="0" w:line="300" w:lineRule="atLeast"/>
        <w:jc w:val="both"/>
        <w:rPr>
          <w:rFonts w:ascii="Arial" w:hAnsi="Arial" w:cs="Arial"/>
          <w:lang w:eastAsia="en-US"/>
        </w:rPr>
      </w:pPr>
    </w:p>
    <w:p w:rsidR="00E64EE2" w:rsidRPr="005773DF" w:rsidRDefault="00E64EE2" w:rsidP="005773DF">
      <w:pPr>
        <w:spacing w:after="0" w:line="300" w:lineRule="atLeast"/>
        <w:jc w:val="both"/>
        <w:rPr>
          <w:rFonts w:ascii="Arial" w:hAnsi="Arial" w:cs="Arial"/>
          <w:lang w:eastAsia="en-US"/>
        </w:rPr>
      </w:pPr>
      <w:r w:rsidRPr="005773DF">
        <w:rPr>
          <w:rFonts w:ascii="Arial" w:hAnsi="Arial" w:cs="Arial"/>
          <w:lang w:eastAsia="en-US"/>
        </w:rPr>
        <w:t>Secondly, using a purely administrative tool to manage risks is unacceptable. In OHS, using an administrative control is not considered acceptable to reduce the level of risk to a manageable level. Agencies should be ensuring that damage to infrastructure is minimised by properly maintaining it or using a device which creates little to no impost on operators.</w:t>
      </w:r>
    </w:p>
    <w:p w:rsidR="00E64EE2" w:rsidRPr="005773DF" w:rsidRDefault="00E64EE2" w:rsidP="005773DF">
      <w:pPr>
        <w:spacing w:after="0" w:line="300" w:lineRule="atLeast"/>
        <w:jc w:val="both"/>
        <w:rPr>
          <w:rFonts w:ascii="Arial" w:hAnsi="Arial" w:cs="Arial"/>
          <w:lang w:eastAsia="en-US"/>
        </w:rPr>
      </w:pPr>
    </w:p>
    <w:p w:rsidR="00F25014" w:rsidRPr="005773DF" w:rsidRDefault="00F25014" w:rsidP="005773DF">
      <w:pPr>
        <w:spacing w:after="0" w:line="300" w:lineRule="atLeast"/>
        <w:rPr>
          <w:rFonts w:ascii="Arial" w:hAnsi="Arial" w:cs="Arial"/>
          <w:lang w:eastAsia="en-US"/>
        </w:rPr>
      </w:pPr>
    </w:p>
    <w:p w:rsidR="00F25014" w:rsidRPr="00E761DA" w:rsidRDefault="00F25014" w:rsidP="00F25014">
      <w:pPr>
        <w:pStyle w:val="Heading1"/>
        <w:rPr>
          <w:sz w:val="24"/>
          <w:szCs w:val="24"/>
        </w:rPr>
      </w:pPr>
      <w:bookmarkStart w:id="23" w:name="_Toc301346302"/>
      <w:bookmarkStart w:id="24" w:name="_Toc301363576"/>
      <w:r w:rsidRPr="00E761DA">
        <w:rPr>
          <w:sz w:val="24"/>
          <w:szCs w:val="24"/>
        </w:rPr>
        <w:t>Legal Situation</w:t>
      </w:r>
      <w:bookmarkEnd w:id="23"/>
      <w:bookmarkEnd w:id="24"/>
    </w:p>
    <w:bookmarkEnd w:id="21"/>
    <w:p w:rsidR="00E64EE2" w:rsidRPr="005773DF" w:rsidRDefault="00E64EE2" w:rsidP="005773DF">
      <w:pPr>
        <w:spacing w:after="0" w:line="300" w:lineRule="atLeast"/>
        <w:jc w:val="both"/>
        <w:rPr>
          <w:rFonts w:ascii="Arial" w:hAnsi="Arial" w:cs="Arial"/>
          <w:lang w:eastAsia="en-US"/>
        </w:rPr>
      </w:pPr>
    </w:p>
    <w:p w:rsidR="00E64EE2" w:rsidRPr="005773DF" w:rsidRDefault="00E64EE2" w:rsidP="005773DF">
      <w:pPr>
        <w:spacing w:after="0" w:line="300" w:lineRule="atLeast"/>
        <w:jc w:val="both"/>
        <w:rPr>
          <w:rFonts w:ascii="Arial" w:hAnsi="Arial" w:cs="Arial"/>
          <w:lang w:eastAsia="en-US"/>
        </w:rPr>
      </w:pPr>
      <w:r w:rsidRPr="005773DF">
        <w:rPr>
          <w:rFonts w:ascii="Arial" w:hAnsi="Arial" w:cs="Arial"/>
          <w:lang w:eastAsia="en-US"/>
        </w:rPr>
        <w:t>There is often discussion regarding the evidentiary nature of data. Companies who currently utilise their own in-vehicle telematics are already recording valid route and travel information, and despite the devices not being approved by Transport Certification Australia (TCA), the information is used as evidence. This is the effect of the NTC’s Compliance &amp; Enforcement laws adopted by NSW. The ATA’s legal advice previously provided to the NTC clearly advises this. IAP data, operator and chain party data are all evidence, and available to enforcement staff as per the allowances in the Model Compliance &amp; Enforcement Bill and relevant NSW law. IAP certification is not required for an enforcement officer to utilise in-vehicle telematics data collected by an operator from a non-IAP system.</w:t>
      </w:r>
    </w:p>
    <w:p w:rsidR="00C75B7B" w:rsidRDefault="00C75B7B">
      <w:pPr>
        <w:spacing w:after="0" w:line="240" w:lineRule="auto"/>
        <w:rPr>
          <w:rFonts w:ascii="Arial" w:hAnsi="Arial" w:cs="Arial"/>
          <w:lang w:eastAsia="en-US"/>
        </w:rPr>
      </w:pPr>
      <w:r>
        <w:rPr>
          <w:rFonts w:ascii="Arial" w:hAnsi="Arial" w:cs="Arial"/>
          <w:lang w:eastAsia="en-US"/>
        </w:rPr>
        <w:br w:type="page"/>
      </w:r>
    </w:p>
    <w:p w:rsidR="005773DF" w:rsidRDefault="005773DF">
      <w:pPr>
        <w:spacing w:after="0" w:line="240" w:lineRule="auto"/>
        <w:rPr>
          <w:rFonts w:ascii="Arial" w:hAnsi="Arial" w:cs="Arial"/>
          <w:lang w:eastAsia="en-US"/>
        </w:rPr>
      </w:pPr>
    </w:p>
    <w:p w:rsidR="005773DF" w:rsidRDefault="00E64EE2" w:rsidP="005773DF">
      <w:pPr>
        <w:spacing w:after="0" w:line="300" w:lineRule="atLeast"/>
        <w:jc w:val="both"/>
        <w:rPr>
          <w:rFonts w:ascii="Arial" w:hAnsi="Arial" w:cs="Arial"/>
          <w:lang w:eastAsia="en-US"/>
        </w:rPr>
      </w:pPr>
      <w:r w:rsidRPr="005773DF">
        <w:rPr>
          <w:rFonts w:ascii="Arial" w:hAnsi="Arial" w:cs="Arial"/>
          <w:lang w:eastAsia="en-US"/>
        </w:rPr>
        <w:t>The ATA has previously commissioned legal advice from Lovegrove &amp; Lord (now Lords Lawyers), which was received on 9 November 2009. The advice received from Tony Hulett, Special Counsel is clear that there are fundamental issues surrounding IAP that show it is being inappropriately used. A copy of this advic</w:t>
      </w:r>
      <w:r w:rsidR="005773DF">
        <w:rPr>
          <w:rFonts w:ascii="Arial" w:hAnsi="Arial" w:cs="Arial"/>
          <w:lang w:eastAsia="en-US"/>
        </w:rPr>
        <w:t>e is attached under Appendix B.</w:t>
      </w:r>
    </w:p>
    <w:p w:rsidR="00C75B7B" w:rsidRDefault="00C75B7B" w:rsidP="005773DF">
      <w:pPr>
        <w:spacing w:after="0" w:line="300" w:lineRule="atLeast"/>
        <w:jc w:val="both"/>
        <w:rPr>
          <w:rFonts w:ascii="Arial" w:hAnsi="Arial" w:cs="Arial"/>
          <w:lang w:eastAsia="en-US"/>
        </w:rPr>
      </w:pPr>
    </w:p>
    <w:p w:rsidR="00E64EE2" w:rsidRPr="005773DF" w:rsidRDefault="00E64EE2" w:rsidP="005773DF">
      <w:pPr>
        <w:spacing w:after="0" w:line="300" w:lineRule="atLeast"/>
        <w:jc w:val="both"/>
        <w:rPr>
          <w:rFonts w:ascii="Arial" w:hAnsi="Arial" w:cs="Arial"/>
          <w:lang w:eastAsia="en-US"/>
        </w:rPr>
      </w:pPr>
      <w:r w:rsidRPr="005773DF">
        <w:rPr>
          <w:rFonts w:ascii="Arial" w:hAnsi="Arial" w:cs="Arial"/>
          <w:lang w:eastAsia="en-US"/>
        </w:rPr>
        <w:t xml:space="preserve">The legal advice received from Mr Hulett identifies that IAP was initially found in the </w:t>
      </w:r>
      <w:r w:rsidRPr="005773DF">
        <w:rPr>
          <w:rFonts w:ascii="Arial" w:hAnsi="Arial" w:cs="Arial"/>
          <w:i/>
          <w:lang w:eastAsia="en-US"/>
        </w:rPr>
        <w:t>Road Transport (Compliance and Enforcement) Bill</w:t>
      </w:r>
      <w:r w:rsidRPr="005773DF">
        <w:rPr>
          <w:rFonts w:ascii="Arial" w:hAnsi="Arial" w:cs="Arial"/>
          <w:lang w:eastAsia="en-US"/>
        </w:rPr>
        <w:t xml:space="preserve"> (</w:t>
      </w:r>
      <w:r w:rsidRPr="005773DF">
        <w:rPr>
          <w:rFonts w:ascii="Arial" w:hAnsi="Arial" w:cs="Arial"/>
          <w:i/>
          <w:lang w:eastAsia="en-US"/>
        </w:rPr>
        <w:t xml:space="preserve">C&amp;E Bill) </w:t>
      </w:r>
      <w:r w:rsidRPr="005773DF">
        <w:rPr>
          <w:rFonts w:ascii="Arial" w:hAnsi="Arial" w:cs="Arial"/>
          <w:lang w:eastAsia="en-US"/>
        </w:rPr>
        <w:t>as a potential component of a Supervisory Intervention Order (SIO) for systematic or persistent offences in the mass, dimension and load restraint area.</w:t>
      </w:r>
    </w:p>
    <w:p w:rsidR="00E64EE2" w:rsidRPr="005773DF" w:rsidRDefault="00E64EE2" w:rsidP="005773DF">
      <w:pPr>
        <w:spacing w:after="0" w:line="300" w:lineRule="atLeast"/>
        <w:jc w:val="both"/>
        <w:rPr>
          <w:rFonts w:ascii="Arial" w:hAnsi="Arial" w:cs="Arial"/>
          <w:lang w:eastAsia="en-US"/>
        </w:rPr>
      </w:pPr>
    </w:p>
    <w:p w:rsidR="00E64EE2" w:rsidRPr="005773DF" w:rsidRDefault="00E64EE2" w:rsidP="005773DF">
      <w:pPr>
        <w:spacing w:after="0" w:line="300" w:lineRule="atLeast"/>
        <w:jc w:val="both"/>
        <w:rPr>
          <w:rFonts w:ascii="Arial" w:hAnsi="Arial" w:cs="Arial"/>
          <w:lang w:eastAsia="en-US"/>
        </w:rPr>
      </w:pPr>
    </w:p>
    <w:p w:rsidR="005A5B63" w:rsidRPr="00E761DA" w:rsidRDefault="005A5B63" w:rsidP="005A5B63">
      <w:pPr>
        <w:pStyle w:val="Heading1"/>
        <w:rPr>
          <w:sz w:val="24"/>
          <w:szCs w:val="24"/>
        </w:rPr>
      </w:pPr>
      <w:bookmarkStart w:id="25" w:name="_Toc301346303"/>
      <w:bookmarkStart w:id="26" w:name="_Toc301363577"/>
      <w:r>
        <w:rPr>
          <w:sz w:val="24"/>
          <w:szCs w:val="24"/>
        </w:rPr>
        <w:t>National in-vehicle telematics strategy</w:t>
      </w:r>
      <w:bookmarkEnd w:id="25"/>
      <w:bookmarkEnd w:id="26"/>
    </w:p>
    <w:p w:rsidR="00666802" w:rsidRPr="005773DF" w:rsidRDefault="00666802" w:rsidP="005773DF">
      <w:pPr>
        <w:spacing w:after="0" w:line="300" w:lineRule="atLeast"/>
        <w:jc w:val="both"/>
        <w:rPr>
          <w:rFonts w:ascii="Arial" w:hAnsi="Arial" w:cs="Arial"/>
          <w:lang w:eastAsia="en-US"/>
        </w:rPr>
      </w:pPr>
    </w:p>
    <w:p w:rsidR="00666802"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 xml:space="preserve">The approach by NSW to impose IAP on operators who wish to be more productive conflicts with the </w:t>
      </w:r>
      <w:r w:rsidRPr="005773DF">
        <w:rPr>
          <w:rFonts w:ascii="Arial" w:hAnsi="Arial" w:cs="Arial"/>
          <w:i/>
          <w:lang w:eastAsia="en-US"/>
        </w:rPr>
        <w:t>National in-vehicle telematics strategy: The road freight sector July 2011</w:t>
      </w:r>
      <w:r w:rsidRPr="005773DF">
        <w:rPr>
          <w:rFonts w:ascii="Arial" w:hAnsi="Arial" w:cs="Arial"/>
          <w:lang w:eastAsia="en-US"/>
        </w:rPr>
        <w:t xml:space="preserve"> which was approved by ATC ministers in May 2011. The National Policy Principles are included within this strategy to help better align and guide in-vehicle telematics initiatives driven by government and industry, with a national objective. In fact, the NSW (and to a lesser extent QLD) requirement for vehicles to fit IAP in order to access higher productivity is in conflict with these principles, which can be seen in Principle 5:</w:t>
      </w:r>
    </w:p>
    <w:p w:rsidR="00666802" w:rsidRPr="005773DF" w:rsidRDefault="00666802" w:rsidP="005773DF">
      <w:pPr>
        <w:spacing w:after="0" w:line="300" w:lineRule="atLeast"/>
        <w:jc w:val="both"/>
        <w:rPr>
          <w:rFonts w:ascii="Arial" w:hAnsi="Arial" w:cs="Arial"/>
          <w:lang w:eastAsia="en-US"/>
        </w:rPr>
      </w:pPr>
    </w:p>
    <w:p w:rsidR="00666802" w:rsidRPr="005773DF" w:rsidRDefault="00666802" w:rsidP="005773DF">
      <w:pPr>
        <w:spacing w:after="0" w:line="300" w:lineRule="atLeast"/>
        <w:ind w:left="567" w:right="567"/>
        <w:jc w:val="both"/>
        <w:rPr>
          <w:rFonts w:ascii="Arial" w:hAnsi="Arial" w:cs="Arial"/>
          <w:i/>
          <w:lang w:eastAsia="en-US"/>
        </w:rPr>
      </w:pPr>
      <w:r w:rsidRPr="005773DF">
        <w:rPr>
          <w:rFonts w:ascii="Arial" w:hAnsi="Arial" w:cs="Arial"/>
          <w:i/>
          <w:lang w:eastAsia="en-US"/>
        </w:rPr>
        <w:t xml:space="preserve">Telematics-based compliance monitoring should be </w:t>
      </w:r>
      <w:r w:rsidRPr="005773DF">
        <w:rPr>
          <w:rFonts w:ascii="Arial" w:hAnsi="Arial" w:cs="Arial"/>
          <w:b/>
          <w:i/>
          <w:lang w:eastAsia="en-US"/>
        </w:rPr>
        <w:t>voluntary</w:t>
      </w:r>
      <w:r w:rsidRPr="005773DF">
        <w:rPr>
          <w:rFonts w:ascii="Arial" w:hAnsi="Arial" w:cs="Arial"/>
          <w:i/>
          <w:lang w:eastAsia="en-US"/>
        </w:rPr>
        <w:t xml:space="preserve"> wherever practical.</w:t>
      </w:r>
    </w:p>
    <w:p w:rsidR="00666802" w:rsidRPr="005773DF" w:rsidRDefault="00666802" w:rsidP="005773DF">
      <w:pPr>
        <w:spacing w:after="0" w:line="300" w:lineRule="atLeast"/>
        <w:jc w:val="both"/>
        <w:rPr>
          <w:rFonts w:ascii="Arial" w:hAnsi="Arial" w:cs="Arial"/>
          <w:lang w:eastAsia="en-US"/>
        </w:rPr>
      </w:pPr>
    </w:p>
    <w:p w:rsidR="00666802"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 xml:space="preserve">The NTC notes in its draft regulatory impact statement </w:t>
      </w:r>
      <w:r w:rsidRPr="005773DF">
        <w:rPr>
          <w:rFonts w:ascii="Arial" w:hAnsi="Arial" w:cs="Arial"/>
          <w:i/>
          <w:lang w:eastAsia="en-US"/>
        </w:rPr>
        <w:t>Modular road freight vehicles: A national framework for B-triple operations</w:t>
      </w:r>
      <w:r w:rsidRPr="005773DF">
        <w:rPr>
          <w:rFonts w:ascii="Arial" w:hAnsi="Arial" w:cs="Arial"/>
          <w:lang w:eastAsia="en-US"/>
        </w:rPr>
        <w:t xml:space="preserve"> under footnote 9 that:</w:t>
      </w:r>
    </w:p>
    <w:p w:rsidR="00666802" w:rsidRPr="005773DF" w:rsidRDefault="00666802" w:rsidP="005773DF">
      <w:pPr>
        <w:spacing w:after="0" w:line="300" w:lineRule="atLeast"/>
        <w:jc w:val="both"/>
        <w:rPr>
          <w:rFonts w:ascii="Arial" w:hAnsi="Arial" w:cs="Arial"/>
          <w:lang w:eastAsia="en-US"/>
        </w:rPr>
      </w:pPr>
    </w:p>
    <w:p w:rsidR="00666802" w:rsidRPr="005773DF" w:rsidRDefault="00666802" w:rsidP="005773DF">
      <w:pPr>
        <w:spacing w:after="0" w:line="300" w:lineRule="atLeast"/>
        <w:ind w:left="567" w:right="567"/>
        <w:jc w:val="both"/>
        <w:rPr>
          <w:rFonts w:ascii="Arial" w:hAnsi="Arial" w:cs="Arial"/>
          <w:i/>
          <w:lang w:eastAsia="en-US"/>
        </w:rPr>
      </w:pPr>
      <w:r w:rsidRPr="005773DF">
        <w:rPr>
          <w:rFonts w:ascii="Arial" w:hAnsi="Arial" w:cs="Arial"/>
          <w:i/>
          <w:lang w:eastAsia="en-US"/>
        </w:rPr>
        <w:t>The word ‘voluntary’ should not be understood to mean that participation in the IAP is voluntary; rather, it is voluntary to participate in the particular transport operations that require IAP participation in some jurisdictions. In other words, it is the operator’s choice whether to conduct each type of operation, but if the operator chooses to conduct a particular operation that requires IAP participation then IAP participation is mandatory for that operator.</w:t>
      </w:r>
    </w:p>
    <w:p w:rsidR="00564C4D" w:rsidRPr="005773DF" w:rsidRDefault="00564C4D" w:rsidP="005773DF">
      <w:pPr>
        <w:spacing w:after="0" w:line="300" w:lineRule="atLeast"/>
        <w:jc w:val="both"/>
        <w:rPr>
          <w:rFonts w:ascii="Arial" w:hAnsi="Arial" w:cs="Arial"/>
          <w:lang w:eastAsia="en-US"/>
        </w:rPr>
      </w:pPr>
    </w:p>
    <w:p w:rsidR="00564C4D"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Therefore, because IAP is not voluntary, the jurisdictions that require IAP are in conflict with the ATC ministers’ directive.</w:t>
      </w:r>
    </w:p>
    <w:p w:rsidR="00E64EE2" w:rsidRPr="005773DF" w:rsidRDefault="00E64EE2" w:rsidP="005773DF">
      <w:pPr>
        <w:spacing w:after="0" w:line="300" w:lineRule="atLeast"/>
        <w:jc w:val="both"/>
        <w:rPr>
          <w:rFonts w:ascii="Arial" w:hAnsi="Arial" w:cs="Arial"/>
          <w:lang w:eastAsia="en-US"/>
        </w:rPr>
      </w:pPr>
    </w:p>
    <w:p w:rsidR="00666802"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Further, while consultation may have taken place regarding the implementation of IAP as a requirement, there has been no consideration given to industry and stakeholder concerns, these concerns have simply been ignored. Since the conception of IAP, the ATA has been committed to voicing its objections to IAP</w:t>
      </w:r>
      <w:r>
        <w:rPr>
          <w:rFonts w:ascii="Arial" w:hAnsi="Arial" w:cs="Arial"/>
          <w:sz w:val="20"/>
          <w:szCs w:val="20"/>
          <w:lang w:eastAsia="en-US"/>
        </w:rPr>
        <w:t xml:space="preserve"> </w:t>
      </w:r>
      <w:r w:rsidRPr="005773DF">
        <w:rPr>
          <w:rFonts w:ascii="Arial" w:hAnsi="Arial" w:cs="Arial"/>
          <w:lang w:eastAsia="en-US"/>
        </w:rPr>
        <w:t>being mandatory for prescriptive modular combinations at general mass, concessional mass and higher mass limits. To date, and despite the validity and extent of information and research provided by the ATA to both state and federal departments, these concerns have not been taken into account in any evaluation involving IAP. As the application of IAP is currently left to the states, the implementation of this program would normally require a regulatory impact statement to be undertaken</w:t>
      </w:r>
      <w:r w:rsidR="00C75B7B">
        <w:rPr>
          <w:rFonts w:ascii="Arial" w:hAnsi="Arial" w:cs="Arial"/>
          <w:lang w:eastAsia="en-US"/>
        </w:rPr>
        <w:t xml:space="preserve"> under the requirements of the NSW Better Regulation Office</w:t>
      </w:r>
      <w:r w:rsidRPr="005773DF">
        <w:rPr>
          <w:rFonts w:ascii="Arial" w:hAnsi="Arial" w:cs="Arial"/>
          <w:lang w:eastAsia="en-US"/>
        </w:rPr>
        <w:t xml:space="preserve">, providing opportunity for the public and industry to comment on the proposal. </w:t>
      </w:r>
      <w:r w:rsidR="00C75B7B">
        <w:rPr>
          <w:rFonts w:ascii="Arial" w:hAnsi="Arial" w:cs="Arial"/>
          <w:lang w:eastAsia="en-US"/>
        </w:rPr>
        <w:t xml:space="preserve">The RTA does not appear to have </w:t>
      </w:r>
      <w:r w:rsidRPr="005773DF">
        <w:rPr>
          <w:rFonts w:ascii="Arial" w:hAnsi="Arial" w:cs="Arial"/>
          <w:lang w:eastAsia="en-US"/>
        </w:rPr>
        <w:t>undertake</w:t>
      </w:r>
      <w:r w:rsidR="00C75B7B">
        <w:rPr>
          <w:rFonts w:ascii="Arial" w:hAnsi="Arial" w:cs="Arial"/>
          <w:lang w:eastAsia="en-US"/>
        </w:rPr>
        <w:t>n</w:t>
      </w:r>
      <w:r w:rsidRPr="005773DF">
        <w:rPr>
          <w:rFonts w:ascii="Arial" w:hAnsi="Arial" w:cs="Arial"/>
          <w:lang w:eastAsia="en-US"/>
        </w:rPr>
        <w:t xml:space="preserve"> this important step, and again, this is in itself against the principles of the strategy, in particular Principle 7 which states:</w:t>
      </w:r>
    </w:p>
    <w:p w:rsidR="00C75B7B" w:rsidRDefault="00C75B7B">
      <w:pPr>
        <w:spacing w:after="0" w:line="240" w:lineRule="auto"/>
        <w:rPr>
          <w:rFonts w:ascii="Arial" w:hAnsi="Arial" w:cs="Arial"/>
          <w:sz w:val="20"/>
          <w:szCs w:val="20"/>
          <w:lang w:eastAsia="en-US"/>
        </w:rPr>
      </w:pPr>
      <w:r>
        <w:rPr>
          <w:rFonts w:ascii="Arial" w:hAnsi="Arial" w:cs="Arial"/>
          <w:sz w:val="20"/>
          <w:szCs w:val="20"/>
          <w:lang w:eastAsia="en-US"/>
        </w:rPr>
        <w:br w:type="page"/>
      </w:r>
    </w:p>
    <w:p w:rsidR="00F25014" w:rsidRDefault="00F25014">
      <w:pPr>
        <w:spacing w:after="0" w:line="240" w:lineRule="auto"/>
        <w:rPr>
          <w:rFonts w:ascii="Arial" w:hAnsi="Arial" w:cs="Arial"/>
          <w:sz w:val="20"/>
          <w:szCs w:val="20"/>
          <w:lang w:eastAsia="en-US"/>
        </w:rPr>
      </w:pPr>
    </w:p>
    <w:p w:rsidR="00666802" w:rsidRPr="005773DF" w:rsidRDefault="00666802" w:rsidP="005773DF">
      <w:pPr>
        <w:spacing w:after="0" w:line="300" w:lineRule="atLeast"/>
        <w:ind w:left="567" w:right="567"/>
        <w:jc w:val="both"/>
        <w:rPr>
          <w:rFonts w:ascii="Arial" w:hAnsi="Arial" w:cs="Arial"/>
          <w:i/>
          <w:lang w:eastAsia="en-US"/>
        </w:rPr>
      </w:pPr>
      <w:r w:rsidRPr="005773DF">
        <w:rPr>
          <w:rFonts w:ascii="Arial" w:hAnsi="Arial" w:cs="Arial"/>
          <w:i/>
          <w:lang w:eastAsia="en-US"/>
        </w:rPr>
        <w:t xml:space="preserve">Mandating in-vehicle telematics applications requires transparent and consistent </w:t>
      </w:r>
      <w:r w:rsidRPr="005773DF">
        <w:rPr>
          <w:rFonts w:ascii="Arial" w:hAnsi="Arial" w:cs="Arial"/>
          <w:b/>
          <w:i/>
          <w:lang w:eastAsia="en-US"/>
        </w:rPr>
        <w:t>evaluation</w:t>
      </w:r>
      <w:r w:rsidRPr="005773DF">
        <w:rPr>
          <w:rFonts w:ascii="Arial" w:hAnsi="Arial" w:cs="Arial"/>
          <w:i/>
          <w:lang w:eastAsia="en-US"/>
        </w:rPr>
        <w:t xml:space="preserve"> considering the needs of all relevant stakeholders in accordance with best practice regulatory principles. It should ensure any new technological </w:t>
      </w:r>
      <w:proofErr w:type="gramStart"/>
      <w:r w:rsidRPr="005773DF">
        <w:rPr>
          <w:rFonts w:ascii="Arial" w:hAnsi="Arial" w:cs="Arial"/>
          <w:i/>
          <w:lang w:eastAsia="en-US"/>
        </w:rPr>
        <w:t>requirements delivers</w:t>
      </w:r>
      <w:proofErr w:type="gramEnd"/>
      <w:r w:rsidRPr="005773DF">
        <w:rPr>
          <w:rFonts w:ascii="Arial" w:hAnsi="Arial" w:cs="Arial"/>
          <w:i/>
          <w:lang w:eastAsia="en-US"/>
        </w:rPr>
        <w:t xml:space="preserve"> </w:t>
      </w:r>
      <w:r w:rsidRPr="005773DF">
        <w:rPr>
          <w:rFonts w:ascii="Arial" w:hAnsi="Arial" w:cs="Arial"/>
          <w:b/>
          <w:i/>
          <w:lang w:eastAsia="en-US"/>
        </w:rPr>
        <w:t>demonstrable benefits to individuals and the community.</w:t>
      </w:r>
    </w:p>
    <w:p w:rsidR="005773DF" w:rsidRDefault="005773DF">
      <w:pPr>
        <w:spacing w:after="0" w:line="240" w:lineRule="auto"/>
        <w:rPr>
          <w:rFonts w:ascii="Arial" w:hAnsi="Arial" w:cs="Arial"/>
          <w:lang w:eastAsia="en-US"/>
        </w:rPr>
      </w:pPr>
    </w:p>
    <w:p w:rsidR="00666802"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The strategy has a case study on IAP on page 7, where it speaks positively about a joint venture between Linfox Logistics and brewer Lion Nathan. This joint venture has used IAP to gain access to a key 11km stretch of a local road in Brisbane. The vehicles being used are high productivity PBS vehicles. In this example, the ATA supports the use of IAP; the vehicles are not modular combinations, the venture is providing a genuine benefit to the local community through less vehicles being on the road and higher productivity gains, the route is short and captured, and it provides the opportunity to prove a new concept PBS vehicle with unique operating systems.</w:t>
      </w:r>
    </w:p>
    <w:p w:rsidR="005A5B63" w:rsidRPr="005773DF" w:rsidRDefault="005A5B63" w:rsidP="005773DF">
      <w:pPr>
        <w:spacing w:after="0" w:line="240" w:lineRule="auto"/>
        <w:jc w:val="both"/>
        <w:rPr>
          <w:rFonts w:ascii="Arial" w:hAnsi="Arial" w:cs="Arial"/>
          <w:sz w:val="20"/>
          <w:szCs w:val="20"/>
          <w:lang w:eastAsia="en-US"/>
        </w:rPr>
      </w:pPr>
    </w:p>
    <w:p w:rsidR="005A5B63" w:rsidRPr="005773DF" w:rsidRDefault="005A5B63" w:rsidP="005773DF">
      <w:pPr>
        <w:spacing w:after="0" w:line="300" w:lineRule="atLeast"/>
        <w:jc w:val="both"/>
        <w:rPr>
          <w:rFonts w:ascii="Arial" w:hAnsi="Arial" w:cs="Arial"/>
          <w:lang w:eastAsia="en-US"/>
        </w:rPr>
      </w:pPr>
      <w:r w:rsidRPr="005773DF">
        <w:rPr>
          <w:rFonts w:ascii="Arial" w:hAnsi="Arial" w:cs="Arial"/>
          <w:lang w:eastAsia="en-US"/>
        </w:rPr>
        <w:t xml:space="preserve">However, in the same case study, </w:t>
      </w:r>
      <w:r w:rsidRPr="005773DF">
        <w:rPr>
          <w:rFonts w:ascii="Arial" w:hAnsi="Arial" w:cs="Arial"/>
          <w:i/>
          <w:lang w:eastAsia="en-US"/>
        </w:rPr>
        <w:t>“Scotts Transport reported that opportunities for Higher Mass Limits and load maximisation have diminished due to ‘changes in state authority standards where benefits were outweighed by compliance costs (Scotts Transport 2009)”</w:t>
      </w:r>
      <w:r w:rsidRPr="005773DF">
        <w:rPr>
          <w:rFonts w:ascii="Arial" w:hAnsi="Arial" w:cs="Arial"/>
          <w:lang w:eastAsia="en-US"/>
        </w:rPr>
        <w:t>. It should be noted that the majority of the Scotts Transport fleet are prescriptive modular combinations.</w:t>
      </w:r>
    </w:p>
    <w:p w:rsidR="00CF5A61" w:rsidRPr="005773DF" w:rsidRDefault="00CF5A61" w:rsidP="005773DF">
      <w:pPr>
        <w:spacing w:after="0" w:line="240" w:lineRule="auto"/>
        <w:jc w:val="both"/>
        <w:rPr>
          <w:rFonts w:ascii="Arial" w:hAnsi="Arial" w:cs="Arial"/>
          <w:sz w:val="20"/>
          <w:szCs w:val="20"/>
          <w:lang w:eastAsia="en-US"/>
        </w:rPr>
      </w:pPr>
    </w:p>
    <w:p w:rsidR="00666802" w:rsidRPr="005773DF" w:rsidRDefault="00666802" w:rsidP="005773DF">
      <w:pPr>
        <w:spacing w:after="0" w:line="300" w:lineRule="atLeast"/>
        <w:jc w:val="both"/>
        <w:rPr>
          <w:rFonts w:ascii="Arial" w:hAnsi="Arial" w:cs="Arial"/>
          <w:lang w:eastAsia="en-US"/>
        </w:rPr>
      </w:pPr>
      <w:r w:rsidRPr="005773DF">
        <w:rPr>
          <w:rFonts w:ascii="Arial" w:hAnsi="Arial" w:cs="Arial"/>
          <w:lang w:eastAsia="en-US"/>
        </w:rPr>
        <w:t>The use of IAP in NSW is inconsistent with the National Strategy</w:t>
      </w:r>
      <w:r w:rsidR="00C75B7B">
        <w:rPr>
          <w:rFonts w:ascii="Arial" w:hAnsi="Arial" w:cs="Arial"/>
          <w:lang w:eastAsia="en-US"/>
        </w:rPr>
        <w:t xml:space="preserve"> and was not supported by proper analysis</w:t>
      </w:r>
      <w:r w:rsidRPr="005773DF">
        <w:rPr>
          <w:rFonts w:ascii="Arial" w:hAnsi="Arial" w:cs="Arial"/>
          <w:lang w:eastAsia="en-US"/>
        </w:rPr>
        <w:t>.</w:t>
      </w:r>
    </w:p>
    <w:p w:rsidR="00666802" w:rsidRPr="005773DF" w:rsidRDefault="00666802" w:rsidP="005773DF">
      <w:pPr>
        <w:spacing w:after="0" w:line="240" w:lineRule="auto"/>
        <w:jc w:val="both"/>
        <w:rPr>
          <w:rFonts w:ascii="Arial" w:hAnsi="Arial" w:cs="Arial"/>
          <w:sz w:val="20"/>
          <w:szCs w:val="20"/>
          <w:lang w:eastAsia="en-US"/>
        </w:rPr>
      </w:pPr>
    </w:p>
    <w:p w:rsidR="005A5B63" w:rsidRPr="005773DF" w:rsidRDefault="005A5B63" w:rsidP="005773DF">
      <w:pPr>
        <w:spacing w:after="0" w:line="240" w:lineRule="auto"/>
        <w:jc w:val="both"/>
        <w:rPr>
          <w:rFonts w:ascii="Arial" w:hAnsi="Arial" w:cs="Arial"/>
          <w:sz w:val="20"/>
          <w:szCs w:val="20"/>
        </w:rPr>
      </w:pPr>
      <w:bookmarkStart w:id="27" w:name="_Toc297298076"/>
    </w:p>
    <w:p w:rsidR="00666802" w:rsidRPr="00E761DA" w:rsidRDefault="00666802" w:rsidP="001B4763">
      <w:pPr>
        <w:pStyle w:val="Heading1"/>
        <w:rPr>
          <w:sz w:val="24"/>
          <w:szCs w:val="24"/>
        </w:rPr>
      </w:pPr>
      <w:bookmarkStart w:id="28" w:name="_Toc297298082"/>
      <w:bookmarkStart w:id="29" w:name="_Toc301346304"/>
      <w:bookmarkStart w:id="30" w:name="_Toc301363578"/>
      <w:bookmarkEnd w:id="27"/>
      <w:r w:rsidRPr="00E761DA">
        <w:rPr>
          <w:sz w:val="24"/>
          <w:szCs w:val="24"/>
        </w:rPr>
        <w:t>Conclusion</w:t>
      </w:r>
      <w:bookmarkEnd w:id="28"/>
      <w:bookmarkEnd w:id="30"/>
      <w:r w:rsidR="00E64EE2">
        <w:rPr>
          <w:sz w:val="24"/>
          <w:szCs w:val="24"/>
        </w:rPr>
        <w:t xml:space="preserve"> </w:t>
      </w:r>
      <w:bookmarkEnd w:id="29"/>
    </w:p>
    <w:p w:rsidR="00666802" w:rsidRPr="005773DF" w:rsidRDefault="00666802" w:rsidP="005773DF">
      <w:pPr>
        <w:spacing w:after="0" w:line="240" w:lineRule="auto"/>
        <w:jc w:val="both"/>
        <w:rPr>
          <w:rFonts w:ascii="Arial" w:hAnsi="Arial" w:cs="Arial"/>
          <w:sz w:val="20"/>
          <w:szCs w:val="20"/>
        </w:rPr>
      </w:pPr>
    </w:p>
    <w:p w:rsidR="00666802" w:rsidRPr="005773DF" w:rsidRDefault="00666802" w:rsidP="005773DF">
      <w:pPr>
        <w:spacing w:after="0" w:line="300" w:lineRule="atLeast"/>
        <w:jc w:val="both"/>
        <w:rPr>
          <w:rFonts w:ascii="Arial" w:hAnsi="Arial" w:cs="Arial"/>
        </w:rPr>
      </w:pPr>
      <w:r w:rsidRPr="005773DF">
        <w:rPr>
          <w:rFonts w:ascii="Arial" w:hAnsi="Arial" w:cs="Arial"/>
        </w:rPr>
        <w:t xml:space="preserve">The idea that </w:t>
      </w:r>
      <w:r w:rsidR="00A1611B" w:rsidRPr="005773DF">
        <w:rPr>
          <w:rFonts w:ascii="Arial" w:hAnsi="Arial" w:cs="Arial"/>
        </w:rPr>
        <w:t xml:space="preserve">NSW requires </w:t>
      </w:r>
      <w:r w:rsidRPr="005773DF">
        <w:rPr>
          <w:rFonts w:ascii="Arial" w:hAnsi="Arial" w:cs="Arial"/>
        </w:rPr>
        <w:t>prescriptive modular combination</w:t>
      </w:r>
      <w:r w:rsidR="00F25014" w:rsidRPr="005773DF">
        <w:rPr>
          <w:rFonts w:ascii="Arial" w:hAnsi="Arial" w:cs="Arial"/>
        </w:rPr>
        <w:t>s</w:t>
      </w:r>
      <w:r w:rsidRPr="005773DF">
        <w:rPr>
          <w:rFonts w:ascii="Arial" w:hAnsi="Arial" w:cs="Arial"/>
        </w:rPr>
        <w:t xml:space="preserve"> </w:t>
      </w:r>
      <w:r w:rsidR="00A1611B" w:rsidRPr="005773DF">
        <w:rPr>
          <w:rFonts w:ascii="Arial" w:hAnsi="Arial" w:cs="Arial"/>
        </w:rPr>
        <w:t>to use</w:t>
      </w:r>
      <w:r w:rsidRPr="005773DF">
        <w:rPr>
          <w:rFonts w:ascii="Arial" w:hAnsi="Arial" w:cs="Arial"/>
        </w:rPr>
        <w:t xml:space="preserve"> IAP </w:t>
      </w:r>
      <w:r w:rsidR="00A1611B" w:rsidRPr="005773DF">
        <w:rPr>
          <w:rFonts w:ascii="Arial" w:hAnsi="Arial" w:cs="Arial"/>
        </w:rPr>
        <w:t xml:space="preserve">when other states have not taken this position </w:t>
      </w:r>
      <w:r w:rsidRPr="005773DF">
        <w:rPr>
          <w:rFonts w:ascii="Arial" w:hAnsi="Arial" w:cs="Arial"/>
        </w:rPr>
        <w:t>defies logic after considering the evidence. IAP is not required on some other prescriptive modular combinations, and is not required on Type 1 and Type 2 road trains</w:t>
      </w:r>
      <w:r w:rsidR="00A1611B" w:rsidRPr="005773DF">
        <w:rPr>
          <w:rFonts w:ascii="Arial" w:hAnsi="Arial" w:cs="Arial"/>
        </w:rPr>
        <w:t xml:space="preserve"> operating at GML</w:t>
      </w:r>
      <w:r w:rsidRPr="005773DF">
        <w:rPr>
          <w:rFonts w:ascii="Arial" w:hAnsi="Arial" w:cs="Arial"/>
        </w:rPr>
        <w:t xml:space="preserve">. There is simply no </w:t>
      </w:r>
      <w:r w:rsidR="00F25014" w:rsidRPr="005773DF">
        <w:rPr>
          <w:rFonts w:ascii="Arial" w:hAnsi="Arial" w:cs="Arial"/>
        </w:rPr>
        <w:t xml:space="preserve">reasonable </w:t>
      </w:r>
      <w:r w:rsidRPr="005773DF">
        <w:rPr>
          <w:rFonts w:ascii="Arial" w:hAnsi="Arial" w:cs="Arial"/>
        </w:rPr>
        <w:t>way to examine how it has been implemented</w:t>
      </w:r>
      <w:r w:rsidR="00A1611B" w:rsidRPr="005773DF">
        <w:rPr>
          <w:rFonts w:ascii="Arial" w:hAnsi="Arial" w:cs="Arial"/>
        </w:rPr>
        <w:t xml:space="preserve"> and why some combinations require IAP and others do not</w:t>
      </w:r>
      <w:r w:rsidRPr="005773DF">
        <w:rPr>
          <w:rFonts w:ascii="Arial" w:hAnsi="Arial" w:cs="Arial"/>
        </w:rPr>
        <w:t>. The policy itself defies logic.</w:t>
      </w:r>
    </w:p>
    <w:p w:rsidR="006C5271" w:rsidRPr="005773DF" w:rsidRDefault="006C5271" w:rsidP="005773DF">
      <w:pPr>
        <w:spacing w:after="0" w:line="240" w:lineRule="auto"/>
        <w:jc w:val="both"/>
        <w:rPr>
          <w:rFonts w:ascii="Arial" w:hAnsi="Arial" w:cs="Arial"/>
          <w:sz w:val="20"/>
          <w:szCs w:val="20"/>
        </w:rPr>
      </w:pPr>
    </w:p>
    <w:p w:rsidR="00666802" w:rsidRPr="005773DF" w:rsidRDefault="001779C4" w:rsidP="005773DF">
      <w:pPr>
        <w:spacing w:after="0" w:line="300" w:lineRule="atLeast"/>
        <w:jc w:val="both"/>
        <w:rPr>
          <w:rFonts w:ascii="Arial" w:hAnsi="Arial" w:cs="Arial"/>
        </w:rPr>
      </w:pPr>
      <w:r w:rsidRPr="005773DF">
        <w:rPr>
          <w:rFonts w:ascii="Arial" w:hAnsi="Arial" w:cs="Arial"/>
        </w:rPr>
        <w:t>It is difficult to understand how a</w:t>
      </w:r>
      <w:r w:rsidR="00666802" w:rsidRPr="005773DF">
        <w:rPr>
          <w:rFonts w:ascii="Arial" w:hAnsi="Arial" w:cs="Arial"/>
        </w:rPr>
        <w:t xml:space="preserve"> conclusion </w:t>
      </w:r>
      <w:r w:rsidRPr="005773DF">
        <w:rPr>
          <w:rFonts w:ascii="Arial" w:hAnsi="Arial" w:cs="Arial"/>
        </w:rPr>
        <w:t xml:space="preserve">can </w:t>
      </w:r>
      <w:r w:rsidR="00666802" w:rsidRPr="005773DF">
        <w:rPr>
          <w:rFonts w:ascii="Arial" w:hAnsi="Arial" w:cs="Arial"/>
        </w:rPr>
        <w:t xml:space="preserve">be </w:t>
      </w:r>
      <w:r w:rsidRPr="005773DF">
        <w:rPr>
          <w:rFonts w:ascii="Arial" w:hAnsi="Arial" w:cs="Arial"/>
        </w:rPr>
        <w:t>reached</w:t>
      </w:r>
      <w:r w:rsidR="00666802" w:rsidRPr="005773DF">
        <w:rPr>
          <w:rFonts w:ascii="Arial" w:hAnsi="Arial" w:cs="Arial"/>
        </w:rPr>
        <w:t xml:space="preserve"> that prescriptive modular combinations</w:t>
      </w:r>
      <w:r w:rsidR="00F25014" w:rsidRPr="005773DF">
        <w:rPr>
          <w:rFonts w:ascii="Arial" w:hAnsi="Arial" w:cs="Arial"/>
        </w:rPr>
        <w:t xml:space="preserve"> are at a </w:t>
      </w:r>
      <w:r w:rsidRPr="005773DF">
        <w:rPr>
          <w:rFonts w:ascii="Arial" w:hAnsi="Arial" w:cs="Arial"/>
        </w:rPr>
        <w:t xml:space="preserve">high </w:t>
      </w:r>
      <w:r w:rsidR="00F25014" w:rsidRPr="005773DF">
        <w:rPr>
          <w:rFonts w:ascii="Arial" w:hAnsi="Arial" w:cs="Arial"/>
        </w:rPr>
        <w:t>level of risk</w:t>
      </w:r>
      <w:r w:rsidRPr="005773DF">
        <w:rPr>
          <w:rFonts w:ascii="Arial" w:hAnsi="Arial" w:cs="Arial"/>
        </w:rPr>
        <w:t xml:space="preserve"> thus warranting </w:t>
      </w:r>
      <w:r w:rsidR="00F25014" w:rsidRPr="005773DF">
        <w:rPr>
          <w:rFonts w:ascii="Arial" w:hAnsi="Arial" w:cs="Arial"/>
        </w:rPr>
        <w:t>IAP being applied</w:t>
      </w:r>
      <w:r w:rsidRPr="005773DF">
        <w:rPr>
          <w:rFonts w:ascii="Arial" w:hAnsi="Arial" w:cs="Arial"/>
        </w:rPr>
        <w:t xml:space="preserve">. Prescriptive modular combinations are </w:t>
      </w:r>
      <w:r w:rsidR="00666802" w:rsidRPr="005773DF">
        <w:rPr>
          <w:rFonts w:ascii="Arial" w:hAnsi="Arial" w:cs="Arial"/>
        </w:rPr>
        <w:t xml:space="preserve">safer, more productive and more environmentally friendly combinations, with less impact on structures and pavement, </w:t>
      </w:r>
      <w:r w:rsidR="00F25014" w:rsidRPr="005773DF">
        <w:rPr>
          <w:rFonts w:ascii="Arial" w:hAnsi="Arial" w:cs="Arial"/>
        </w:rPr>
        <w:t xml:space="preserve">compared to </w:t>
      </w:r>
      <w:r w:rsidR="00666802" w:rsidRPr="005773DF">
        <w:rPr>
          <w:rFonts w:ascii="Arial" w:hAnsi="Arial" w:cs="Arial"/>
        </w:rPr>
        <w:t>a Type 1 or Type 2 road trains</w:t>
      </w:r>
      <w:r w:rsidRPr="005773DF">
        <w:rPr>
          <w:rFonts w:ascii="Arial" w:hAnsi="Arial" w:cs="Arial"/>
        </w:rPr>
        <w:t>.</w:t>
      </w:r>
    </w:p>
    <w:p w:rsidR="00666802" w:rsidRPr="005773DF" w:rsidRDefault="00666802" w:rsidP="005773DF">
      <w:pPr>
        <w:spacing w:after="0" w:line="240" w:lineRule="auto"/>
        <w:jc w:val="both"/>
        <w:rPr>
          <w:rFonts w:ascii="Arial" w:hAnsi="Arial" w:cs="Arial"/>
          <w:sz w:val="20"/>
          <w:szCs w:val="20"/>
        </w:rPr>
      </w:pPr>
    </w:p>
    <w:p w:rsidR="00666802" w:rsidRDefault="00666802" w:rsidP="005773DF">
      <w:pPr>
        <w:spacing w:after="0" w:line="300" w:lineRule="atLeast"/>
        <w:jc w:val="both"/>
        <w:rPr>
          <w:rFonts w:ascii="Arial" w:hAnsi="Arial" w:cs="Arial"/>
        </w:rPr>
      </w:pPr>
      <w:r w:rsidRPr="005773DF">
        <w:rPr>
          <w:rFonts w:ascii="Arial" w:hAnsi="Arial" w:cs="Arial"/>
        </w:rPr>
        <w:t>Fitting IAP to prescriptive modular combinations, such as B-triples</w:t>
      </w:r>
      <w:r w:rsidR="00F25014" w:rsidRPr="005773DF">
        <w:rPr>
          <w:rFonts w:ascii="Arial" w:hAnsi="Arial" w:cs="Arial"/>
        </w:rPr>
        <w:t xml:space="preserve"> or semi-trailer combinations accessing </w:t>
      </w:r>
      <w:proofErr w:type="gramStart"/>
      <w:r w:rsidR="00F25014" w:rsidRPr="005773DF">
        <w:rPr>
          <w:rFonts w:ascii="Arial" w:hAnsi="Arial" w:cs="Arial"/>
        </w:rPr>
        <w:t>HML</w:t>
      </w:r>
      <w:r w:rsidRPr="005773DF">
        <w:rPr>
          <w:rFonts w:ascii="Arial" w:hAnsi="Arial" w:cs="Arial"/>
        </w:rPr>
        <w:t>,</w:t>
      </w:r>
      <w:proofErr w:type="gramEnd"/>
      <w:r w:rsidRPr="005773DF">
        <w:rPr>
          <w:rFonts w:ascii="Arial" w:hAnsi="Arial" w:cs="Arial"/>
        </w:rPr>
        <w:t xml:space="preserve"> is not appropriate according to the level of risk. Unfortunately, operators are being pushed into a corner where, to ensure they can service their customers and remain competitive</w:t>
      </w:r>
      <w:r w:rsidR="00A1611B" w:rsidRPr="005773DF">
        <w:rPr>
          <w:rFonts w:ascii="Arial" w:hAnsi="Arial" w:cs="Arial"/>
        </w:rPr>
        <w:t xml:space="preserve"> </w:t>
      </w:r>
      <w:r w:rsidR="00902086" w:rsidRPr="005773DF">
        <w:rPr>
          <w:rFonts w:ascii="Arial" w:hAnsi="Arial" w:cs="Arial"/>
        </w:rPr>
        <w:t>with</w:t>
      </w:r>
      <w:r w:rsidR="00A1611B" w:rsidRPr="005773DF">
        <w:rPr>
          <w:rFonts w:ascii="Arial" w:hAnsi="Arial" w:cs="Arial"/>
        </w:rPr>
        <w:t xml:space="preserve"> other states</w:t>
      </w:r>
      <w:r w:rsidRPr="005773DF">
        <w:rPr>
          <w:rFonts w:ascii="Arial" w:hAnsi="Arial" w:cs="Arial"/>
        </w:rPr>
        <w:t xml:space="preserve">, they are being forced to fit IAP to access higher mass limits </w:t>
      </w:r>
      <w:r w:rsidR="00A1611B" w:rsidRPr="005773DF">
        <w:rPr>
          <w:rFonts w:ascii="Arial" w:hAnsi="Arial" w:cs="Arial"/>
        </w:rPr>
        <w:t xml:space="preserve">or more productive vehicles </w:t>
      </w:r>
      <w:r w:rsidR="00902086" w:rsidRPr="005773DF">
        <w:rPr>
          <w:rFonts w:ascii="Arial" w:hAnsi="Arial" w:cs="Arial"/>
        </w:rPr>
        <w:t>in NSW</w:t>
      </w:r>
      <w:r w:rsidRPr="005773DF">
        <w:rPr>
          <w:rFonts w:ascii="Arial" w:hAnsi="Arial" w:cs="Arial"/>
        </w:rPr>
        <w:t>.</w:t>
      </w:r>
    </w:p>
    <w:p w:rsidR="00C75B7B" w:rsidRPr="005773DF" w:rsidRDefault="00C75B7B" w:rsidP="005773DF">
      <w:pPr>
        <w:spacing w:after="0" w:line="300" w:lineRule="atLeast"/>
        <w:jc w:val="both"/>
        <w:rPr>
          <w:rFonts w:ascii="Arial" w:hAnsi="Arial" w:cs="Arial"/>
        </w:rPr>
      </w:pPr>
    </w:p>
    <w:p w:rsidR="00C75B7B" w:rsidRPr="005773DF" w:rsidRDefault="00C75B7B" w:rsidP="00C75B7B">
      <w:pPr>
        <w:spacing w:after="0" w:line="300" w:lineRule="atLeast"/>
        <w:jc w:val="both"/>
        <w:rPr>
          <w:rFonts w:ascii="Arial" w:hAnsi="Arial" w:cs="Arial"/>
          <w:lang w:eastAsia="en-US"/>
        </w:rPr>
      </w:pPr>
      <w:r w:rsidRPr="005773DF">
        <w:rPr>
          <w:rFonts w:ascii="Arial" w:hAnsi="Arial" w:cs="Arial"/>
          <w:lang w:eastAsia="en-US"/>
        </w:rPr>
        <w:t>The recent positive announcement by Minister Gay regarding higher mass limit roads and making the relevant HML maps accessible without condition is a step in the right direction. Following through on that common sense decision with further improvements by sensible access arrangements without IAP will garner solid support from the transport industry, which will provide ongoing benefits for NSW.</w:t>
      </w:r>
    </w:p>
    <w:p w:rsidR="00C75B7B" w:rsidRDefault="00C75B7B">
      <w:pPr>
        <w:spacing w:after="0" w:line="240" w:lineRule="auto"/>
        <w:rPr>
          <w:rFonts w:ascii="Arial" w:hAnsi="Arial" w:cs="Arial"/>
          <w:sz w:val="20"/>
          <w:szCs w:val="20"/>
          <w:lang w:eastAsia="en-US"/>
        </w:rPr>
      </w:pPr>
      <w:r>
        <w:rPr>
          <w:rFonts w:ascii="Arial" w:hAnsi="Arial" w:cs="Arial"/>
          <w:sz w:val="20"/>
          <w:szCs w:val="20"/>
          <w:lang w:eastAsia="en-US"/>
        </w:rPr>
        <w:br w:type="page"/>
      </w:r>
    </w:p>
    <w:p w:rsidR="00C75B7B" w:rsidRPr="00C75B7B" w:rsidRDefault="00C75B7B" w:rsidP="00C75B7B">
      <w:pPr>
        <w:spacing w:after="0" w:line="300" w:lineRule="atLeast"/>
        <w:jc w:val="both"/>
        <w:rPr>
          <w:rFonts w:ascii="Arial" w:hAnsi="Arial" w:cs="Arial"/>
          <w:lang w:eastAsia="en-US"/>
        </w:rPr>
      </w:pPr>
    </w:p>
    <w:p w:rsidR="00C75B7B" w:rsidRDefault="00C75B7B" w:rsidP="00C75B7B">
      <w:pPr>
        <w:pStyle w:val="Heading1"/>
        <w:rPr>
          <w:sz w:val="24"/>
          <w:szCs w:val="24"/>
        </w:rPr>
      </w:pPr>
      <w:bookmarkStart w:id="31" w:name="_Toc301363579"/>
      <w:r>
        <w:rPr>
          <w:sz w:val="24"/>
          <w:szCs w:val="24"/>
        </w:rPr>
        <w:t>Recommendations</w:t>
      </w:r>
      <w:bookmarkEnd w:id="31"/>
      <w:r w:rsidRPr="00C75B7B">
        <w:rPr>
          <w:sz w:val="24"/>
          <w:szCs w:val="24"/>
        </w:rPr>
        <w:t xml:space="preserve"> </w:t>
      </w:r>
    </w:p>
    <w:p w:rsidR="00C75B7B" w:rsidRPr="00C75B7B" w:rsidRDefault="00C75B7B" w:rsidP="00C75B7B">
      <w:pPr>
        <w:spacing w:after="0" w:line="300" w:lineRule="atLeast"/>
        <w:jc w:val="both"/>
        <w:rPr>
          <w:rFonts w:ascii="Arial" w:hAnsi="Arial" w:cs="Arial"/>
          <w:lang w:eastAsia="en-US"/>
        </w:rPr>
      </w:pPr>
    </w:p>
    <w:p w:rsidR="00C75B7B" w:rsidRPr="00C75B7B" w:rsidRDefault="00C75B7B" w:rsidP="00C75B7B">
      <w:pPr>
        <w:spacing w:after="0" w:line="300" w:lineRule="atLeast"/>
        <w:jc w:val="both"/>
        <w:rPr>
          <w:rFonts w:ascii="Arial" w:hAnsi="Arial" w:cs="Arial"/>
          <w:b/>
          <w:lang w:eastAsia="en-US"/>
        </w:rPr>
      </w:pPr>
      <w:r w:rsidRPr="00C75B7B">
        <w:rPr>
          <w:rFonts w:ascii="Arial" w:hAnsi="Arial" w:cs="Arial"/>
          <w:b/>
          <w:lang w:eastAsia="en-US"/>
        </w:rPr>
        <w:t>The ATA recommends the new NSW government:</w:t>
      </w:r>
    </w:p>
    <w:p w:rsidR="00C75B7B" w:rsidRPr="00C75B7B" w:rsidRDefault="00C75B7B" w:rsidP="00C75B7B">
      <w:pPr>
        <w:spacing w:after="0" w:line="300" w:lineRule="atLeast"/>
        <w:jc w:val="both"/>
        <w:rPr>
          <w:rFonts w:ascii="Arial" w:hAnsi="Arial" w:cs="Arial"/>
          <w:b/>
          <w:lang w:eastAsia="en-US"/>
        </w:rPr>
      </w:pPr>
    </w:p>
    <w:p w:rsidR="00C75B7B" w:rsidRPr="00C75B7B" w:rsidRDefault="00C75B7B" w:rsidP="00C75B7B">
      <w:pPr>
        <w:numPr>
          <w:ilvl w:val="0"/>
          <w:numId w:val="38"/>
        </w:numPr>
        <w:spacing w:before="240" w:after="240" w:line="300" w:lineRule="atLeast"/>
        <w:jc w:val="both"/>
        <w:rPr>
          <w:rFonts w:ascii="Arial" w:hAnsi="Arial" w:cs="Arial"/>
          <w:b/>
          <w:lang w:eastAsia="en-US"/>
        </w:rPr>
      </w:pPr>
      <w:r w:rsidRPr="00C75B7B">
        <w:rPr>
          <w:rFonts w:ascii="Arial" w:hAnsi="Arial" w:cs="Arial"/>
          <w:b/>
          <w:lang w:eastAsia="en-US"/>
        </w:rPr>
        <w:t>removes IAP from prescriptive modular combinations;</w:t>
      </w:r>
    </w:p>
    <w:p w:rsidR="00C75B7B" w:rsidRPr="00C75B7B" w:rsidRDefault="00C75B7B" w:rsidP="00C75B7B">
      <w:pPr>
        <w:numPr>
          <w:ilvl w:val="0"/>
          <w:numId w:val="38"/>
        </w:numPr>
        <w:spacing w:before="240" w:after="240" w:line="300" w:lineRule="atLeast"/>
        <w:ind w:left="714" w:hanging="357"/>
        <w:jc w:val="both"/>
        <w:rPr>
          <w:rFonts w:ascii="Arial" w:hAnsi="Arial" w:cs="Arial"/>
          <w:b/>
          <w:lang w:eastAsia="en-US"/>
        </w:rPr>
      </w:pPr>
      <w:r w:rsidRPr="00C75B7B">
        <w:rPr>
          <w:rFonts w:ascii="Arial" w:hAnsi="Arial" w:cs="Arial"/>
          <w:b/>
          <w:lang w:eastAsia="en-US"/>
        </w:rPr>
        <w:t>removes IAP from vehicles accessing HML;</w:t>
      </w:r>
    </w:p>
    <w:p w:rsidR="00C75B7B" w:rsidRPr="00C75B7B" w:rsidRDefault="00C75B7B" w:rsidP="00C75B7B">
      <w:pPr>
        <w:numPr>
          <w:ilvl w:val="0"/>
          <w:numId w:val="38"/>
        </w:numPr>
        <w:spacing w:before="240" w:after="240" w:line="300" w:lineRule="atLeast"/>
        <w:ind w:left="714" w:hanging="357"/>
        <w:jc w:val="both"/>
        <w:rPr>
          <w:rFonts w:ascii="Arial" w:hAnsi="Arial" w:cs="Arial"/>
          <w:b/>
          <w:color w:val="000000" w:themeColor="text1"/>
          <w:lang w:eastAsia="en-US"/>
        </w:rPr>
      </w:pPr>
      <w:r w:rsidRPr="00C75B7B">
        <w:rPr>
          <w:rFonts w:ascii="Arial" w:hAnsi="Arial" w:cs="Arial"/>
          <w:b/>
          <w:color w:val="000000" w:themeColor="text1"/>
          <w:lang w:eastAsia="en-US"/>
        </w:rPr>
        <w:t>encourages the use of prescriptive modular combinations for productivity, safety and environmental gains by opening the road train network to these vehicles without the requirement to fit IAP; and</w:t>
      </w:r>
    </w:p>
    <w:p w:rsidR="00C75B7B" w:rsidRPr="00C75B7B" w:rsidRDefault="00C75B7B" w:rsidP="00C75B7B">
      <w:pPr>
        <w:numPr>
          <w:ilvl w:val="0"/>
          <w:numId w:val="38"/>
        </w:numPr>
        <w:spacing w:before="240" w:after="240" w:line="300" w:lineRule="atLeast"/>
        <w:ind w:left="714" w:hanging="357"/>
        <w:jc w:val="both"/>
        <w:rPr>
          <w:rFonts w:ascii="Arial" w:hAnsi="Arial" w:cs="Arial"/>
          <w:b/>
          <w:lang w:eastAsia="en-US"/>
        </w:rPr>
      </w:pPr>
      <w:proofErr w:type="gramStart"/>
      <w:r w:rsidRPr="00C75B7B">
        <w:rPr>
          <w:rFonts w:ascii="Arial" w:hAnsi="Arial" w:cs="Arial"/>
          <w:b/>
          <w:lang w:eastAsia="en-US"/>
        </w:rPr>
        <w:t>reduces</w:t>
      </w:r>
      <w:proofErr w:type="gramEnd"/>
      <w:r w:rsidRPr="00C75B7B">
        <w:rPr>
          <w:rFonts w:ascii="Arial" w:hAnsi="Arial" w:cs="Arial"/>
          <w:b/>
          <w:lang w:eastAsia="en-US"/>
        </w:rPr>
        <w:t xml:space="preserve"> the administrative burden on the industry by removing the requirement for IAP on low risk vehicles.</w:t>
      </w:r>
    </w:p>
    <w:p w:rsidR="00C75B7B" w:rsidRPr="00C75B7B" w:rsidRDefault="00C75B7B" w:rsidP="00C75B7B">
      <w:pPr>
        <w:spacing w:after="0" w:line="300" w:lineRule="atLeast"/>
        <w:jc w:val="both"/>
        <w:rPr>
          <w:rFonts w:ascii="Arial" w:hAnsi="Arial" w:cs="Arial"/>
          <w:lang w:eastAsia="en-US"/>
        </w:rPr>
      </w:pPr>
    </w:p>
    <w:p w:rsidR="00666802" w:rsidRPr="00C75B7B" w:rsidRDefault="006C5271" w:rsidP="00C75B7B">
      <w:pPr>
        <w:pStyle w:val="Heading1"/>
        <w:rPr>
          <w:sz w:val="24"/>
          <w:szCs w:val="24"/>
        </w:rPr>
      </w:pPr>
      <w:r w:rsidRPr="00C75B7B">
        <w:rPr>
          <w:sz w:val="24"/>
          <w:szCs w:val="24"/>
        </w:rPr>
        <w:br w:type="page"/>
      </w:r>
    </w:p>
    <w:p w:rsidR="00666802" w:rsidRPr="00E761DA" w:rsidRDefault="00666802" w:rsidP="005F3333">
      <w:pPr>
        <w:pStyle w:val="Heading1"/>
        <w:rPr>
          <w:sz w:val="24"/>
          <w:szCs w:val="24"/>
        </w:rPr>
      </w:pPr>
      <w:bookmarkStart w:id="32" w:name="_Toc301346305"/>
      <w:bookmarkStart w:id="33" w:name="_Toc301363580"/>
      <w:r>
        <w:rPr>
          <w:sz w:val="24"/>
          <w:szCs w:val="24"/>
        </w:rPr>
        <w:lastRenderedPageBreak/>
        <w:t>Abbreviations</w:t>
      </w:r>
      <w:bookmarkEnd w:id="32"/>
      <w:bookmarkEnd w:id="33"/>
    </w:p>
    <w:p w:rsidR="00666802" w:rsidRDefault="00666802" w:rsidP="00B15C34">
      <w:pPr>
        <w:spacing w:after="0" w:line="280" w:lineRule="atLeast"/>
        <w:jc w:val="both"/>
        <w:rPr>
          <w:rFonts w:ascii="Arial" w:hAnsi="Arial" w:cs="Arial"/>
          <w:sz w:val="20"/>
          <w:szCs w:val="20"/>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3320"/>
        <w:gridCol w:w="425"/>
        <w:gridCol w:w="1350"/>
        <w:gridCol w:w="3293"/>
      </w:tblGrid>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ATA</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Australian Trucking Association</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NHVR</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National Heavy Vehicle Regulator</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ATC</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Australian Transport Council</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NTC</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National Transport Commission</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C&amp;E</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Compliance and Enforcement</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OHS</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Occupational Health &amp; Safety</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CML</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Concessional Mass Limit</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PBS</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Performance Based Standards</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ESA</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Equivalent Standard Axle</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RFS</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Road Friendly Suspension</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GML</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General Mass Limit</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RTA</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Roads and Traffic Authority</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HML</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Higher Mass Limit</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SIO</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Supervisory Intervention Order</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HVNL</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Heavy Vehicle National Law</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TCA</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Transport Certification Australia</w:t>
            </w:r>
          </w:p>
        </w:tc>
      </w:tr>
      <w:tr w:rsidR="00AF5776" w:rsidRPr="00AF5776" w:rsidTr="00AF5776">
        <w:trPr>
          <w:trHeight w:val="448"/>
        </w:trPr>
        <w:tc>
          <w:tcPr>
            <w:tcW w:w="1358"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IAP</w:t>
            </w:r>
          </w:p>
        </w:tc>
        <w:tc>
          <w:tcPr>
            <w:tcW w:w="332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Intelligent Access Program</w:t>
            </w:r>
          </w:p>
        </w:tc>
        <w:tc>
          <w:tcPr>
            <w:tcW w:w="425" w:type="dxa"/>
            <w:tcBorders>
              <w:top w:val="nil"/>
              <w:bottom w:val="nil"/>
            </w:tcBorders>
          </w:tcPr>
          <w:p w:rsidR="00AF5776" w:rsidRPr="00AF5776" w:rsidRDefault="00AF5776" w:rsidP="00AF5776">
            <w:pPr>
              <w:spacing w:after="0" w:line="240" w:lineRule="auto"/>
              <w:rPr>
                <w:rFonts w:ascii="Arial" w:hAnsi="Arial" w:cs="Arial"/>
                <w:sz w:val="20"/>
                <w:szCs w:val="20"/>
                <w:lang w:eastAsia="en-US"/>
              </w:rPr>
            </w:pPr>
          </w:p>
        </w:tc>
        <w:tc>
          <w:tcPr>
            <w:tcW w:w="1350"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UHOC</w:t>
            </w:r>
          </w:p>
        </w:tc>
        <w:tc>
          <w:tcPr>
            <w:tcW w:w="3293" w:type="dxa"/>
            <w:vAlign w:val="center"/>
          </w:tcPr>
          <w:p w:rsidR="00AF5776" w:rsidRPr="00AF5776" w:rsidRDefault="00AF5776" w:rsidP="00AF5776">
            <w:pPr>
              <w:spacing w:after="0" w:line="240" w:lineRule="auto"/>
              <w:rPr>
                <w:rFonts w:ascii="Arial" w:hAnsi="Arial" w:cs="Arial"/>
                <w:sz w:val="20"/>
                <w:szCs w:val="20"/>
                <w:lang w:eastAsia="en-US"/>
              </w:rPr>
            </w:pPr>
            <w:r w:rsidRPr="00AF5776">
              <w:rPr>
                <w:rFonts w:ascii="Arial" w:hAnsi="Arial" w:cs="Arial"/>
                <w:sz w:val="20"/>
                <w:szCs w:val="20"/>
                <w:lang w:eastAsia="en-US"/>
              </w:rPr>
              <w:t>Ultra Heavy Oversized Cranes</w:t>
            </w:r>
          </w:p>
        </w:tc>
      </w:tr>
    </w:tbl>
    <w:p w:rsidR="00666802" w:rsidRPr="00AD3DFB" w:rsidRDefault="00666802" w:rsidP="00AD3DFB">
      <w:pPr>
        <w:spacing w:after="0" w:line="280" w:lineRule="atLeast"/>
        <w:jc w:val="both"/>
        <w:rPr>
          <w:rFonts w:ascii="Arial" w:hAnsi="Arial" w:cs="Arial"/>
          <w:sz w:val="20"/>
          <w:szCs w:val="20"/>
        </w:rPr>
      </w:pPr>
    </w:p>
    <w:p w:rsidR="00666802" w:rsidRDefault="00666802" w:rsidP="00AD3DFB">
      <w:pPr>
        <w:spacing w:after="0" w:line="280" w:lineRule="atLeast"/>
        <w:jc w:val="both"/>
        <w:rPr>
          <w:rFonts w:ascii="Arial" w:hAnsi="Arial" w:cs="Arial"/>
          <w:sz w:val="20"/>
          <w:szCs w:val="20"/>
        </w:rPr>
      </w:pPr>
    </w:p>
    <w:p w:rsidR="00666802" w:rsidRDefault="00666802" w:rsidP="005F3333">
      <w:pPr>
        <w:pStyle w:val="Heading1"/>
        <w:rPr>
          <w:sz w:val="24"/>
          <w:szCs w:val="24"/>
        </w:rPr>
      </w:pPr>
      <w:bookmarkStart w:id="34" w:name="_Toc301346306"/>
      <w:bookmarkStart w:id="35" w:name="_Toc301363581"/>
      <w:r>
        <w:rPr>
          <w:sz w:val="24"/>
          <w:szCs w:val="24"/>
        </w:rPr>
        <w:t>Prescriptive Modular Vehicles</w:t>
      </w:r>
      <w:bookmarkEnd w:id="34"/>
      <w:bookmarkEnd w:id="35"/>
    </w:p>
    <w:p w:rsidR="002F33E0" w:rsidRPr="002F33E0" w:rsidRDefault="002F33E0" w:rsidP="002F33E0">
      <w:pPr>
        <w:spacing w:after="0" w:line="280" w:lineRule="atLeast"/>
        <w:jc w:val="both"/>
        <w:rPr>
          <w:rFonts w:ascii="Arial" w:hAnsi="Arial" w:cs="Arial"/>
          <w:sz w:val="20"/>
          <w:szCs w:val="20"/>
        </w:rPr>
      </w:pPr>
    </w:p>
    <w:tbl>
      <w:tblPr>
        <w:tblW w:w="9639" w:type="dxa"/>
        <w:tblLook w:val="01E0"/>
      </w:tblPr>
      <w:tblGrid>
        <w:gridCol w:w="7432"/>
        <w:gridCol w:w="2207"/>
      </w:tblGrid>
      <w:tr w:rsidR="00A1611B" w:rsidTr="00B50150">
        <w:trPr>
          <w:trHeight w:val="851"/>
        </w:trPr>
        <w:tc>
          <w:tcPr>
            <w:tcW w:w="7432" w:type="dxa"/>
            <w:vAlign w:val="center"/>
          </w:tcPr>
          <w:p w:rsidR="00A1611B" w:rsidRPr="00B50150" w:rsidRDefault="00485F73" w:rsidP="00B50150">
            <w:pPr>
              <w:spacing w:after="0" w:line="240" w:lineRule="auto"/>
              <w:jc w:val="right"/>
              <w:rPr>
                <w:rFonts w:ascii="Arial" w:hAnsi="Arial" w:cs="Arial"/>
                <w:noProof/>
                <w:sz w:val="20"/>
                <w:szCs w:val="20"/>
              </w:rPr>
            </w:pPr>
            <w:r>
              <w:rPr>
                <w:rFonts w:ascii="Arial" w:hAnsi="Arial" w:cs="Arial"/>
                <w:noProof/>
              </w:rPr>
              <w:drawing>
                <wp:inline distT="0" distB="0" distL="0" distR="0">
                  <wp:extent cx="1530350" cy="431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530350" cy="431800"/>
                          </a:xfrm>
                          <a:prstGeom prst="rect">
                            <a:avLst/>
                          </a:prstGeom>
                          <a:noFill/>
                          <a:ln w="9525">
                            <a:noFill/>
                            <a:miter lim="800000"/>
                            <a:headEnd/>
                            <a:tailEnd/>
                          </a:ln>
                        </pic:spPr>
                      </pic:pic>
                    </a:graphicData>
                  </a:graphic>
                </wp:inline>
              </w:drawing>
            </w:r>
          </w:p>
        </w:tc>
        <w:tc>
          <w:tcPr>
            <w:tcW w:w="2207" w:type="dxa"/>
            <w:vAlign w:val="center"/>
          </w:tcPr>
          <w:p w:rsidR="00A1611B" w:rsidRPr="00B50150" w:rsidRDefault="00A1611B" w:rsidP="00B50150">
            <w:pPr>
              <w:spacing w:after="0" w:line="280" w:lineRule="atLeast"/>
              <w:rPr>
                <w:rFonts w:ascii="Arial" w:hAnsi="Arial" w:cs="Arial"/>
                <w:noProof/>
                <w:sz w:val="20"/>
                <w:szCs w:val="20"/>
              </w:rPr>
            </w:pPr>
            <w:r w:rsidRPr="00B50150">
              <w:rPr>
                <w:rFonts w:ascii="Arial" w:hAnsi="Arial" w:cs="Arial"/>
                <w:sz w:val="20"/>
                <w:szCs w:val="20"/>
                <w:lang w:eastAsia="en-US"/>
              </w:rPr>
              <w:t>Semi-trailer</w:t>
            </w:r>
          </w:p>
        </w:tc>
      </w:tr>
      <w:tr w:rsidR="00666802" w:rsidTr="00B50150">
        <w:trPr>
          <w:trHeight w:val="284"/>
        </w:trPr>
        <w:tc>
          <w:tcPr>
            <w:tcW w:w="7432" w:type="dxa"/>
            <w:vAlign w:val="center"/>
          </w:tcPr>
          <w:p w:rsidR="00666802" w:rsidRPr="00B50150" w:rsidRDefault="00666802" w:rsidP="00B50150">
            <w:pPr>
              <w:spacing w:after="0" w:line="280" w:lineRule="atLeast"/>
              <w:jc w:val="right"/>
              <w:rPr>
                <w:rFonts w:ascii="Arial" w:hAnsi="Arial" w:cs="Arial"/>
                <w:noProof/>
                <w:sz w:val="20"/>
                <w:szCs w:val="20"/>
              </w:rPr>
            </w:pPr>
          </w:p>
        </w:tc>
        <w:tc>
          <w:tcPr>
            <w:tcW w:w="2207" w:type="dxa"/>
            <w:vAlign w:val="center"/>
          </w:tcPr>
          <w:p w:rsidR="00666802" w:rsidRPr="00B50150" w:rsidRDefault="00666802" w:rsidP="00B50150">
            <w:pPr>
              <w:spacing w:after="0" w:line="280" w:lineRule="atLeast"/>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80" w:lineRule="atLeast"/>
              <w:jc w:val="right"/>
              <w:rPr>
                <w:rFonts w:ascii="Arial" w:hAnsi="Arial" w:cs="Arial"/>
                <w:sz w:val="20"/>
                <w:szCs w:val="20"/>
                <w:lang w:eastAsia="en-US"/>
              </w:rPr>
            </w:pPr>
            <w:r>
              <w:rPr>
                <w:rFonts w:ascii="Arial" w:hAnsi="Arial" w:cs="Arial"/>
                <w:noProof/>
              </w:rPr>
              <w:drawing>
                <wp:inline distT="0" distB="0" distL="0" distR="0">
                  <wp:extent cx="2235200" cy="431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23520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80" w:lineRule="atLeast"/>
              <w:rPr>
                <w:rFonts w:ascii="Arial" w:hAnsi="Arial" w:cs="Arial"/>
                <w:noProof/>
                <w:sz w:val="20"/>
                <w:szCs w:val="20"/>
              </w:rPr>
            </w:pPr>
            <w:r w:rsidRPr="00B50150">
              <w:rPr>
                <w:rFonts w:ascii="Arial" w:hAnsi="Arial" w:cs="Arial"/>
                <w:sz w:val="20"/>
                <w:szCs w:val="20"/>
                <w:lang w:eastAsia="en-US"/>
              </w:rPr>
              <w:t>B-double</w:t>
            </w:r>
          </w:p>
        </w:tc>
      </w:tr>
      <w:tr w:rsidR="00666802" w:rsidTr="00B50150">
        <w:trPr>
          <w:trHeight w:val="284"/>
        </w:trPr>
        <w:tc>
          <w:tcPr>
            <w:tcW w:w="7432" w:type="dxa"/>
            <w:vAlign w:val="center"/>
          </w:tcPr>
          <w:p w:rsidR="00666802" w:rsidRPr="00B50150" w:rsidRDefault="00666802" w:rsidP="00B50150">
            <w:pPr>
              <w:spacing w:after="0" w:line="240" w:lineRule="auto"/>
              <w:jc w:val="right"/>
              <w:rPr>
                <w:rFonts w:ascii="Arial" w:hAnsi="Arial" w:cs="Arial"/>
                <w:sz w:val="20"/>
                <w:szCs w:val="20"/>
                <w:lang w:eastAsia="en-US"/>
              </w:rPr>
            </w:pPr>
          </w:p>
        </w:tc>
        <w:tc>
          <w:tcPr>
            <w:tcW w:w="2207" w:type="dxa"/>
            <w:vAlign w:val="center"/>
          </w:tcPr>
          <w:p w:rsidR="00666802" w:rsidRPr="00B50150" w:rsidRDefault="00666802" w:rsidP="00B50150">
            <w:pPr>
              <w:spacing w:after="0" w:line="240" w:lineRule="auto"/>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40" w:lineRule="auto"/>
              <w:jc w:val="right"/>
              <w:rPr>
                <w:rFonts w:ascii="Arial" w:hAnsi="Arial" w:cs="Arial"/>
                <w:sz w:val="20"/>
                <w:szCs w:val="20"/>
                <w:lang w:eastAsia="en-US"/>
              </w:rPr>
            </w:pPr>
            <w:r>
              <w:rPr>
                <w:rFonts w:ascii="Arial" w:hAnsi="Arial" w:cs="Arial"/>
                <w:noProof/>
              </w:rPr>
              <w:drawing>
                <wp:inline distT="0" distB="0" distL="0" distR="0">
                  <wp:extent cx="2832100" cy="4318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83210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40" w:lineRule="auto"/>
              <w:rPr>
                <w:rFonts w:ascii="Arial" w:hAnsi="Arial" w:cs="Arial"/>
                <w:noProof/>
                <w:sz w:val="20"/>
                <w:szCs w:val="20"/>
              </w:rPr>
            </w:pPr>
            <w:r w:rsidRPr="00B50150">
              <w:rPr>
                <w:rFonts w:ascii="Arial" w:hAnsi="Arial" w:cs="Arial"/>
                <w:noProof/>
                <w:sz w:val="20"/>
                <w:szCs w:val="20"/>
              </w:rPr>
              <w:t>Type 1 Road Train</w:t>
            </w:r>
          </w:p>
        </w:tc>
      </w:tr>
      <w:tr w:rsidR="00666802" w:rsidTr="00B50150">
        <w:trPr>
          <w:trHeight w:val="284"/>
        </w:trPr>
        <w:tc>
          <w:tcPr>
            <w:tcW w:w="7432" w:type="dxa"/>
            <w:vAlign w:val="center"/>
          </w:tcPr>
          <w:p w:rsidR="00666802" w:rsidRPr="00B50150" w:rsidRDefault="00666802" w:rsidP="00B50150">
            <w:pPr>
              <w:spacing w:after="0" w:line="240" w:lineRule="auto"/>
              <w:jc w:val="right"/>
              <w:rPr>
                <w:rFonts w:ascii="Arial" w:hAnsi="Arial" w:cs="Arial"/>
                <w:sz w:val="20"/>
                <w:szCs w:val="20"/>
                <w:lang w:eastAsia="en-US"/>
              </w:rPr>
            </w:pPr>
          </w:p>
        </w:tc>
        <w:tc>
          <w:tcPr>
            <w:tcW w:w="2207" w:type="dxa"/>
            <w:vAlign w:val="center"/>
          </w:tcPr>
          <w:p w:rsidR="00666802" w:rsidRPr="00B50150" w:rsidRDefault="00666802" w:rsidP="00B50150">
            <w:pPr>
              <w:spacing w:after="0" w:line="240" w:lineRule="auto"/>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80" w:lineRule="atLeast"/>
              <w:jc w:val="right"/>
              <w:rPr>
                <w:rFonts w:ascii="Arial" w:hAnsi="Arial" w:cs="Arial"/>
                <w:sz w:val="20"/>
                <w:szCs w:val="20"/>
                <w:lang w:eastAsia="en-US"/>
              </w:rPr>
            </w:pPr>
            <w:r>
              <w:rPr>
                <w:rFonts w:ascii="Arial" w:hAnsi="Arial" w:cs="Arial"/>
                <w:noProof/>
              </w:rPr>
              <w:drawing>
                <wp:inline distT="0" distB="0" distL="0" distR="0">
                  <wp:extent cx="2940050" cy="431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94005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80" w:lineRule="atLeast"/>
              <w:rPr>
                <w:rFonts w:ascii="Arial" w:hAnsi="Arial" w:cs="Arial"/>
                <w:noProof/>
                <w:sz w:val="20"/>
                <w:szCs w:val="20"/>
              </w:rPr>
            </w:pPr>
            <w:r w:rsidRPr="00B50150">
              <w:rPr>
                <w:rFonts w:ascii="Arial" w:hAnsi="Arial" w:cs="Arial"/>
                <w:sz w:val="20"/>
                <w:szCs w:val="20"/>
                <w:lang w:eastAsia="en-US"/>
              </w:rPr>
              <w:t>B-triple</w:t>
            </w:r>
          </w:p>
        </w:tc>
      </w:tr>
      <w:tr w:rsidR="00666802" w:rsidTr="00B50150">
        <w:trPr>
          <w:trHeight w:val="284"/>
        </w:trPr>
        <w:tc>
          <w:tcPr>
            <w:tcW w:w="7432" w:type="dxa"/>
            <w:vAlign w:val="center"/>
          </w:tcPr>
          <w:p w:rsidR="00666802" w:rsidRPr="00B50150" w:rsidRDefault="00666802" w:rsidP="00B50150">
            <w:pPr>
              <w:spacing w:after="0" w:line="240" w:lineRule="auto"/>
              <w:jc w:val="right"/>
              <w:rPr>
                <w:rFonts w:ascii="Arial" w:hAnsi="Arial" w:cs="Arial"/>
                <w:sz w:val="20"/>
                <w:szCs w:val="20"/>
                <w:lang w:eastAsia="en-US"/>
              </w:rPr>
            </w:pPr>
          </w:p>
        </w:tc>
        <w:tc>
          <w:tcPr>
            <w:tcW w:w="2207" w:type="dxa"/>
            <w:vAlign w:val="center"/>
          </w:tcPr>
          <w:p w:rsidR="00666802" w:rsidRPr="00B50150" w:rsidRDefault="00666802" w:rsidP="00B50150">
            <w:pPr>
              <w:spacing w:after="0" w:line="240" w:lineRule="auto"/>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80" w:lineRule="atLeast"/>
              <w:jc w:val="right"/>
              <w:rPr>
                <w:rFonts w:ascii="Arial" w:hAnsi="Arial" w:cs="Arial"/>
                <w:sz w:val="20"/>
                <w:szCs w:val="20"/>
                <w:lang w:eastAsia="en-US"/>
              </w:rPr>
            </w:pPr>
            <w:r>
              <w:rPr>
                <w:rFonts w:ascii="Arial" w:hAnsi="Arial" w:cs="Arial"/>
                <w:noProof/>
              </w:rPr>
              <w:drawing>
                <wp:inline distT="0" distB="0" distL="0" distR="0">
                  <wp:extent cx="3581400" cy="431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58140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80" w:lineRule="atLeast"/>
              <w:rPr>
                <w:rFonts w:ascii="Arial" w:hAnsi="Arial" w:cs="Arial"/>
                <w:noProof/>
                <w:sz w:val="20"/>
                <w:szCs w:val="20"/>
              </w:rPr>
            </w:pPr>
            <w:r w:rsidRPr="00B50150">
              <w:rPr>
                <w:rFonts w:ascii="Arial" w:hAnsi="Arial" w:cs="Arial"/>
                <w:sz w:val="20"/>
                <w:szCs w:val="20"/>
                <w:lang w:eastAsia="en-US"/>
              </w:rPr>
              <w:t>AB-triple</w:t>
            </w:r>
          </w:p>
        </w:tc>
      </w:tr>
      <w:tr w:rsidR="00666802" w:rsidTr="00B50150">
        <w:trPr>
          <w:trHeight w:val="284"/>
        </w:trPr>
        <w:tc>
          <w:tcPr>
            <w:tcW w:w="7432" w:type="dxa"/>
            <w:vAlign w:val="center"/>
          </w:tcPr>
          <w:p w:rsidR="00666802" w:rsidRPr="00B50150" w:rsidRDefault="00666802" w:rsidP="00B50150">
            <w:pPr>
              <w:spacing w:after="0" w:line="240" w:lineRule="auto"/>
              <w:jc w:val="right"/>
              <w:rPr>
                <w:rFonts w:ascii="Arial" w:hAnsi="Arial" w:cs="Arial"/>
                <w:sz w:val="20"/>
                <w:szCs w:val="20"/>
                <w:lang w:eastAsia="en-US"/>
              </w:rPr>
            </w:pPr>
          </w:p>
        </w:tc>
        <w:tc>
          <w:tcPr>
            <w:tcW w:w="2207" w:type="dxa"/>
            <w:vAlign w:val="center"/>
          </w:tcPr>
          <w:p w:rsidR="00666802" w:rsidRPr="00B50150" w:rsidRDefault="00666802" w:rsidP="00B50150">
            <w:pPr>
              <w:spacing w:after="0" w:line="240" w:lineRule="auto"/>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40" w:lineRule="auto"/>
              <w:jc w:val="right"/>
              <w:rPr>
                <w:rFonts w:ascii="Arial" w:hAnsi="Arial" w:cs="Arial"/>
                <w:sz w:val="20"/>
                <w:szCs w:val="20"/>
                <w:lang w:eastAsia="en-US"/>
              </w:rPr>
            </w:pPr>
            <w:r>
              <w:rPr>
                <w:rFonts w:ascii="Arial" w:hAnsi="Arial" w:cs="Arial"/>
                <w:noProof/>
              </w:rPr>
              <w:drawing>
                <wp:inline distT="0" distB="0" distL="0" distR="0">
                  <wp:extent cx="4184650" cy="43180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18465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40" w:lineRule="auto"/>
              <w:rPr>
                <w:rFonts w:ascii="Arial" w:hAnsi="Arial" w:cs="Arial"/>
                <w:noProof/>
                <w:sz w:val="20"/>
                <w:szCs w:val="20"/>
              </w:rPr>
            </w:pPr>
            <w:r w:rsidRPr="00B50150">
              <w:rPr>
                <w:rFonts w:ascii="Arial" w:hAnsi="Arial" w:cs="Arial"/>
                <w:noProof/>
                <w:sz w:val="20"/>
                <w:szCs w:val="20"/>
              </w:rPr>
              <w:t>Type 2 Road Train</w:t>
            </w:r>
          </w:p>
        </w:tc>
      </w:tr>
      <w:tr w:rsidR="00666802" w:rsidTr="00B50150">
        <w:trPr>
          <w:trHeight w:val="284"/>
        </w:trPr>
        <w:tc>
          <w:tcPr>
            <w:tcW w:w="7432" w:type="dxa"/>
            <w:vAlign w:val="center"/>
          </w:tcPr>
          <w:p w:rsidR="00666802" w:rsidRPr="00B50150" w:rsidRDefault="00666802" w:rsidP="00B50150">
            <w:pPr>
              <w:spacing w:after="0" w:line="240" w:lineRule="auto"/>
              <w:jc w:val="right"/>
              <w:rPr>
                <w:rFonts w:ascii="Arial" w:hAnsi="Arial" w:cs="Arial"/>
                <w:sz w:val="20"/>
                <w:szCs w:val="20"/>
                <w:lang w:eastAsia="en-US"/>
              </w:rPr>
            </w:pPr>
          </w:p>
        </w:tc>
        <w:tc>
          <w:tcPr>
            <w:tcW w:w="2207" w:type="dxa"/>
            <w:vAlign w:val="center"/>
          </w:tcPr>
          <w:p w:rsidR="00666802" w:rsidRPr="00B50150" w:rsidRDefault="00666802" w:rsidP="00B50150">
            <w:pPr>
              <w:spacing w:after="0" w:line="240" w:lineRule="auto"/>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80" w:lineRule="atLeast"/>
              <w:jc w:val="right"/>
              <w:rPr>
                <w:rFonts w:ascii="Arial" w:hAnsi="Arial" w:cs="Arial"/>
                <w:sz w:val="20"/>
                <w:szCs w:val="20"/>
                <w:lang w:eastAsia="en-US"/>
              </w:rPr>
            </w:pPr>
            <w:r>
              <w:rPr>
                <w:rFonts w:ascii="Arial" w:hAnsi="Arial" w:cs="Arial"/>
                <w:noProof/>
              </w:rPr>
              <w:drawing>
                <wp:inline distT="0" distB="0" distL="0" distR="0">
                  <wp:extent cx="4260850" cy="43180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26085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80" w:lineRule="atLeast"/>
              <w:rPr>
                <w:rFonts w:ascii="Arial" w:hAnsi="Arial" w:cs="Arial"/>
                <w:sz w:val="20"/>
                <w:szCs w:val="20"/>
                <w:lang w:eastAsia="en-US"/>
              </w:rPr>
            </w:pPr>
            <w:r w:rsidRPr="00B50150">
              <w:rPr>
                <w:rFonts w:ascii="Arial" w:hAnsi="Arial" w:cs="Arial"/>
                <w:sz w:val="20"/>
                <w:szCs w:val="20"/>
                <w:lang w:eastAsia="en-US"/>
              </w:rPr>
              <w:t>BAB-quad</w:t>
            </w:r>
          </w:p>
        </w:tc>
      </w:tr>
      <w:tr w:rsidR="00666802" w:rsidTr="00B50150">
        <w:trPr>
          <w:trHeight w:val="284"/>
        </w:trPr>
        <w:tc>
          <w:tcPr>
            <w:tcW w:w="7432" w:type="dxa"/>
            <w:vAlign w:val="center"/>
          </w:tcPr>
          <w:p w:rsidR="00666802" w:rsidRPr="00B50150" w:rsidRDefault="00666802" w:rsidP="00B50150">
            <w:pPr>
              <w:spacing w:after="0" w:line="280" w:lineRule="atLeast"/>
              <w:jc w:val="right"/>
              <w:rPr>
                <w:rFonts w:ascii="Arial" w:hAnsi="Arial" w:cs="Arial"/>
                <w:noProof/>
                <w:sz w:val="20"/>
                <w:szCs w:val="20"/>
              </w:rPr>
            </w:pPr>
          </w:p>
        </w:tc>
        <w:tc>
          <w:tcPr>
            <w:tcW w:w="2207" w:type="dxa"/>
            <w:vAlign w:val="center"/>
          </w:tcPr>
          <w:p w:rsidR="00666802" w:rsidRPr="00B50150" w:rsidRDefault="00666802" w:rsidP="00B50150">
            <w:pPr>
              <w:spacing w:after="0" w:line="280" w:lineRule="atLeast"/>
              <w:rPr>
                <w:rFonts w:ascii="Arial" w:hAnsi="Arial" w:cs="Arial"/>
                <w:sz w:val="20"/>
                <w:szCs w:val="20"/>
                <w:lang w:eastAsia="en-US"/>
              </w:rPr>
            </w:pPr>
          </w:p>
        </w:tc>
      </w:tr>
      <w:tr w:rsidR="00666802" w:rsidTr="00B50150">
        <w:trPr>
          <w:trHeight w:val="851"/>
        </w:trPr>
        <w:tc>
          <w:tcPr>
            <w:tcW w:w="7432" w:type="dxa"/>
            <w:vAlign w:val="center"/>
          </w:tcPr>
          <w:p w:rsidR="00666802" w:rsidRPr="00B50150" w:rsidRDefault="00485F73" w:rsidP="00B50150">
            <w:pPr>
              <w:spacing w:after="0" w:line="280" w:lineRule="atLeast"/>
              <w:jc w:val="right"/>
              <w:rPr>
                <w:rFonts w:ascii="Arial" w:hAnsi="Arial" w:cs="Arial"/>
                <w:sz w:val="20"/>
                <w:szCs w:val="20"/>
                <w:lang w:eastAsia="en-US"/>
              </w:rPr>
            </w:pPr>
            <w:r>
              <w:rPr>
                <w:rFonts w:ascii="Arial" w:hAnsi="Arial" w:cs="Arial"/>
                <w:noProof/>
              </w:rPr>
              <w:drawing>
                <wp:inline distT="0" distB="0" distL="0" distR="0">
                  <wp:extent cx="4260850" cy="431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260850" cy="431800"/>
                          </a:xfrm>
                          <a:prstGeom prst="rect">
                            <a:avLst/>
                          </a:prstGeom>
                          <a:noFill/>
                          <a:ln w="9525">
                            <a:noFill/>
                            <a:miter lim="800000"/>
                            <a:headEnd/>
                            <a:tailEnd/>
                          </a:ln>
                        </pic:spPr>
                      </pic:pic>
                    </a:graphicData>
                  </a:graphic>
                </wp:inline>
              </w:drawing>
            </w:r>
          </w:p>
        </w:tc>
        <w:tc>
          <w:tcPr>
            <w:tcW w:w="2207" w:type="dxa"/>
            <w:vAlign w:val="center"/>
          </w:tcPr>
          <w:p w:rsidR="00666802" w:rsidRPr="00B50150" w:rsidRDefault="00666802" w:rsidP="00B50150">
            <w:pPr>
              <w:spacing w:after="0" w:line="280" w:lineRule="atLeast"/>
              <w:rPr>
                <w:rFonts w:ascii="Arial" w:hAnsi="Arial" w:cs="Arial"/>
                <w:sz w:val="20"/>
                <w:szCs w:val="20"/>
                <w:lang w:eastAsia="en-US"/>
              </w:rPr>
            </w:pPr>
            <w:r w:rsidRPr="00B50150">
              <w:rPr>
                <w:rFonts w:ascii="Arial" w:hAnsi="Arial" w:cs="Arial"/>
                <w:sz w:val="20"/>
                <w:szCs w:val="20"/>
                <w:lang w:eastAsia="en-US"/>
              </w:rPr>
              <w:t>ABB-quad</w:t>
            </w:r>
          </w:p>
        </w:tc>
      </w:tr>
    </w:tbl>
    <w:p w:rsidR="00AB78B1" w:rsidRDefault="00AB78B1">
      <w:pPr>
        <w:spacing w:after="0" w:line="240" w:lineRule="auto"/>
        <w:rPr>
          <w:rFonts w:ascii="Arial" w:hAnsi="Arial" w:cs="Arial"/>
          <w:sz w:val="14"/>
          <w:szCs w:val="14"/>
          <w:lang w:eastAsia="en-US"/>
        </w:rPr>
      </w:pPr>
    </w:p>
    <w:p w:rsidR="00307AB5" w:rsidRDefault="00307AB5" w:rsidP="00AB78B1">
      <w:pPr>
        <w:pStyle w:val="Heading1"/>
        <w:numPr>
          <w:ilvl w:val="0"/>
          <w:numId w:val="0"/>
        </w:numPr>
        <w:ind w:left="360" w:hanging="360"/>
        <w:rPr>
          <w:sz w:val="24"/>
          <w:szCs w:val="24"/>
        </w:rPr>
        <w:sectPr w:rsidR="00307AB5" w:rsidSect="00E246B4">
          <w:headerReference w:type="default" r:id="rId23"/>
          <w:footerReference w:type="default" r:id="rId24"/>
          <w:pgSz w:w="11906" w:h="16838" w:code="9"/>
          <w:pgMar w:top="1134" w:right="1134" w:bottom="567" w:left="1134" w:header="703" w:footer="408" w:gutter="0"/>
          <w:cols w:space="708"/>
          <w:docGrid w:linePitch="360"/>
        </w:sectPr>
      </w:pPr>
      <w:bookmarkStart w:id="36" w:name="_Toc301346307"/>
    </w:p>
    <w:p w:rsidR="00AB78B1" w:rsidRPr="00E761DA" w:rsidRDefault="00AB78B1" w:rsidP="00AB78B1">
      <w:pPr>
        <w:pStyle w:val="Heading1"/>
        <w:numPr>
          <w:ilvl w:val="0"/>
          <w:numId w:val="0"/>
        </w:numPr>
        <w:ind w:left="360" w:hanging="360"/>
        <w:rPr>
          <w:sz w:val="24"/>
          <w:szCs w:val="24"/>
        </w:rPr>
      </w:pPr>
      <w:bookmarkStart w:id="37" w:name="_Toc301363582"/>
      <w:r>
        <w:rPr>
          <w:sz w:val="24"/>
          <w:szCs w:val="24"/>
        </w:rPr>
        <w:lastRenderedPageBreak/>
        <w:t>Appendix A - The ATA and Barkwood Consulting Pty Ltd Truck Impact Chart</w:t>
      </w:r>
      <w:bookmarkEnd w:id="36"/>
      <w:bookmarkEnd w:id="37"/>
    </w:p>
    <w:p w:rsidR="00AB78B1" w:rsidRDefault="00AB78B1" w:rsidP="00502034">
      <w:pPr>
        <w:spacing w:after="0" w:line="260" w:lineRule="atLeast"/>
        <w:jc w:val="both"/>
        <w:rPr>
          <w:rFonts w:ascii="Arial" w:hAnsi="Arial" w:cs="Arial"/>
          <w:sz w:val="20"/>
          <w:szCs w:val="20"/>
          <w:lang w:eastAsia="en-US"/>
        </w:rPr>
      </w:pPr>
    </w:p>
    <w:p w:rsidR="00AB78B1" w:rsidRDefault="00AB78B1" w:rsidP="00502034">
      <w:pPr>
        <w:spacing w:after="0" w:line="260" w:lineRule="atLeast"/>
        <w:jc w:val="both"/>
        <w:rPr>
          <w:rFonts w:ascii="Arial" w:hAnsi="Arial" w:cs="Arial"/>
          <w:sz w:val="20"/>
          <w:szCs w:val="20"/>
          <w:lang w:eastAsia="en-US"/>
        </w:rPr>
      </w:pPr>
      <w:r>
        <w:rPr>
          <w:rFonts w:ascii="Arial" w:hAnsi="Arial" w:cs="Arial"/>
          <w:sz w:val="20"/>
          <w:szCs w:val="20"/>
          <w:lang w:eastAsia="en-US"/>
        </w:rPr>
        <w:t>The ATA and Barkwood Consulting Pty Ltd have developed a Truck Impact Chart that clearly demonstrates a number of different heavy vehicle combinations and covers GCM, payload, the equivalent standard axles (ESAs) for each vehicle combination, being the measure by which impact of a truck on the road is measured, the amount of trips required to move 1,000 tonnes of freight, the amount of fuel required to move 1,000 tonnes of freight, emissions and driver requirement. The information provided in the tables throughout this document is taken from the Truck Impact Chart.</w:t>
      </w:r>
    </w:p>
    <w:p w:rsidR="00AB78B1" w:rsidRDefault="00AB78B1" w:rsidP="00502034">
      <w:pPr>
        <w:spacing w:after="0" w:line="260" w:lineRule="atLeast"/>
        <w:jc w:val="both"/>
        <w:rPr>
          <w:rFonts w:ascii="Arial" w:hAnsi="Arial" w:cs="Arial"/>
          <w:sz w:val="20"/>
          <w:szCs w:val="20"/>
          <w:lang w:eastAsia="en-US"/>
        </w:rPr>
      </w:pPr>
    </w:p>
    <w:p w:rsidR="00AB78B1" w:rsidRDefault="00AB78B1" w:rsidP="00502034">
      <w:pPr>
        <w:spacing w:after="0" w:line="260" w:lineRule="atLeast"/>
        <w:jc w:val="both"/>
        <w:rPr>
          <w:rFonts w:ascii="Arial" w:hAnsi="Arial" w:cs="Arial"/>
          <w:sz w:val="20"/>
          <w:szCs w:val="20"/>
          <w:lang w:eastAsia="en-US"/>
        </w:rPr>
      </w:pPr>
      <w:r>
        <w:rPr>
          <w:rFonts w:ascii="Arial" w:hAnsi="Arial" w:cs="Arial"/>
          <w:sz w:val="20"/>
          <w:szCs w:val="20"/>
          <w:lang w:eastAsia="en-US"/>
        </w:rPr>
        <w:t>The Truck Impact Chart h</w:t>
      </w:r>
      <w:r w:rsidRPr="00F8285B">
        <w:rPr>
          <w:rFonts w:ascii="Arial" w:hAnsi="Arial" w:cs="Arial"/>
          <w:sz w:val="20"/>
          <w:szCs w:val="20"/>
          <w:lang w:eastAsia="en-US"/>
        </w:rPr>
        <w:t>as</w:t>
      </w:r>
      <w:r>
        <w:rPr>
          <w:rFonts w:ascii="Arial" w:hAnsi="Arial" w:cs="Arial"/>
          <w:sz w:val="20"/>
          <w:szCs w:val="20"/>
          <w:lang w:eastAsia="en-US"/>
        </w:rPr>
        <w:t xml:space="preserve"> been reviewed </w:t>
      </w:r>
      <w:r w:rsidRPr="00F8285B">
        <w:rPr>
          <w:rFonts w:ascii="Arial" w:hAnsi="Arial" w:cs="Arial"/>
          <w:sz w:val="20"/>
          <w:szCs w:val="20"/>
          <w:lang w:eastAsia="en-US"/>
        </w:rPr>
        <w:t>RTA’s Senior Pavement Engineer, Ravindra Prathapa</w:t>
      </w:r>
      <w:r>
        <w:rPr>
          <w:rFonts w:ascii="Arial" w:hAnsi="Arial" w:cs="Arial"/>
          <w:sz w:val="20"/>
          <w:szCs w:val="20"/>
          <w:lang w:eastAsia="en-US"/>
        </w:rPr>
        <w:t xml:space="preserve">. </w:t>
      </w:r>
      <w:r w:rsidRPr="00F8285B">
        <w:rPr>
          <w:rFonts w:ascii="Arial" w:hAnsi="Arial" w:cs="Arial"/>
          <w:sz w:val="20"/>
          <w:szCs w:val="20"/>
          <w:lang w:eastAsia="en-US"/>
        </w:rPr>
        <w:t>The Truck Impact Chart has also been separately peer reviewed by Bob Pearson, Pearson Transport Resources, and was referred to by TheCIE in the Benefit/Cost Analysis for the National Heavy Vehicle Regulator draft Regulatory Impact Statement, released in February 2011.</w:t>
      </w:r>
    </w:p>
    <w:p w:rsidR="00AB78B1" w:rsidRDefault="00AB78B1" w:rsidP="00502034">
      <w:pPr>
        <w:spacing w:after="0" w:line="260" w:lineRule="atLeast"/>
        <w:jc w:val="both"/>
        <w:rPr>
          <w:rFonts w:ascii="Arial" w:hAnsi="Arial" w:cs="Arial"/>
          <w:sz w:val="20"/>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2"/>
        <w:gridCol w:w="1309"/>
        <w:gridCol w:w="5528"/>
        <w:gridCol w:w="4536"/>
      </w:tblGrid>
      <w:tr w:rsidR="00502034" w:rsidTr="00502034">
        <w:trPr>
          <w:trHeight w:val="495"/>
        </w:trPr>
        <w:tc>
          <w:tcPr>
            <w:tcW w:w="3052" w:type="dxa"/>
            <w:vMerge w:val="restart"/>
          </w:tcPr>
          <w:p w:rsidR="00502034" w:rsidRDefault="00502034" w:rsidP="00AB78B1">
            <w:pPr>
              <w:spacing w:after="0" w:line="280" w:lineRule="atLeast"/>
              <w:jc w:val="both"/>
              <w:rPr>
                <w:rFonts w:ascii="Arial" w:hAnsi="Arial" w:cs="Arial"/>
                <w:sz w:val="20"/>
                <w:szCs w:val="20"/>
                <w:lang w:eastAsia="en-US"/>
              </w:rPr>
            </w:pPr>
            <w:r>
              <w:rPr>
                <w:noProof/>
              </w:rPr>
              <w:drawing>
                <wp:inline distT="0" distB="0" distL="0" distR="0">
                  <wp:extent cx="1440000" cy="632601"/>
                  <wp:effectExtent l="19050" t="0" r="7800" b="0"/>
                  <wp:docPr id="35" name="Picture 1" descr="E:\Public\Logos\Internal\ATA LOGO 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blic\Logos\Internal\ATA LOGO C.bmp"/>
                          <pic:cNvPicPr>
                            <a:picLocks noChangeAspect="1" noChangeArrowheads="1"/>
                          </pic:cNvPicPr>
                        </pic:nvPicPr>
                        <pic:blipFill>
                          <a:blip r:embed="rId25" cstate="print"/>
                          <a:srcRect/>
                          <a:stretch>
                            <a:fillRect/>
                          </a:stretch>
                        </pic:blipFill>
                        <pic:spPr bwMode="auto">
                          <a:xfrm>
                            <a:off x="0" y="0"/>
                            <a:ext cx="1440000" cy="632601"/>
                          </a:xfrm>
                          <a:prstGeom prst="rect">
                            <a:avLst/>
                          </a:prstGeom>
                          <a:noFill/>
                          <a:ln w="9525">
                            <a:noFill/>
                            <a:miter lim="800000"/>
                            <a:headEnd/>
                            <a:tailEnd/>
                          </a:ln>
                        </pic:spPr>
                      </pic:pic>
                    </a:graphicData>
                  </a:graphic>
                </wp:inline>
              </w:drawing>
            </w:r>
          </w:p>
        </w:tc>
        <w:tc>
          <w:tcPr>
            <w:tcW w:w="1309" w:type="dxa"/>
            <w:vMerge w:val="restart"/>
            <w:vAlign w:val="center"/>
          </w:tcPr>
          <w:p w:rsidR="00502034" w:rsidRDefault="00502034" w:rsidP="00502034">
            <w:pPr>
              <w:spacing w:after="0" w:line="280" w:lineRule="atLeast"/>
              <w:ind w:right="176"/>
              <w:jc w:val="right"/>
              <w:rPr>
                <w:rFonts w:ascii="Arial" w:hAnsi="Arial" w:cs="Arial"/>
                <w:sz w:val="20"/>
                <w:szCs w:val="20"/>
                <w:lang w:eastAsia="en-US"/>
              </w:rPr>
            </w:pPr>
            <w:r w:rsidRPr="00502034">
              <w:rPr>
                <w:rFonts w:ascii="Arial" w:hAnsi="Arial" w:cs="Arial"/>
                <w:b/>
              </w:rPr>
              <w:t>Authors:</w:t>
            </w:r>
          </w:p>
        </w:tc>
        <w:tc>
          <w:tcPr>
            <w:tcW w:w="5528" w:type="dxa"/>
            <w:vAlign w:val="bottom"/>
          </w:tcPr>
          <w:p w:rsidR="00502034" w:rsidRDefault="00502034" w:rsidP="00502034">
            <w:pPr>
              <w:spacing w:after="0" w:line="280" w:lineRule="atLeast"/>
              <w:rPr>
                <w:rFonts w:ascii="Arial" w:hAnsi="Arial" w:cs="Arial"/>
                <w:sz w:val="20"/>
                <w:szCs w:val="20"/>
                <w:lang w:eastAsia="en-US"/>
              </w:rPr>
            </w:pPr>
            <w:r w:rsidRPr="00502034">
              <w:rPr>
                <w:rFonts w:ascii="Arial" w:hAnsi="Arial" w:cs="Arial"/>
                <w:b/>
              </w:rPr>
              <w:t>David Coonan - Australian Trucking Association</w:t>
            </w:r>
          </w:p>
        </w:tc>
        <w:tc>
          <w:tcPr>
            <w:tcW w:w="4536" w:type="dxa"/>
            <w:vMerge w:val="restart"/>
            <w:vAlign w:val="center"/>
          </w:tcPr>
          <w:p w:rsidR="00502034" w:rsidRDefault="00502034" w:rsidP="00307AB5">
            <w:pPr>
              <w:spacing w:after="0" w:line="280" w:lineRule="atLeast"/>
              <w:jc w:val="right"/>
              <w:rPr>
                <w:rFonts w:ascii="Arial" w:hAnsi="Arial" w:cs="Arial"/>
                <w:sz w:val="20"/>
                <w:szCs w:val="20"/>
                <w:lang w:eastAsia="en-US"/>
              </w:rPr>
            </w:pPr>
            <w:r w:rsidRPr="004623C2">
              <w:rPr>
                <w:rFonts w:ascii="Vineta BT" w:hAnsi="Vineta BT"/>
                <w:color w:val="0000FF"/>
                <w:sz w:val="28"/>
                <w:szCs w:val="28"/>
              </w:rPr>
              <w:t>BARKWOOD</w:t>
            </w:r>
            <w:r w:rsidRPr="004623C2">
              <w:rPr>
                <w:sz w:val="28"/>
                <w:szCs w:val="28"/>
              </w:rPr>
              <w:t xml:space="preserve"> </w:t>
            </w:r>
            <w:r w:rsidRPr="004623C2">
              <w:rPr>
                <w:rFonts w:ascii="Times New Roman" w:hAnsi="Times New Roman"/>
                <w:sz w:val="28"/>
                <w:szCs w:val="28"/>
              </w:rPr>
              <w:t>CONSULTING Pty Ltd</w:t>
            </w:r>
          </w:p>
        </w:tc>
      </w:tr>
      <w:tr w:rsidR="00502034" w:rsidTr="00502034">
        <w:trPr>
          <w:trHeight w:val="495"/>
        </w:trPr>
        <w:tc>
          <w:tcPr>
            <w:tcW w:w="3052" w:type="dxa"/>
            <w:vMerge/>
          </w:tcPr>
          <w:p w:rsidR="00502034" w:rsidRDefault="00502034" w:rsidP="00AB78B1">
            <w:pPr>
              <w:spacing w:after="0" w:line="280" w:lineRule="atLeast"/>
              <w:jc w:val="both"/>
              <w:rPr>
                <w:noProof/>
              </w:rPr>
            </w:pPr>
          </w:p>
        </w:tc>
        <w:tc>
          <w:tcPr>
            <w:tcW w:w="1309" w:type="dxa"/>
            <w:vMerge/>
          </w:tcPr>
          <w:p w:rsidR="00502034" w:rsidRDefault="00502034" w:rsidP="00AB78B1">
            <w:pPr>
              <w:spacing w:after="0" w:line="280" w:lineRule="atLeast"/>
              <w:jc w:val="both"/>
              <w:rPr>
                <w:rFonts w:ascii="Arial" w:hAnsi="Arial" w:cs="Arial"/>
                <w:sz w:val="20"/>
                <w:szCs w:val="20"/>
                <w:lang w:eastAsia="en-US"/>
              </w:rPr>
            </w:pPr>
          </w:p>
        </w:tc>
        <w:tc>
          <w:tcPr>
            <w:tcW w:w="5528" w:type="dxa"/>
          </w:tcPr>
          <w:p w:rsidR="00502034" w:rsidRDefault="00502034" w:rsidP="00502034">
            <w:pPr>
              <w:spacing w:after="0" w:line="280" w:lineRule="atLeast"/>
              <w:ind w:right="-250"/>
              <w:rPr>
                <w:rFonts w:ascii="Arial" w:hAnsi="Arial" w:cs="Arial"/>
                <w:sz w:val="20"/>
                <w:szCs w:val="20"/>
                <w:lang w:eastAsia="en-US"/>
              </w:rPr>
            </w:pPr>
            <w:r w:rsidRPr="00502034">
              <w:rPr>
                <w:rFonts w:ascii="Arial" w:hAnsi="Arial" w:cs="Arial"/>
                <w:b/>
              </w:rPr>
              <w:t>Bob Woodward - Barkwood Consulting Pty Ltd.</w:t>
            </w:r>
          </w:p>
        </w:tc>
        <w:tc>
          <w:tcPr>
            <w:tcW w:w="4536" w:type="dxa"/>
            <w:vMerge/>
            <w:vAlign w:val="center"/>
          </w:tcPr>
          <w:p w:rsidR="00502034" w:rsidRPr="004623C2" w:rsidRDefault="00502034" w:rsidP="00307AB5">
            <w:pPr>
              <w:spacing w:after="0" w:line="280" w:lineRule="atLeast"/>
              <w:jc w:val="right"/>
              <w:rPr>
                <w:rFonts w:ascii="Vineta BT" w:hAnsi="Vineta BT"/>
                <w:color w:val="0000FF"/>
                <w:sz w:val="28"/>
                <w:szCs w:val="28"/>
              </w:rPr>
            </w:pPr>
          </w:p>
        </w:tc>
      </w:tr>
    </w:tbl>
    <w:p w:rsidR="00307AB5" w:rsidRPr="00502034" w:rsidRDefault="00307AB5" w:rsidP="00307AB5">
      <w:pPr>
        <w:spacing w:after="120" w:line="240" w:lineRule="auto"/>
        <w:rPr>
          <w:rFonts w:ascii="Arial" w:hAnsi="Arial" w:cs="Arial"/>
          <w:sz w:val="20"/>
          <w:szCs w:val="20"/>
        </w:rPr>
      </w:pPr>
      <w:r w:rsidRPr="00502034">
        <w:rPr>
          <w:rFonts w:ascii="Arial" w:hAnsi="Arial" w:cs="Arial"/>
          <w:sz w:val="20"/>
          <w:szCs w:val="20"/>
        </w:rPr>
        <w:t>This document has been prepared to assist operators and road asset managers in assessing the merits of utilising larger vehicle combinations in a transport task.</w:t>
      </w:r>
    </w:p>
    <w:p w:rsidR="00307AB5" w:rsidRPr="00502034" w:rsidRDefault="00307AB5" w:rsidP="00307AB5">
      <w:pPr>
        <w:spacing w:after="120" w:line="240" w:lineRule="auto"/>
        <w:rPr>
          <w:rFonts w:ascii="Arial" w:hAnsi="Arial" w:cs="Arial"/>
          <w:sz w:val="20"/>
          <w:szCs w:val="20"/>
        </w:rPr>
      </w:pPr>
      <w:r w:rsidRPr="00502034">
        <w:rPr>
          <w:rFonts w:ascii="Arial" w:hAnsi="Arial" w:cs="Arial"/>
          <w:sz w:val="20"/>
          <w:szCs w:val="20"/>
        </w:rPr>
        <w:t>The assessment process assumes that the vehicle is dedicated to a specific task, operating travel being 50% unladen and 50% laden.  The task relativities are 1000 tonnes with a lead of 1000 kilometres.</w:t>
      </w:r>
    </w:p>
    <w:tbl>
      <w:tblPr>
        <w:tblStyle w:val="TableGrid"/>
        <w:tblW w:w="0" w:type="auto"/>
        <w:tblLook w:val="04A0"/>
      </w:tblPr>
      <w:tblGrid>
        <w:gridCol w:w="3085"/>
        <w:gridCol w:w="12268"/>
      </w:tblGrid>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Equivalent Standard Axles:</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 xml:space="preserve">ESA’s are calculated by the average of the sum of ESA’s for zero </w:t>
            </w:r>
            <w:proofErr w:type="gramStart"/>
            <w:r w:rsidRPr="00502034">
              <w:rPr>
                <w:rFonts w:ascii="Arial" w:hAnsi="Arial" w:cs="Arial"/>
                <w:sz w:val="20"/>
                <w:szCs w:val="20"/>
              </w:rPr>
              <w:t>load</w:t>
            </w:r>
            <w:proofErr w:type="gramEnd"/>
            <w:r w:rsidRPr="00502034">
              <w:rPr>
                <w:rFonts w:ascii="Arial" w:hAnsi="Arial" w:cs="Arial"/>
                <w:sz w:val="20"/>
                <w:szCs w:val="20"/>
              </w:rPr>
              <w:t xml:space="preserve"> (empty) plus ESA’s for 100% load and multiplied by the number of trips as required for the transport task.</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Vehicle tare weights:</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 xml:space="preserve">Are predictions based on the averages for a range of equipment within each combination </w:t>
            </w:r>
            <w:proofErr w:type="gramStart"/>
            <w:r w:rsidRPr="00502034">
              <w:rPr>
                <w:rFonts w:ascii="Arial" w:hAnsi="Arial" w:cs="Arial"/>
                <w:sz w:val="20"/>
                <w:szCs w:val="20"/>
              </w:rPr>
              <w:t>category.</w:t>
            </w:r>
            <w:proofErr w:type="gramEnd"/>
            <w:r w:rsidRPr="00502034">
              <w:rPr>
                <w:rFonts w:ascii="Arial" w:hAnsi="Arial" w:cs="Arial"/>
                <w:sz w:val="20"/>
                <w:szCs w:val="20"/>
              </w:rPr>
              <w:t xml:space="preserve">  These estimates have been reviewed by a number of operators and confirmed as being representative of “real” vehicles of the category.</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Fuel consumption estimates:</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 xml:space="preserve">Are predictions based on accumulated averages where operation is nominally 50% unladen and 50% </w:t>
            </w:r>
            <w:proofErr w:type="gramStart"/>
            <w:r w:rsidRPr="00502034">
              <w:rPr>
                <w:rFonts w:ascii="Arial" w:hAnsi="Arial" w:cs="Arial"/>
                <w:sz w:val="20"/>
                <w:szCs w:val="20"/>
              </w:rPr>
              <w:t>laden.</w:t>
            </w:r>
            <w:proofErr w:type="gramEnd"/>
            <w:r w:rsidRPr="00502034">
              <w:rPr>
                <w:rFonts w:ascii="Arial" w:hAnsi="Arial" w:cs="Arial"/>
                <w:sz w:val="20"/>
                <w:szCs w:val="20"/>
              </w:rPr>
              <w:t xml:space="preserve">  Actual consumption will vary with operating conditions.</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Emissions:</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Reference is based on total fuel consumption only.</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20 metre 7 axle Truck &amp; Dog:</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The maximum allowable mass limits for this combination at either CML or HML (for standard combination) is 55.5 tonnes.</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19 metre 7 Axle B-double:</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The maximum allowable mass limits for this combination at either CML or HML (for standard combination) is 55.5 tonnes.</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b/>
                <w:sz w:val="20"/>
                <w:szCs w:val="20"/>
              </w:rPr>
              <w:t>B-triple:</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Consists of a complying B-double with an additional complying leading trailer.</w:t>
            </w:r>
          </w:p>
        </w:tc>
      </w:tr>
      <w:tr w:rsidR="00502034" w:rsidRPr="00502034" w:rsidTr="00502034">
        <w:trPr>
          <w:trHeight w:val="460"/>
        </w:trPr>
        <w:tc>
          <w:tcPr>
            <w:tcW w:w="3085" w:type="dxa"/>
            <w:vAlign w:val="center"/>
          </w:tcPr>
          <w:p w:rsidR="00502034" w:rsidRPr="00502034" w:rsidRDefault="00502034" w:rsidP="00E70348">
            <w:pPr>
              <w:spacing w:after="0" w:line="240" w:lineRule="auto"/>
              <w:rPr>
                <w:rFonts w:ascii="Arial" w:hAnsi="Arial" w:cs="Arial"/>
                <w:sz w:val="20"/>
                <w:szCs w:val="20"/>
              </w:rPr>
            </w:pPr>
            <w:r w:rsidRPr="00502034">
              <w:rPr>
                <w:rFonts w:ascii="Arial" w:hAnsi="Arial" w:cs="Arial"/>
                <w:b/>
                <w:sz w:val="20"/>
                <w:szCs w:val="20"/>
              </w:rPr>
              <w:t>Converter Dolly:</w:t>
            </w:r>
          </w:p>
        </w:tc>
        <w:tc>
          <w:tcPr>
            <w:tcW w:w="12268" w:type="dxa"/>
            <w:vAlign w:val="center"/>
          </w:tcPr>
          <w:p w:rsidR="00502034" w:rsidRPr="00502034" w:rsidRDefault="00502034" w:rsidP="00E70348">
            <w:pPr>
              <w:spacing w:after="0" w:line="240" w:lineRule="auto"/>
              <w:rPr>
                <w:rFonts w:ascii="Arial" w:hAnsi="Arial" w:cs="Arial"/>
                <w:sz w:val="20"/>
                <w:szCs w:val="20"/>
              </w:rPr>
            </w:pPr>
            <w:r w:rsidRPr="00502034">
              <w:rPr>
                <w:rFonts w:ascii="Arial" w:hAnsi="Arial" w:cs="Arial"/>
                <w:sz w:val="20"/>
                <w:szCs w:val="20"/>
              </w:rPr>
              <w:t>All combinations utilizing a converter dolly are configured with a tandem axle.   The configured vertical imposed loading of a 6x4 prime mover is similar to the allowable imposed vertical loading of a tandem axle converter dolly.</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b/>
                <w:sz w:val="20"/>
                <w:szCs w:val="20"/>
              </w:rPr>
            </w:pPr>
            <w:r w:rsidRPr="00502034">
              <w:rPr>
                <w:rFonts w:ascii="Arial" w:hAnsi="Arial" w:cs="Arial"/>
                <w:b/>
                <w:sz w:val="20"/>
                <w:szCs w:val="20"/>
              </w:rPr>
              <w:t>AB-triple:</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Consists of a complying B-double with an additional complying road train leading trailer and a complying converter dolly.</w:t>
            </w:r>
          </w:p>
        </w:tc>
      </w:tr>
      <w:tr w:rsidR="00307AB5" w:rsidRPr="00502034" w:rsidTr="00502034">
        <w:trPr>
          <w:trHeight w:val="460"/>
        </w:trPr>
        <w:tc>
          <w:tcPr>
            <w:tcW w:w="3085" w:type="dxa"/>
            <w:vAlign w:val="center"/>
          </w:tcPr>
          <w:p w:rsidR="00307AB5" w:rsidRPr="00502034" w:rsidRDefault="00307AB5" w:rsidP="00502034">
            <w:pPr>
              <w:spacing w:after="0" w:line="240" w:lineRule="auto"/>
              <w:rPr>
                <w:rFonts w:ascii="Arial" w:hAnsi="Arial" w:cs="Arial"/>
                <w:b/>
                <w:sz w:val="20"/>
                <w:szCs w:val="20"/>
              </w:rPr>
            </w:pPr>
            <w:r w:rsidRPr="00502034">
              <w:rPr>
                <w:rFonts w:ascii="Arial" w:hAnsi="Arial" w:cs="Arial"/>
                <w:b/>
                <w:sz w:val="20"/>
                <w:szCs w:val="20"/>
              </w:rPr>
              <w:t>BAB-Quad:</w:t>
            </w:r>
            <w:r w:rsidRPr="00502034">
              <w:rPr>
                <w:rFonts w:ascii="Arial" w:hAnsi="Arial" w:cs="Arial"/>
                <w:sz w:val="20"/>
                <w:szCs w:val="20"/>
              </w:rPr>
              <w:t xml:space="preserve">  </w:t>
            </w:r>
          </w:p>
        </w:tc>
        <w:tc>
          <w:tcPr>
            <w:tcW w:w="12268" w:type="dxa"/>
            <w:vAlign w:val="center"/>
          </w:tcPr>
          <w:p w:rsidR="00307AB5" w:rsidRPr="00502034" w:rsidRDefault="00307AB5" w:rsidP="00502034">
            <w:pPr>
              <w:spacing w:after="0" w:line="240" w:lineRule="auto"/>
              <w:rPr>
                <w:rFonts w:ascii="Arial" w:hAnsi="Arial" w:cs="Arial"/>
                <w:sz w:val="20"/>
                <w:szCs w:val="20"/>
              </w:rPr>
            </w:pPr>
            <w:r w:rsidRPr="00502034">
              <w:rPr>
                <w:rFonts w:ascii="Arial" w:hAnsi="Arial" w:cs="Arial"/>
                <w:sz w:val="20"/>
                <w:szCs w:val="20"/>
              </w:rPr>
              <w:t>Consists of a complying B-double with an additional complying converter dolly and additional complying set of B-double trailers.</w:t>
            </w:r>
          </w:p>
        </w:tc>
      </w:tr>
    </w:tbl>
    <w:p w:rsidR="00C75B7B" w:rsidRDefault="00502034" w:rsidP="00502034">
      <w:pPr>
        <w:spacing w:after="120" w:line="240" w:lineRule="auto"/>
        <w:jc w:val="center"/>
        <w:rPr>
          <w:rFonts w:ascii="Times New Roman" w:hAnsi="Times New Roman"/>
          <w:b/>
        </w:rPr>
      </w:pPr>
      <w:r>
        <w:rPr>
          <w:rFonts w:ascii="Times New Roman" w:hAnsi="Times New Roman"/>
          <w:b/>
          <w:noProof/>
        </w:rPr>
        <w:lastRenderedPageBreak/>
        <w:drawing>
          <wp:inline distT="0" distB="0" distL="0" distR="0">
            <wp:extent cx="9619776" cy="6120000"/>
            <wp:effectExtent l="19050" t="0" r="474"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9619776" cy="6120000"/>
                    </a:xfrm>
                    <a:prstGeom prst="rect">
                      <a:avLst/>
                    </a:prstGeom>
                    <a:noFill/>
                    <a:ln w="9525">
                      <a:noFill/>
                      <a:miter lim="800000"/>
                      <a:headEnd/>
                      <a:tailEnd/>
                    </a:ln>
                  </pic:spPr>
                </pic:pic>
              </a:graphicData>
            </a:graphic>
          </wp:inline>
        </w:drawing>
      </w:r>
    </w:p>
    <w:p w:rsidR="00C75B7B" w:rsidRDefault="00C75B7B" w:rsidP="00C75B7B">
      <w:pPr>
        <w:spacing w:after="120" w:line="240" w:lineRule="auto"/>
        <w:rPr>
          <w:rFonts w:ascii="Times New Roman" w:hAnsi="Times New Roman"/>
          <w:b/>
        </w:rPr>
        <w:sectPr w:rsidR="00C75B7B" w:rsidSect="00307AB5">
          <w:pgSz w:w="16838" w:h="11906" w:orient="landscape" w:code="9"/>
          <w:pgMar w:top="1134" w:right="1134" w:bottom="1134" w:left="567" w:header="703" w:footer="408" w:gutter="0"/>
          <w:cols w:space="708"/>
          <w:docGrid w:linePitch="360"/>
        </w:sectPr>
      </w:pPr>
    </w:p>
    <w:p w:rsidR="00C75B7B" w:rsidRDefault="00C75B7B" w:rsidP="00C75B7B">
      <w:pPr>
        <w:pStyle w:val="Heading1"/>
        <w:numPr>
          <w:ilvl w:val="0"/>
          <w:numId w:val="0"/>
        </w:numPr>
        <w:ind w:left="360" w:hanging="360"/>
        <w:rPr>
          <w:sz w:val="24"/>
          <w:szCs w:val="24"/>
        </w:rPr>
      </w:pPr>
      <w:bookmarkStart w:id="38" w:name="_Toc301363583"/>
      <w:r>
        <w:rPr>
          <w:sz w:val="24"/>
          <w:szCs w:val="24"/>
        </w:rPr>
        <w:lastRenderedPageBreak/>
        <w:t>Appendix B – Legal Advice, Lovegrove &amp; Lord Lawyers</w:t>
      </w:r>
      <w:bookmarkEnd w:id="38"/>
    </w:p>
    <w:p w:rsidR="00932BB6" w:rsidRDefault="00932BB6" w:rsidP="00932BB6">
      <w:pPr>
        <w:rPr>
          <w:lang w:eastAsia="en-US"/>
        </w:rPr>
      </w:pPr>
    </w:p>
    <w:p w:rsidR="00932BB6" w:rsidRPr="00932BB6" w:rsidRDefault="00932BB6" w:rsidP="00932BB6">
      <w:pPr>
        <w:rPr>
          <w:lang w:eastAsia="en-US"/>
        </w:rPr>
      </w:pPr>
    </w:p>
    <w:p w:rsidR="00307AB5"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5581650" cy="7997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5581650" cy="7997825"/>
                    </a:xfrm>
                    <a:prstGeom prst="rect">
                      <a:avLst/>
                    </a:prstGeom>
                    <a:noFill/>
                    <a:ln w="9525">
                      <a:noFill/>
                      <a:miter lim="800000"/>
                      <a:headEnd/>
                      <a:tailEnd/>
                    </a:ln>
                  </pic:spPr>
                </pic:pic>
              </a:graphicData>
            </a:graphic>
          </wp:inline>
        </w:drawing>
      </w: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pPr>
        <w:spacing w:after="0" w:line="240" w:lineRule="auto"/>
        <w:rPr>
          <w:rFonts w:ascii="Times New Roman" w:hAnsi="Times New Roman"/>
          <w:b/>
        </w:rPr>
      </w:pPr>
    </w:p>
    <w:p w:rsidR="00932BB6" w:rsidRDefault="00932BB6">
      <w:pPr>
        <w:spacing w:after="0" w:line="240" w:lineRule="auto"/>
        <w:rPr>
          <w:rFonts w:ascii="Times New Roman" w:hAnsi="Times New Roman"/>
          <w:b/>
        </w:rPr>
      </w:pPr>
    </w:p>
    <w:p w:rsidR="00932BB6" w:rsidRDefault="00932BB6">
      <w:pPr>
        <w:spacing w:after="0" w:line="240" w:lineRule="auto"/>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86300" cy="760095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686300" cy="760095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591050" cy="764857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591050" cy="764857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26610" cy="7519670"/>
            <wp:effectExtent l="19050" t="0" r="254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626610" cy="751967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585335" cy="7615555"/>
            <wp:effectExtent l="19050" t="0" r="571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4585335" cy="761555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26610" cy="7752080"/>
            <wp:effectExtent l="19050" t="0" r="254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626610" cy="775208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776470" cy="7779385"/>
            <wp:effectExtent l="19050" t="0" r="508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4776470" cy="777938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39945" cy="7724775"/>
            <wp:effectExtent l="19050" t="0" r="825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639945" cy="772477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749165" cy="762889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4749165" cy="762889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53915" cy="773811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4653915" cy="773811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599305" cy="768350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4599305" cy="768350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572000" cy="777938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4572000" cy="777938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653915" cy="771080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4653915" cy="7710805"/>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Default="00932BB6">
      <w:pPr>
        <w:spacing w:after="0" w:line="240" w:lineRule="auto"/>
        <w:rPr>
          <w:rFonts w:ascii="Times New Roman" w:hAnsi="Times New Roman"/>
          <w:b/>
        </w:rPr>
      </w:pPr>
      <w:r>
        <w:rPr>
          <w:rFonts w:ascii="Times New Roman" w:hAnsi="Times New Roman"/>
          <w:b/>
        </w:rPr>
        <w:br w:type="page"/>
      </w: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p>
    <w:p w:rsidR="00932BB6" w:rsidRDefault="00932BB6" w:rsidP="00932BB6">
      <w:pPr>
        <w:spacing w:after="120" w:line="240" w:lineRule="auto"/>
        <w:jc w:val="center"/>
        <w:rPr>
          <w:rFonts w:ascii="Times New Roman" w:hAnsi="Times New Roman"/>
          <w:b/>
        </w:rPr>
      </w:pPr>
      <w:r>
        <w:rPr>
          <w:rFonts w:ascii="Times New Roman" w:hAnsi="Times New Roman"/>
          <w:b/>
          <w:noProof/>
        </w:rPr>
        <w:drawing>
          <wp:inline distT="0" distB="0" distL="0" distR="0">
            <wp:extent cx="4531360" cy="7752080"/>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4531360" cy="7752080"/>
                    </a:xfrm>
                    <a:prstGeom prst="rect">
                      <a:avLst/>
                    </a:prstGeom>
                    <a:noFill/>
                    <a:ln w="9525">
                      <a:noFill/>
                      <a:miter lim="800000"/>
                      <a:headEnd/>
                      <a:tailEnd/>
                    </a:ln>
                  </pic:spPr>
                </pic:pic>
              </a:graphicData>
            </a:graphic>
          </wp:inline>
        </w:drawing>
      </w:r>
    </w:p>
    <w:p w:rsidR="00932BB6" w:rsidRDefault="00932BB6" w:rsidP="00932BB6">
      <w:pPr>
        <w:spacing w:after="120" w:line="240" w:lineRule="auto"/>
        <w:jc w:val="center"/>
        <w:rPr>
          <w:rFonts w:ascii="Times New Roman" w:hAnsi="Times New Roman"/>
          <w:b/>
        </w:rPr>
      </w:pPr>
    </w:p>
    <w:p w:rsidR="00932BB6" w:rsidRPr="005E4AC4" w:rsidRDefault="00932BB6" w:rsidP="00932BB6">
      <w:pPr>
        <w:spacing w:after="0" w:line="240" w:lineRule="auto"/>
        <w:rPr>
          <w:rFonts w:ascii="Times New Roman" w:hAnsi="Times New Roman"/>
          <w:b/>
        </w:rPr>
      </w:pPr>
    </w:p>
    <w:sectPr w:rsidR="00932BB6" w:rsidRPr="005E4AC4" w:rsidSect="00C75B7B">
      <w:pgSz w:w="11906" w:h="16838" w:code="9"/>
      <w:pgMar w:top="1134" w:right="1134" w:bottom="567" w:left="1134" w:header="703"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25B" w:rsidRDefault="003E125B" w:rsidP="000756A4">
      <w:pPr>
        <w:spacing w:after="0" w:line="240" w:lineRule="auto"/>
      </w:pPr>
      <w:r>
        <w:separator/>
      </w:r>
    </w:p>
  </w:endnote>
  <w:endnote w:type="continuationSeparator" w:id="0">
    <w:p w:rsidR="003E125B" w:rsidRDefault="003E125B" w:rsidP="00075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Vineta BT">
    <w:altName w:val="Courier New"/>
    <w:charset w:val="00"/>
    <w:family w:val="decorative"/>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25B" w:rsidRDefault="003E125B" w:rsidP="005E5E23">
    <w:pPr>
      <w:ind w:right="-426"/>
      <w:jc w:val="right"/>
      <w:rPr>
        <w:rFonts w:ascii="Arial" w:hAnsi="Arial" w:cs="Arial"/>
        <w:smallCaps/>
        <w:noProof/>
        <w:szCs w:val="23"/>
      </w:rPr>
    </w:pPr>
    <w:r>
      <w:rPr>
        <w:rFonts w:ascii="Arial" w:hAnsi="Arial" w:cs="Arial"/>
        <w:smallCaps/>
        <w:noProof/>
        <w:szCs w:val="23"/>
      </w:rPr>
      <w:drawing>
        <wp:inline distT="0" distB="0" distL="0" distR="0">
          <wp:extent cx="1951355" cy="846455"/>
          <wp:effectExtent l="19050" t="0" r="0" b="0"/>
          <wp:docPr id="19" name="Picture 1" descr="LHead Logo ACT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ead Logo ACT RGB"/>
                  <pic:cNvPicPr>
                    <a:picLocks noChangeAspect="1" noChangeArrowheads="1"/>
                  </pic:cNvPicPr>
                </pic:nvPicPr>
                <pic:blipFill>
                  <a:blip r:embed="rId1"/>
                  <a:srcRect/>
                  <a:stretch>
                    <a:fillRect/>
                  </a:stretch>
                </pic:blipFill>
                <pic:spPr bwMode="auto">
                  <a:xfrm>
                    <a:off x="0" y="0"/>
                    <a:ext cx="1951355" cy="846455"/>
                  </a:xfrm>
                  <a:prstGeom prst="rect">
                    <a:avLst/>
                  </a:prstGeom>
                  <a:noFill/>
                  <a:ln w="9525">
                    <a:noFill/>
                    <a:miter lim="800000"/>
                    <a:headEnd/>
                    <a:tailEnd/>
                  </a:ln>
                </pic:spPr>
              </pic:pic>
            </a:graphicData>
          </a:graphic>
        </wp:inline>
      </w:drawing>
    </w:r>
  </w:p>
  <w:p w:rsidR="003E125B" w:rsidRPr="00E8056B" w:rsidRDefault="003E125B" w:rsidP="00E8056B">
    <w:pPr>
      <w:jc w:val="right"/>
      <w:rPr>
        <w:rFonts w:ascii="Arial" w:hAnsi="Arial" w:cs="Arial"/>
        <w:sz w:val="16"/>
        <w:szCs w:val="16"/>
      </w:rPr>
    </w:pPr>
  </w:p>
  <w:p w:rsidR="003E125B" w:rsidRPr="00E8056B" w:rsidRDefault="003E125B" w:rsidP="00E8056B">
    <w:pPr>
      <w:pStyle w:val="Footer"/>
      <w:jc w:val="right"/>
      <w:rPr>
        <w:rFonts w:ascii="Arial" w:hAnsi="Arial" w:cs="Arial"/>
        <w:sz w:val="16"/>
        <w:szCs w:val="16"/>
      </w:rPr>
    </w:pPr>
    <w:smartTag w:uri="urn:schemas-microsoft-com:office:smarttags" w:element="place">
      <w:smartTag w:uri="urn:schemas-microsoft-com:office:smarttags" w:element="PlaceName">
        <w:r w:rsidRPr="00E8056B">
          <w:rPr>
            <w:rFonts w:ascii="Arial" w:hAnsi="Arial" w:cs="Arial"/>
            <w:sz w:val="16"/>
            <w:szCs w:val="16"/>
          </w:rPr>
          <w:t>Minter</w:t>
        </w:r>
      </w:smartTag>
      <w:r w:rsidRPr="00E8056B">
        <w:rPr>
          <w:rFonts w:ascii="Arial" w:hAnsi="Arial" w:cs="Arial"/>
          <w:sz w:val="16"/>
          <w:szCs w:val="16"/>
        </w:rPr>
        <w:t xml:space="preserve"> </w:t>
      </w:r>
      <w:smartTag w:uri="urn:schemas-microsoft-com:office:smarttags" w:element="PlaceType">
        <w:smartTag w:uri="urn:schemas-microsoft-com:office:smarttags" w:element="PlaceName">
          <w:r w:rsidRPr="00E8056B">
            <w:rPr>
              <w:rFonts w:ascii="Arial" w:hAnsi="Arial" w:cs="Arial"/>
              <w:sz w:val="16"/>
              <w:szCs w:val="16"/>
            </w:rPr>
            <w:t>Ellison</w:t>
          </w:r>
        </w:smartTag>
      </w:smartTag>
      <w:r w:rsidRPr="00E8056B">
        <w:rPr>
          <w:rFonts w:ascii="Arial" w:hAnsi="Arial" w:cs="Arial"/>
          <w:sz w:val="16"/>
          <w:szCs w:val="16"/>
        </w:rPr>
        <w:t xml:space="preserve"> </w:t>
      </w:r>
      <w:smartTag w:uri="urn:schemas-microsoft-com:office:smarttags" w:element="place">
        <w:r w:rsidRPr="00E8056B">
          <w:rPr>
            <w:rFonts w:ascii="Arial" w:hAnsi="Arial" w:cs="Arial"/>
            <w:sz w:val="16"/>
            <w:szCs w:val="16"/>
          </w:rPr>
          <w:t>Building</w:t>
        </w:r>
      </w:smartTag>
    </w:smartTag>
    <w:r w:rsidRPr="00E8056B">
      <w:rPr>
        <w:rFonts w:ascii="Arial" w:hAnsi="Arial" w:cs="Arial"/>
        <w:sz w:val="16"/>
        <w:szCs w:val="16"/>
      </w:rPr>
      <w:t>, 25 National Circuit, Forrest ACT 2603</w:t>
    </w:r>
  </w:p>
  <w:p w:rsidR="003E125B" w:rsidRPr="00E8056B" w:rsidRDefault="003E125B" w:rsidP="00E8056B">
    <w:pPr>
      <w:pStyle w:val="Footer"/>
      <w:jc w:val="right"/>
      <w:rPr>
        <w:rFonts w:ascii="Arial" w:hAnsi="Arial" w:cs="Arial"/>
        <w:sz w:val="16"/>
        <w:szCs w:val="16"/>
      </w:rPr>
    </w:pPr>
    <w:r w:rsidRPr="00E8056B">
      <w:rPr>
        <w:rFonts w:ascii="Arial" w:hAnsi="Arial" w:cs="Arial"/>
        <w:b/>
        <w:sz w:val="16"/>
        <w:szCs w:val="16"/>
      </w:rPr>
      <w:t>P</w:t>
    </w:r>
    <w:r w:rsidRPr="00E8056B">
      <w:rPr>
        <w:rFonts w:ascii="Arial" w:hAnsi="Arial" w:cs="Arial"/>
        <w:sz w:val="16"/>
        <w:szCs w:val="16"/>
      </w:rPr>
      <w:t xml:space="preserve"> 02 6253 6900 </w:t>
    </w:r>
    <w:r w:rsidRPr="00E8056B">
      <w:rPr>
        <w:rFonts w:ascii="Arial" w:hAnsi="Arial" w:cs="Arial"/>
        <w:b/>
        <w:sz w:val="16"/>
        <w:szCs w:val="16"/>
      </w:rPr>
      <w:t>F</w:t>
    </w:r>
    <w:r w:rsidRPr="00E8056B">
      <w:rPr>
        <w:rFonts w:ascii="Arial" w:hAnsi="Arial" w:cs="Arial"/>
        <w:sz w:val="16"/>
        <w:szCs w:val="16"/>
      </w:rPr>
      <w:t xml:space="preserve"> 02 6253 6999 </w:t>
    </w:r>
    <w:r w:rsidRPr="00E8056B">
      <w:rPr>
        <w:rFonts w:ascii="Arial" w:hAnsi="Arial" w:cs="Arial"/>
        <w:b/>
        <w:sz w:val="16"/>
        <w:szCs w:val="16"/>
      </w:rPr>
      <w:t>E</w:t>
    </w:r>
    <w:r w:rsidRPr="00E8056B">
      <w:rPr>
        <w:rFonts w:ascii="Arial" w:hAnsi="Arial" w:cs="Arial"/>
        <w:sz w:val="16"/>
        <w:szCs w:val="16"/>
      </w:rPr>
      <w:t xml:space="preserve"> </w:t>
    </w:r>
    <w:r w:rsidRPr="00E8056B">
      <w:rPr>
        <w:rFonts w:ascii="Arial" w:hAnsi="Arial" w:cs="Arial"/>
        <w:bCs/>
        <w:sz w:val="16"/>
        <w:szCs w:val="16"/>
      </w:rPr>
      <w:t>ata@atatruck.net.au</w:t>
    </w:r>
    <w:r w:rsidRPr="00E8056B">
      <w:rPr>
        <w:rFonts w:ascii="Arial" w:hAnsi="Arial" w:cs="Arial"/>
        <w:b/>
        <w:sz w:val="16"/>
        <w:szCs w:val="16"/>
      </w:rPr>
      <w:t xml:space="preserve"> W</w:t>
    </w:r>
    <w:r w:rsidRPr="00E8056B">
      <w:rPr>
        <w:rFonts w:ascii="Arial" w:hAnsi="Arial" w:cs="Arial"/>
        <w:sz w:val="16"/>
        <w:szCs w:val="16"/>
      </w:rPr>
      <w:t xml:space="preserve"> </w:t>
    </w:r>
    <w:proofErr w:type="spellStart"/>
    <w:r w:rsidRPr="00E8056B">
      <w:rPr>
        <w:rFonts w:ascii="Arial" w:hAnsi="Arial" w:cs="Arial"/>
        <w:bCs/>
        <w:sz w:val="16"/>
        <w:szCs w:val="16"/>
      </w:rPr>
      <w:t>www.atatruck.net.au</w:t>
    </w:r>
    <w:proofErr w:type="spell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25B" w:rsidRDefault="003E125B">
    <w:pPr>
      <w:pStyle w:val="Footer"/>
      <w:jc w:val="right"/>
    </w:pPr>
    <w:fldSimple w:instr=" PAGE   \* MERGEFORMAT ">
      <w:r>
        <w:rPr>
          <w:noProof/>
        </w:rPr>
        <w:t>7</w:t>
      </w:r>
    </w:fldSimple>
  </w:p>
  <w:p w:rsidR="003E125B" w:rsidRDefault="003E125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5" w:type="dxa"/>
      <w:tblBorders>
        <w:top w:val="single" w:sz="4" w:space="0" w:color="000000"/>
        <w:insideH w:val="single" w:sz="4" w:space="0" w:color="000000"/>
      </w:tblBorders>
      <w:tblLook w:val="00A0"/>
    </w:tblPr>
    <w:tblGrid>
      <w:gridCol w:w="4638"/>
      <w:gridCol w:w="5227"/>
    </w:tblGrid>
    <w:tr w:rsidR="003E125B" w:rsidRPr="00AE680D" w:rsidTr="006A2C1C">
      <w:trPr>
        <w:trHeight w:val="278"/>
      </w:trPr>
      <w:tc>
        <w:tcPr>
          <w:tcW w:w="4638" w:type="dxa"/>
          <w:vAlign w:val="center"/>
        </w:tcPr>
        <w:p w:rsidR="003E125B" w:rsidRPr="00D735FF" w:rsidRDefault="003E125B" w:rsidP="0050002C">
          <w:pPr>
            <w:pStyle w:val="Footer"/>
            <w:tabs>
              <w:tab w:val="clear" w:pos="9026"/>
            </w:tabs>
            <w:rPr>
              <w:rFonts w:ascii="Arial" w:hAnsi="Arial" w:cs="Arial"/>
              <w:sz w:val="16"/>
              <w:szCs w:val="16"/>
            </w:rPr>
          </w:pPr>
          <w:r>
            <w:rPr>
              <w:rFonts w:ascii="Arial" w:hAnsi="Arial" w:cs="Arial"/>
              <w:sz w:val="16"/>
              <w:szCs w:val="16"/>
            </w:rPr>
            <w:t>IAP as a requirement on prescriptive modular combinations – August 2011</w:t>
          </w:r>
        </w:p>
      </w:tc>
      <w:tc>
        <w:tcPr>
          <w:tcW w:w="5227" w:type="dxa"/>
          <w:vAlign w:val="center"/>
        </w:tcPr>
        <w:p w:rsidR="003E125B" w:rsidRPr="00D735FF" w:rsidRDefault="003E125B" w:rsidP="00E246B4">
          <w:pPr>
            <w:pStyle w:val="Footer"/>
            <w:jc w:val="right"/>
            <w:rPr>
              <w:rFonts w:ascii="Arial" w:hAnsi="Arial" w:cs="Arial"/>
              <w:sz w:val="16"/>
              <w:szCs w:val="16"/>
            </w:rPr>
          </w:pPr>
          <w:r w:rsidRPr="00D735FF">
            <w:rPr>
              <w:rFonts w:ascii="Arial" w:hAnsi="Arial" w:cs="Arial"/>
              <w:sz w:val="16"/>
              <w:szCs w:val="16"/>
            </w:rPr>
            <w:t xml:space="preserve">Page </w:t>
          </w:r>
          <w:r w:rsidRPr="00D735FF">
            <w:rPr>
              <w:rFonts w:ascii="Arial" w:hAnsi="Arial" w:cs="Arial"/>
              <w:sz w:val="16"/>
              <w:szCs w:val="16"/>
            </w:rPr>
            <w:fldChar w:fldCharType="begin"/>
          </w:r>
          <w:r w:rsidRPr="00D735FF">
            <w:rPr>
              <w:rFonts w:ascii="Arial" w:hAnsi="Arial" w:cs="Arial"/>
              <w:sz w:val="16"/>
              <w:szCs w:val="16"/>
            </w:rPr>
            <w:instrText xml:space="preserve"> PAGE   \* MERGEFORMAT </w:instrText>
          </w:r>
          <w:r w:rsidRPr="00D735FF">
            <w:rPr>
              <w:rFonts w:ascii="Arial" w:hAnsi="Arial" w:cs="Arial"/>
              <w:sz w:val="16"/>
              <w:szCs w:val="16"/>
            </w:rPr>
            <w:fldChar w:fldCharType="separate"/>
          </w:r>
          <w:r>
            <w:rPr>
              <w:rFonts w:ascii="Arial" w:hAnsi="Arial" w:cs="Arial"/>
              <w:noProof/>
              <w:sz w:val="16"/>
              <w:szCs w:val="16"/>
            </w:rPr>
            <w:t>22</w:t>
          </w:r>
          <w:r w:rsidRPr="00D735FF">
            <w:rPr>
              <w:rFonts w:ascii="Arial" w:hAnsi="Arial" w:cs="Arial"/>
              <w:sz w:val="16"/>
              <w:szCs w:val="16"/>
            </w:rPr>
            <w:fldChar w:fldCharType="end"/>
          </w:r>
        </w:p>
      </w:tc>
    </w:tr>
  </w:tbl>
  <w:p w:rsidR="003E125B" w:rsidRPr="00E246B4" w:rsidRDefault="003E125B" w:rsidP="00E246B4">
    <w:pPr>
      <w:spacing w:after="0" w:line="240" w:lineRule="auto"/>
      <w:rPr>
        <w:sz w:val="4"/>
        <w:szCs w:val="4"/>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25B" w:rsidRDefault="003E125B" w:rsidP="000756A4">
      <w:pPr>
        <w:spacing w:after="0" w:line="240" w:lineRule="auto"/>
      </w:pPr>
      <w:r>
        <w:separator/>
      </w:r>
    </w:p>
  </w:footnote>
  <w:footnote w:type="continuationSeparator" w:id="0">
    <w:p w:rsidR="003E125B" w:rsidRDefault="003E125B" w:rsidP="000756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25B" w:rsidRPr="00E8056B" w:rsidRDefault="003E125B" w:rsidP="005E5E23">
    <w:pPr>
      <w:jc w:val="right"/>
      <w:rPr>
        <w:rFonts w:ascii="Arial" w:hAnsi="Arial" w:cs="Arial"/>
        <w:color w:val="FF0000"/>
        <w:sz w:val="18"/>
        <w:szCs w:val="18"/>
      </w:rPr>
    </w:pPr>
    <w:r w:rsidRPr="00E8056B">
      <w:rPr>
        <w:rFonts w:ascii="Arial" w:hAnsi="Arial" w:cs="Arial"/>
        <w:color w:val="000064"/>
        <w:sz w:val="18"/>
        <w:szCs w:val="18"/>
      </w:rPr>
      <w:t xml:space="preserve">AUSTRALIAN TRUCKING </w:t>
    </w:r>
    <w:r w:rsidRPr="00E8056B">
      <w:rPr>
        <w:rFonts w:ascii="Arial" w:hAnsi="Arial" w:cs="Arial"/>
        <w:color w:val="FF0000"/>
        <w:sz w:val="18"/>
        <w:szCs w:val="18"/>
      </w:rPr>
      <w:t>ASSOCIATION</w:t>
    </w:r>
  </w:p>
  <w:p w:rsidR="003E125B" w:rsidRDefault="003E12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25B" w:rsidRDefault="003E125B" w:rsidP="00F827F5">
    <w:pPr>
      <w:jc w:val="right"/>
    </w:pPr>
    <w:r w:rsidRPr="00E8056B">
      <w:rPr>
        <w:rFonts w:ascii="Arial" w:hAnsi="Arial" w:cs="Arial"/>
        <w:color w:val="000064"/>
        <w:sz w:val="18"/>
        <w:szCs w:val="18"/>
      </w:rPr>
      <w:t xml:space="preserve">AUSTRALIAN TRUCKING </w:t>
    </w:r>
    <w:r w:rsidRPr="00E8056B">
      <w:rPr>
        <w:rFonts w:ascii="Arial" w:hAnsi="Arial" w:cs="Arial"/>
        <w:color w:val="FF0000"/>
        <w:sz w:val="18"/>
        <w:szCs w:val="18"/>
      </w:rPr>
      <w:t>ASSOCIATION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751F"/>
    <w:multiLevelType w:val="hybridMultilevel"/>
    <w:tmpl w:val="A7921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82122E"/>
    <w:multiLevelType w:val="hybridMultilevel"/>
    <w:tmpl w:val="91F0169A"/>
    <w:lvl w:ilvl="0" w:tplc="CB3EB9C6">
      <w:start w:val="2"/>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C2370D"/>
    <w:multiLevelType w:val="hybridMultilevel"/>
    <w:tmpl w:val="3714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FE6601"/>
    <w:multiLevelType w:val="hybridMultilevel"/>
    <w:tmpl w:val="FAE25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3A4053"/>
    <w:multiLevelType w:val="hybridMultilevel"/>
    <w:tmpl w:val="E006C68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
    <w:nsid w:val="15C423F1"/>
    <w:multiLevelType w:val="hybridMultilevel"/>
    <w:tmpl w:val="04F6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1115B8"/>
    <w:multiLevelType w:val="hybridMultilevel"/>
    <w:tmpl w:val="E0164D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B51ADF"/>
    <w:multiLevelType w:val="hybridMultilevel"/>
    <w:tmpl w:val="3648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F145385"/>
    <w:multiLevelType w:val="hybridMultilevel"/>
    <w:tmpl w:val="E0164D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3C2F40"/>
    <w:multiLevelType w:val="hybridMultilevel"/>
    <w:tmpl w:val="E0164D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0D711F"/>
    <w:multiLevelType w:val="hybridMultilevel"/>
    <w:tmpl w:val="0D40AD7E"/>
    <w:lvl w:ilvl="0" w:tplc="7CAEAD3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A35423"/>
    <w:multiLevelType w:val="hybridMultilevel"/>
    <w:tmpl w:val="8968C0E4"/>
    <w:lvl w:ilvl="0" w:tplc="815878FA">
      <w:start w:val="1"/>
      <w:numFmt w:val="decimal"/>
      <w:pStyle w:val="RecommendationStyle"/>
      <w:lvlText w:val="Recommendation %1"/>
      <w:lvlJc w:val="left"/>
      <w:pPr>
        <w:tabs>
          <w:tab w:val="num" w:pos="57"/>
        </w:tabs>
      </w:pPr>
      <w:rPr>
        <w:rFonts w:ascii="Arial" w:hAnsi="Arial" w:cs="Times New Roman" w:hint="default"/>
        <w:b/>
        <w:i/>
        <w:caps w:val="0"/>
        <w:strike w:val="0"/>
        <w:dstrike w:val="0"/>
        <w:outline w:val="0"/>
        <w:shadow w:val="0"/>
        <w:emboss w:val="0"/>
        <w:imprint w:val="0"/>
        <w:vanish w:val="0"/>
        <w:sz w:val="20"/>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nsid w:val="44CB7027"/>
    <w:multiLevelType w:val="hybridMultilevel"/>
    <w:tmpl w:val="E0164D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B90CEE"/>
    <w:multiLevelType w:val="hybridMultilevel"/>
    <w:tmpl w:val="4E24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554ED9"/>
    <w:multiLevelType w:val="multilevel"/>
    <w:tmpl w:val="4C5272EE"/>
    <w:lvl w:ilvl="0">
      <w:start w:val="1"/>
      <w:numFmt w:val="decimal"/>
      <w:pStyle w:val="Heading1"/>
      <w:lvlText w:val="%1."/>
      <w:lvlJc w:val="left"/>
      <w:pPr>
        <w:ind w:left="360" w:hanging="360"/>
      </w:pPr>
      <w:rPr>
        <w:rFonts w:cs="Times New Roman" w:hint="default"/>
      </w:rPr>
    </w:lvl>
    <w:lvl w:ilvl="1">
      <w:start w:val="1"/>
      <w:numFmt w:val="decimal"/>
      <w:pStyle w:val="ATAHeading2nofurtherlevel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6860079E"/>
    <w:multiLevelType w:val="hybridMultilevel"/>
    <w:tmpl w:val="DBC4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F6492D"/>
    <w:multiLevelType w:val="hybridMultilevel"/>
    <w:tmpl w:val="1B98D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pStyle w:val="ATA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F9D1693"/>
    <w:multiLevelType w:val="hybridMultilevel"/>
    <w:tmpl w:val="87A8C95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8">
    <w:nsid w:val="715B1225"/>
    <w:multiLevelType w:val="hybridMultilevel"/>
    <w:tmpl w:val="9280D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15223E"/>
    <w:multiLevelType w:val="hybridMultilevel"/>
    <w:tmpl w:val="D658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292C80"/>
    <w:multiLevelType w:val="hybridMultilevel"/>
    <w:tmpl w:val="AA2E4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9"/>
  </w:num>
  <w:num w:numId="12">
    <w:abstractNumId w:val="10"/>
  </w:num>
  <w:num w:numId="13">
    <w:abstractNumId w:val="14"/>
  </w:num>
  <w:num w:numId="14">
    <w:abstractNumId w:val="11"/>
  </w:num>
  <w:num w:numId="15">
    <w:abstractNumId w:val="18"/>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
  </w:num>
  <w:num w:numId="27">
    <w:abstractNumId w:val="14"/>
  </w:num>
  <w:num w:numId="28">
    <w:abstractNumId w:val="0"/>
  </w:num>
  <w:num w:numId="29">
    <w:abstractNumId w:val="13"/>
  </w:num>
  <w:num w:numId="30">
    <w:abstractNumId w:val="20"/>
  </w:num>
  <w:num w:numId="31">
    <w:abstractNumId w:val="6"/>
  </w:num>
  <w:num w:numId="32">
    <w:abstractNumId w:val="14"/>
  </w:num>
  <w:num w:numId="33">
    <w:abstractNumId w:val="14"/>
  </w:num>
  <w:num w:numId="34">
    <w:abstractNumId w:val="14"/>
  </w:num>
  <w:num w:numId="35">
    <w:abstractNumId w:val="8"/>
  </w:num>
  <w:num w:numId="36">
    <w:abstractNumId w:val="9"/>
  </w:num>
  <w:num w:numId="37">
    <w:abstractNumId w:val="14"/>
  </w:num>
  <w:num w:numId="38">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466D7C"/>
    <w:rsid w:val="0000023D"/>
    <w:rsid w:val="0000108B"/>
    <w:rsid w:val="0000608E"/>
    <w:rsid w:val="000111D2"/>
    <w:rsid w:val="000144A5"/>
    <w:rsid w:val="00025460"/>
    <w:rsid w:val="00025EBD"/>
    <w:rsid w:val="00030424"/>
    <w:rsid w:val="00030915"/>
    <w:rsid w:val="00035E97"/>
    <w:rsid w:val="000456E8"/>
    <w:rsid w:val="00061C9B"/>
    <w:rsid w:val="000665EE"/>
    <w:rsid w:val="00071237"/>
    <w:rsid w:val="00071812"/>
    <w:rsid w:val="00072588"/>
    <w:rsid w:val="000756A4"/>
    <w:rsid w:val="00075AF2"/>
    <w:rsid w:val="0008710E"/>
    <w:rsid w:val="0009198B"/>
    <w:rsid w:val="000944A9"/>
    <w:rsid w:val="000B246D"/>
    <w:rsid w:val="000B5D2B"/>
    <w:rsid w:val="000B6FB7"/>
    <w:rsid w:val="000C3CBF"/>
    <w:rsid w:val="000D2FC9"/>
    <w:rsid w:val="000D4701"/>
    <w:rsid w:val="000D4844"/>
    <w:rsid w:val="000E6208"/>
    <w:rsid w:val="000E7675"/>
    <w:rsid w:val="000F2EAF"/>
    <w:rsid w:val="000F7F04"/>
    <w:rsid w:val="00100F1F"/>
    <w:rsid w:val="0010335B"/>
    <w:rsid w:val="00107551"/>
    <w:rsid w:val="00111D2A"/>
    <w:rsid w:val="001241CF"/>
    <w:rsid w:val="00126A33"/>
    <w:rsid w:val="00130B61"/>
    <w:rsid w:val="00135192"/>
    <w:rsid w:val="00145A7A"/>
    <w:rsid w:val="00146ABE"/>
    <w:rsid w:val="00146D9D"/>
    <w:rsid w:val="00147DAC"/>
    <w:rsid w:val="00152594"/>
    <w:rsid w:val="00153094"/>
    <w:rsid w:val="0017199F"/>
    <w:rsid w:val="0017705E"/>
    <w:rsid w:val="001779C4"/>
    <w:rsid w:val="001803C7"/>
    <w:rsid w:val="00182556"/>
    <w:rsid w:val="00190635"/>
    <w:rsid w:val="001A3E36"/>
    <w:rsid w:val="001A49A0"/>
    <w:rsid w:val="001B05B0"/>
    <w:rsid w:val="001B4763"/>
    <w:rsid w:val="001B535E"/>
    <w:rsid w:val="001B72C6"/>
    <w:rsid w:val="001B7427"/>
    <w:rsid w:val="001C3184"/>
    <w:rsid w:val="001D0922"/>
    <w:rsid w:val="001E27CB"/>
    <w:rsid w:val="001F5F7B"/>
    <w:rsid w:val="00214113"/>
    <w:rsid w:val="002171CE"/>
    <w:rsid w:val="00224129"/>
    <w:rsid w:val="00224C08"/>
    <w:rsid w:val="002250E4"/>
    <w:rsid w:val="00225DA8"/>
    <w:rsid w:val="00227B2B"/>
    <w:rsid w:val="00227BD8"/>
    <w:rsid w:val="00231A09"/>
    <w:rsid w:val="00250DC7"/>
    <w:rsid w:val="002567C5"/>
    <w:rsid w:val="0026039B"/>
    <w:rsid w:val="00267627"/>
    <w:rsid w:val="00275168"/>
    <w:rsid w:val="0028535D"/>
    <w:rsid w:val="00286E66"/>
    <w:rsid w:val="00294025"/>
    <w:rsid w:val="00294577"/>
    <w:rsid w:val="002B175C"/>
    <w:rsid w:val="002B73ED"/>
    <w:rsid w:val="002C38D0"/>
    <w:rsid w:val="002C6F3A"/>
    <w:rsid w:val="002D4336"/>
    <w:rsid w:val="002F33E0"/>
    <w:rsid w:val="002F5621"/>
    <w:rsid w:val="002F6437"/>
    <w:rsid w:val="00306AD3"/>
    <w:rsid w:val="00307AB5"/>
    <w:rsid w:val="00313867"/>
    <w:rsid w:val="00331451"/>
    <w:rsid w:val="0033165D"/>
    <w:rsid w:val="003327DE"/>
    <w:rsid w:val="00344710"/>
    <w:rsid w:val="003555DB"/>
    <w:rsid w:val="003578DF"/>
    <w:rsid w:val="00372E1F"/>
    <w:rsid w:val="003821F9"/>
    <w:rsid w:val="003969F6"/>
    <w:rsid w:val="003A3C94"/>
    <w:rsid w:val="003A6EFD"/>
    <w:rsid w:val="003D0F29"/>
    <w:rsid w:val="003D5139"/>
    <w:rsid w:val="003D728C"/>
    <w:rsid w:val="003E125B"/>
    <w:rsid w:val="003E2D99"/>
    <w:rsid w:val="00406229"/>
    <w:rsid w:val="00432033"/>
    <w:rsid w:val="00435EF3"/>
    <w:rsid w:val="00437338"/>
    <w:rsid w:val="00443F9C"/>
    <w:rsid w:val="00444D43"/>
    <w:rsid w:val="00465517"/>
    <w:rsid w:val="00465CC4"/>
    <w:rsid w:val="00466D7C"/>
    <w:rsid w:val="00472AD8"/>
    <w:rsid w:val="004736BC"/>
    <w:rsid w:val="00485DD7"/>
    <w:rsid w:val="00485F73"/>
    <w:rsid w:val="00486357"/>
    <w:rsid w:val="004B23C6"/>
    <w:rsid w:val="004C4078"/>
    <w:rsid w:val="004D3FBE"/>
    <w:rsid w:val="004E7114"/>
    <w:rsid w:val="0050002C"/>
    <w:rsid w:val="00502034"/>
    <w:rsid w:val="00503AE8"/>
    <w:rsid w:val="00505F8D"/>
    <w:rsid w:val="00513661"/>
    <w:rsid w:val="00517053"/>
    <w:rsid w:val="00523882"/>
    <w:rsid w:val="00524B47"/>
    <w:rsid w:val="00531E7F"/>
    <w:rsid w:val="00534CE0"/>
    <w:rsid w:val="00547762"/>
    <w:rsid w:val="005507C1"/>
    <w:rsid w:val="00552BA2"/>
    <w:rsid w:val="00554ACF"/>
    <w:rsid w:val="005562A2"/>
    <w:rsid w:val="0056035A"/>
    <w:rsid w:val="00564C4D"/>
    <w:rsid w:val="005773DF"/>
    <w:rsid w:val="005848FF"/>
    <w:rsid w:val="0058519B"/>
    <w:rsid w:val="00586247"/>
    <w:rsid w:val="00594BAD"/>
    <w:rsid w:val="005969CF"/>
    <w:rsid w:val="005A5B63"/>
    <w:rsid w:val="005B1B70"/>
    <w:rsid w:val="005B25D8"/>
    <w:rsid w:val="005B413B"/>
    <w:rsid w:val="005B4AAB"/>
    <w:rsid w:val="005C004E"/>
    <w:rsid w:val="005D152F"/>
    <w:rsid w:val="005E075E"/>
    <w:rsid w:val="005E28CF"/>
    <w:rsid w:val="005E400D"/>
    <w:rsid w:val="005E5E23"/>
    <w:rsid w:val="005F2F1C"/>
    <w:rsid w:val="005F3333"/>
    <w:rsid w:val="006064CF"/>
    <w:rsid w:val="00612AB7"/>
    <w:rsid w:val="0061794A"/>
    <w:rsid w:val="00626D80"/>
    <w:rsid w:val="00630056"/>
    <w:rsid w:val="00637C46"/>
    <w:rsid w:val="00640D87"/>
    <w:rsid w:val="006438B4"/>
    <w:rsid w:val="0065284E"/>
    <w:rsid w:val="00656599"/>
    <w:rsid w:val="00666802"/>
    <w:rsid w:val="006873E9"/>
    <w:rsid w:val="006A2C1C"/>
    <w:rsid w:val="006A7ADD"/>
    <w:rsid w:val="006B0270"/>
    <w:rsid w:val="006B2E36"/>
    <w:rsid w:val="006C40C7"/>
    <w:rsid w:val="006C40F3"/>
    <w:rsid w:val="006C5271"/>
    <w:rsid w:val="006D7395"/>
    <w:rsid w:val="006E09FE"/>
    <w:rsid w:val="006E1730"/>
    <w:rsid w:val="006F3C84"/>
    <w:rsid w:val="006F4893"/>
    <w:rsid w:val="007053F0"/>
    <w:rsid w:val="0070649C"/>
    <w:rsid w:val="00707C7E"/>
    <w:rsid w:val="00711052"/>
    <w:rsid w:val="0071271E"/>
    <w:rsid w:val="00713EFF"/>
    <w:rsid w:val="00726675"/>
    <w:rsid w:val="00747F44"/>
    <w:rsid w:val="00760871"/>
    <w:rsid w:val="00770352"/>
    <w:rsid w:val="00773ADE"/>
    <w:rsid w:val="00777292"/>
    <w:rsid w:val="0079133D"/>
    <w:rsid w:val="0079747F"/>
    <w:rsid w:val="007B19B2"/>
    <w:rsid w:val="007D12FA"/>
    <w:rsid w:val="007E169D"/>
    <w:rsid w:val="007E593D"/>
    <w:rsid w:val="007F314D"/>
    <w:rsid w:val="008042E0"/>
    <w:rsid w:val="00804B82"/>
    <w:rsid w:val="008054E6"/>
    <w:rsid w:val="00807DF2"/>
    <w:rsid w:val="00813D01"/>
    <w:rsid w:val="00820B45"/>
    <w:rsid w:val="0082214C"/>
    <w:rsid w:val="00827B68"/>
    <w:rsid w:val="00831F36"/>
    <w:rsid w:val="00833DE6"/>
    <w:rsid w:val="00835CC0"/>
    <w:rsid w:val="00836FCE"/>
    <w:rsid w:val="00843F90"/>
    <w:rsid w:val="00844F3D"/>
    <w:rsid w:val="00845FA4"/>
    <w:rsid w:val="00847739"/>
    <w:rsid w:val="0085231A"/>
    <w:rsid w:val="00855170"/>
    <w:rsid w:val="008670A4"/>
    <w:rsid w:val="008704C8"/>
    <w:rsid w:val="00871282"/>
    <w:rsid w:val="0087430F"/>
    <w:rsid w:val="0088525A"/>
    <w:rsid w:val="008930F5"/>
    <w:rsid w:val="00897829"/>
    <w:rsid w:val="008B4076"/>
    <w:rsid w:val="008B6858"/>
    <w:rsid w:val="008B7635"/>
    <w:rsid w:val="008C2976"/>
    <w:rsid w:val="008C7F35"/>
    <w:rsid w:val="008E0384"/>
    <w:rsid w:val="008E5317"/>
    <w:rsid w:val="008E76D9"/>
    <w:rsid w:val="008F49FB"/>
    <w:rsid w:val="008F52F5"/>
    <w:rsid w:val="00902086"/>
    <w:rsid w:val="009020C8"/>
    <w:rsid w:val="009101F6"/>
    <w:rsid w:val="00912B52"/>
    <w:rsid w:val="00930A13"/>
    <w:rsid w:val="00932BB6"/>
    <w:rsid w:val="009366B1"/>
    <w:rsid w:val="0094363E"/>
    <w:rsid w:val="0094478B"/>
    <w:rsid w:val="0095505F"/>
    <w:rsid w:val="009556F4"/>
    <w:rsid w:val="0096061B"/>
    <w:rsid w:val="00976621"/>
    <w:rsid w:val="00992495"/>
    <w:rsid w:val="0099503D"/>
    <w:rsid w:val="00997310"/>
    <w:rsid w:val="009A1D20"/>
    <w:rsid w:val="009A4BCB"/>
    <w:rsid w:val="009C1C03"/>
    <w:rsid w:val="009F0CB4"/>
    <w:rsid w:val="009F5F21"/>
    <w:rsid w:val="00A02ABE"/>
    <w:rsid w:val="00A03728"/>
    <w:rsid w:val="00A105BD"/>
    <w:rsid w:val="00A1611B"/>
    <w:rsid w:val="00A2664E"/>
    <w:rsid w:val="00A26D5C"/>
    <w:rsid w:val="00A327EA"/>
    <w:rsid w:val="00A35BEB"/>
    <w:rsid w:val="00A41920"/>
    <w:rsid w:val="00A4501C"/>
    <w:rsid w:val="00A56A02"/>
    <w:rsid w:val="00A61218"/>
    <w:rsid w:val="00A6721C"/>
    <w:rsid w:val="00A8073B"/>
    <w:rsid w:val="00A94EED"/>
    <w:rsid w:val="00AA0BF3"/>
    <w:rsid w:val="00AB0D39"/>
    <w:rsid w:val="00AB222F"/>
    <w:rsid w:val="00AB6E63"/>
    <w:rsid w:val="00AB7585"/>
    <w:rsid w:val="00AB78B1"/>
    <w:rsid w:val="00AC1582"/>
    <w:rsid w:val="00AD3DFB"/>
    <w:rsid w:val="00AE11C3"/>
    <w:rsid w:val="00AE3CAF"/>
    <w:rsid w:val="00AE4AF0"/>
    <w:rsid w:val="00AE4F8B"/>
    <w:rsid w:val="00AE680D"/>
    <w:rsid w:val="00AE6D2F"/>
    <w:rsid w:val="00AF010D"/>
    <w:rsid w:val="00AF5776"/>
    <w:rsid w:val="00B06E2E"/>
    <w:rsid w:val="00B15C34"/>
    <w:rsid w:val="00B205EB"/>
    <w:rsid w:val="00B209A4"/>
    <w:rsid w:val="00B23F5B"/>
    <w:rsid w:val="00B3595D"/>
    <w:rsid w:val="00B44B81"/>
    <w:rsid w:val="00B50150"/>
    <w:rsid w:val="00B50A37"/>
    <w:rsid w:val="00B52384"/>
    <w:rsid w:val="00B56A8E"/>
    <w:rsid w:val="00B577FA"/>
    <w:rsid w:val="00B62F55"/>
    <w:rsid w:val="00B668E2"/>
    <w:rsid w:val="00B66949"/>
    <w:rsid w:val="00B747A3"/>
    <w:rsid w:val="00B755AB"/>
    <w:rsid w:val="00B844A5"/>
    <w:rsid w:val="00B900E9"/>
    <w:rsid w:val="00B97FE0"/>
    <w:rsid w:val="00BA0341"/>
    <w:rsid w:val="00BA3D5B"/>
    <w:rsid w:val="00BA4A7A"/>
    <w:rsid w:val="00BA6391"/>
    <w:rsid w:val="00BB694F"/>
    <w:rsid w:val="00BB7353"/>
    <w:rsid w:val="00BD338E"/>
    <w:rsid w:val="00BE718A"/>
    <w:rsid w:val="00C00373"/>
    <w:rsid w:val="00C04BBE"/>
    <w:rsid w:val="00C1016D"/>
    <w:rsid w:val="00C138B4"/>
    <w:rsid w:val="00C1417E"/>
    <w:rsid w:val="00C16AA9"/>
    <w:rsid w:val="00C4484E"/>
    <w:rsid w:val="00C57091"/>
    <w:rsid w:val="00C7302B"/>
    <w:rsid w:val="00C75B7B"/>
    <w:rsid w:val="00C84E60"/>
    <w:rsid w:val="00C902A6"/>
    <w:rsid w:val="00C92929"/>
    <w:rsid w:val="00C9303F"/>
    <w:rsid w:val="00C938F8"/>
    <w:rsid w:val="00C9629A"/>
    <w:rsid w:val="00CA08C3"/>
    <w:rsid w:val="00CA5433"/>
    <w:rsid w:val="00CB483D"/>
    <w:rsid w:val="00CC4F83"/>
    <w:rsid w:val="00CC6D5E"/>
    <w:rsid w:val="00CD149C"/>
    <w:rsid w:val="00CD1F32"/>
    <w:rsid w:val="00CD2564"/>
    <w:rsid w:val="00CE258E"/>
    <w:rsid w:val="00CE694F"/>
    <w:rsid w:val="00CE746D"/>
    <w:rsid w:val="00CF5054"/>
    <w:rsid w:val="00CF5A61"/>
    <w:rsid w:val="00CF787F"/>
    <w:rsid w:val="00D050E2"/>
    <w:rsid w:val="00D105DB"/>
    <w:rsid w:val="00D14A11"/>
    <w:rsid w:val="00D1738D"/>
    <w:rsid w:val="00D17DDF"/>
    <w:rsid w:val="00D22B61"/>
    <w:rsid w:val="00D306B9"/>
    <w:rsid w:val="00D3112D"/>
    <w:rsid w:val="00D3624A"/>
    <w:rsid w:val="00D3684A"/>
    <w:rsid w:val="00D40CFB"/>
    <w:rsid w:val="00D41D52"/>
    <w:rsid w:val="00D42ABD"/>
    <w:rsid w:val="00D44969"/>
    <w:rsid w:val="00D46331"/>
    <w:rsid w:val="00D47CD7"/>
    <w:rsid w:val="00D47FAC"/>
    <w:rsid w:val="00D53CAE"/>
    <w:rsid w:val="00D57EAB"/>
    <w:rsid w:val="00D6766C"/>
    <w:rsid w:val="00D735FF"/>
    <w:rsid w:val="00D7389F"/>
    <w:rsid w:val="00D77A4C"/>
    <w:rsid w:val="00D812E2"/>
    <w:rsid w:val="00D81B74"/>
    <w:rsid w:val="00D90C94"/>
    <w:rsid w:val="00D94B83"/>
    <w:rsid w:val="00DB14B3"/>
    <w:rsid w:val="00DC6B58"/>
    <w:rsid w:val="00DD01DF"/>
    <w:rsid w:val="00DD196B"/>
    <w:rsid w:val="00DE2772"/>
    <w:rsid w:val="00DE60FB"/>
    <w:rsid w:val="00DE66EB"/>
    <w:rsid w:val="00DE7F7F"/>
    <w:rsid w:val="00DF1F36"/>
    <w:rsid w:val="00E12D25"/>
    <w:rsid w:val="00E14FDA"/>
    <w:rsid w:val="00E246B4"/>
    <w:rsid w:val="00E3108E"/>
    <w:rsid w:val="00E32F37"/>
    <w:rsid w:val="00E34FFC"/>
    <w:rsid w:val="00E57AB0"/>
    <w:rsid w:val="00E64EE2"/>
    <w:rsid w:val="00E70348"/>
    <w:rsid w:val="00E7318B"/>
    <w:rsid w:val="00E761DA"/>
    <w:rsid w:val="00E77F66"/>
    <w:rsid w:val="00E8056B"/>
    <w:rsid w:val="00E919E2"/>
    <w:rsid w:val="00E94F6D"/>
    <w:rsid w:val="00EA60C8"/>
    <w:rsid w:val="00EA792A"/>
    <w:rsid w:val="00EB04DF"/>
    <w:rsid w:val="00EB0EC8"/>
    <w:rsid w:val="00EC4BFC"/>
    <w:rsid w:val="00EE2C91"/>
    <w:rsid w:val="00EF38F3"/>
    <w:rsid w:val="00EF57A2"/>
    <w:rsid w:val="00EF7F08"/>
    <w:rsid w:val="00F00F2A"/>
    <w:rsid w:val="00F211F7"/>
    <w:rsid w:val="00F221A4"/>
    <w:rsid w:val="00F23ADD"/>
    <w:rsid w:val="00F25014"/>
    <w:rsid w:val="00F62576"/>
    <w:rsid w:val="00F643DB"/>
    <w:rsid w:val="00F71768"/>
    <w:rsid w:val="00F746FC"/>
    <w:rsid w:val="00F74C05"/>
    <w:rsid w:val="00F827F5"/>
    <w:rsid w:val="00F8285B"/>
    <w:rsid w:val="00F9096A"/>
    <w:rsid w:val="00FA0045"/>
    <w:rsid w:val="00FA1C05"/>
    <w:rsid w:val="00FA202C"/>
    <w:rsid w:val="00FA746E"/>
    <w:rsid w:val="00FB5183"/>
    <w:rsid w:val="00FB6999"/>
    <w:rsid w:val="00FC417B"/>
    <w:rsid w:val="00FC481B"/>
    <w:rsid w:val="00FC71A4"/>
    <w:rsid w:val="00FD035C"/>
    <w:rsid w:val="00FF6FC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11" style="mso-width-percent:400;mso-height-percent:200;mso-width-relative:margin;mso-height-relative:margin;v-text-anchor:middle" fillcolor="white">
      <v:fill color="white"/>
      <v:textbox style="mso-fit-shape-to-text:t"/>
      <o:colormenu v:ext="edit" strokecolor="red"/>
    </o:shapedefaults>
    <o:shapelayout v:ext="edit">
      <o:idmap v:ext="edit" data="1"/>
      <o:rules v:ext="edit">
        <o:r id="V:Rule20" type="connector" idref="#_x0000_s1096"/>
        <o:r id="V:Rule21" type="connector" idref="#_x0000_s1095"/>
        <o:r id="V:Rule22" type="connector" idref="#_x0000_s1092"/>
        <o:r id="V:Rule23" type="connector" idref="#_x0000_s1097"/>
        <o:r id="V:Rule24" type="connector" idref="#_x0000_s1043"/>
        <o:r id="V:Rule25" type="connector" idref="#_x0000_s1086"/>
        <o:r id="V:Rule26" type="connector" idref="#_x0000_s1080"/>
        <o:r id="V:Rule27" type="connector" idref="#_x0000_s1054"/>
        <o:r id="V:Rule28" type="connector" idref="#_x0000_s1079"/>
        <o:r id="V:Rule29" type="connector" idref="#_x0000_s1055"/>
        <o:r id="V:Rule30" type="connector" idref="#_x0000_s1075"/>
        <o:r id="V:Rule31" type="connector" idref="#_x0000_s1087"/>
        <o:r id="V:Rule32" type="connector" idref="#_x0000_s1084"/>
        <o:r id="V:Rule33" type="connector" idref="#_x0000_s1053"/>
        <o:r id="V:Rule34" type="connector" idref="#_x0000_s1102"/>
        <o:r id="V:Rule35" type="connector" idref="#_x0000_s1100"/>
        <o:r id="V:Rule36" type="connector" idref="#_x0000_s1109"/>
        <o:r id="V:Rule37" type="connector" idref="#_x0000_s1091"/>
        <o:r id="V:Rule38"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0C8"/>
    <w:pPr>
      <w:spacing w:after="200" w:line="276" w:lineRule="auto"/>
    </w:pPr>
    <w:rPr>
      <w:sz w:val="22"/>
      <w:szCs w:val="22"/>
    </w:rPr>
  </w:style>
  <w:style w:type="paragraph" w:styleId="Heading1">
    <w:name w:val="heading 1"/>
    <w:aliases w:val="ATA Submission Heading 1"/>
    <w:basedOn w:val="Normal"/>
    <w:next w:val="Normal"/>
    <w:link w:val="Heading1Char"/>
    <w:uiPriority w:val="99"/>
    <w:qFormat/>
    <w:rsid w:val="00EE2C91"/>
    <w:pPr>
      <w:numPr>
        <w:numId w:val="13"/>
      </w:numPr>
      <w:spacing w:after="0" w:line="240" w:lineRule="auto"/>
      <w:outlineLvl w:val="0"/>
    </w:pPr>
    <w:rPr>
      <w:rFonts w:ascii="Arial" w:hAnsi="Arial" w:cs="Arial"/>
      <w:b/>
      <w:color w:val="000064"/>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A Submission Heading 1 Char"/>
    <w:basedOn w:val="DefaultParagraphFont"/>
    <w:link w:val="Heading1"/>
    <w:uiPriority w:val="99"/>
    <w:locked/>
    <w:rsid w:val="00EE2C91"/>
    <w:rPr>
      <w:rFonts w:ascii="Arial" w:hAnsi="Arial" w:cs="Arial"/>
      <w:b/>
      <w:color w:val="000064"/>
      <w:sz w:val="28"/>
      <w:szCs w:val="28"/>
      <w:lang w:eastAsia="en-US"/>
    </w:rPr>
  </w:style>
  <w:style w:type="paragraph" w:styleId="ListParagraph">
    <w:name w:val="List Paragraph"/>
    <w:basedOn w:val="Normal"/>
    <w:uiPriority w:val="99"/>
    <w:qFormat/>
    <w:rsid w:val="001E27CB"/>
    <w:pPr>
      <w:ind w:left="720"/>
      <w:contextualSpacing/>
    </w:pPr>
  </w:style>
  <w:style w:type="table" w:styleId="TableGrid">
    <w:name w:val="Table Grid"/>
    <w:basedOn w:val="TableNormal"/>
    <w:uiPriority w:val="99"/>
    <w:rsid w:val="00CF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B246D"/>
    <w:pPr>
      <w:tabs>
        <w:tab w:val="center" w:pos="4513"/>
        <w:tab w:val="right" w:pos="9026"/>
      </w:tabs>
      <w:spacing w:after="0" w:line="240" w:lineRule="auto"/>
    </w:pPr>
    <w:rPr>
      <w:lang w:eastAsia="en-US"/>
    </w:rPr>
  </w:style>
  <w:style w:type="character" w:customStyle="1" w:styleId="HeaderChar">
    <w:name w:val="Header Char"/>
    <w:basedOn w:val="DefaultParagraphFont"/>
    <w:link w:val="Header"/>
    <w:uiPriority w:val="99"/>
    <w:locked/>
    <w:rsid w:val="000B246D"/>
    <w:rPr>
      <w:rFonts w:ascii="Calibri" w:eastAsia="Times New Roman" w:hAnsi="Calibri" w:cs="Times New Roman"/>
      <w:lang w:eastAsia="en-US"/>
    </w:rPr>
  </w:style>
  <w:style w:type="paragraph" w:styleId="Footer">
    <w:name w:val="footer"/>
    <w:basedOn w:val="Normal"/>
    <w:link w:val="FooterChar"/>
    <w:uiPriority w:val="99"/>
    <w:rsid w:val="000B246D"/>
    <w:pPr>
      <w:tabs>
        <w:tab w:val="center" w:pos="4513"/>
        <w:tab w:val="right" w:pos="9026"/>
      </w:tabs>
      <w:spacing w:after="0" w:line="240" w:lineRule="auto"/>
    </w:pPr>
    <w:rPr>
      <w:lang w:eastAsia="en-US"/>
    </w:rPr>
  </w:style>
  <w:style w:type="character" w:customStyle="1" w:styleId="FooterChar">
    <w:name w:val="Footer Char"/>
    <w:basedOn w:val="DefaultParagraphFont"/>
    <w:link w:val="Footer"/>
    <w:uiPriority w:val="99"/>
    <w:locked/>
    <w:rsid w:val="000B246D"/>
    <w:rPr>
      <w:rFonts w:ascii="Calibri" w:eastAsia="Times New Roman" w:hAnsi="Calibri" w:cs="Times New Roman"/>
      <w:lang w:eastAsia="en-US"/>
    </w:rPr>
  </w:style>
  <w:style w:type="paragraph" w:customStyle="1" w:styleId="ATAnormal">
    <w:name w:val="ATA normal"/>
    <w:basedOn w:val="Normal"/>
    <w:link w:val="ATAnormalChar"/>
    <w:uiPriority w:val="99"/>
    <w:rsid w:val="000B246D"/>
    <w:pPr>
      <w:spacing w:after="0" w:line="240" w:lineRule="auto"/>
    </w:pPr>
    <w:rPr>
      <w:rFonts w:ascii="Arial" w:hAnsi="Arial"/>
      <w:sz w:val="20"/>
      <w:szCs w:val="20"/>
      <w:lang w:eastAsia="en-US"/>
    </w:rPr>
  </w:style>
  <w:style w:type="character" w:customStyle="1" w:styleId="ATAnormalChar">
    <w:name w:val="ATA normal Char"/>
    <w:link w:val="ATAnormal"/>
    <w:uiPriority w:val="99"/>
    <w:locked/>
    <w:rsid w:val="000B246D"/>
    <w:rPr>
      <w:rFonts w:ascii="Arial" w:eastAsia="Times New Roman" w:hAnsi="Arial"/>
      <w:lang w:eastAsia="en-US"/>
    </w:rPr>
  </w:style>
  <w:style w:type="paragraph" w:customStyle="1" w:styleId="ATASubHead1">
    <w:name w:val="ATASubHead1"/>
    <w:basedOn w:val="Normal"/>
    <w:link w:val="ATASubHead1Char"/>
    <w:uiPriority w:val="99"/>
    <w:rsid w:val="000B246D"/>
    <w:pPr>
      <w:tabs>
        <w:tab w:val="left" w:pos="851"/>
      </w:tabs>
      <w:spacing w:before="240" w:after="120" w:line="240" w:lineRule="auto"/>
    </w:pPr>
    <w:rPr>
      <w:rFonts w:ascii="Arial" w:hAnsi="Arial"/>
      <w:b/>
      <w:color w:val="000064"/>
      <w:sz w:val="28"/>
      <w:szCs w:val="20"/>
      <w:lang w:eastAsia="en-US"/>
    </w:rPr>
  </w:style>
  <w:style w:type="character" w:customStyle="1" w:styleId="ATASubHead1Char">
    <w:name w:val="ATASubHead1 Char"/>
    <w:link w:val="ATASubHead1"/>
    <w:uiPriority w:val="99"/>
    <w:locked/>
    <w:rsid w:val="000B246D"/>
    <w:rPr>
      <w:rFonts w:ascii="Arial" w:eastAsia="Times New Roman" w:hAnsi="Arial"/>
      <w:b/>
      <w:color w:val="000064"/>
      <w:sz w:val="28"/>
      <w:lang w:eastAsia="en-US"/>
    </w:rPr>
  </w:style>
  <w:style w:type="paragraph" w:styleId="BalloonText">
    <w:name w:val="Balloon Text"/>
    <w:basedOn w:val="Normal"/>
    <w:link w:val="BalloonTextChar"/>
    <w:uiPriority w:val="99"/>
    <w:semiHidden/>
    <w:rsid w:val="00845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5FA4"/>
    <w:rPr>
      <w:rFonts w:ascii="Tahoma" w:hAnsi="Tahoma" w:cs="Tahoma"/>
      <w:sz w:val="16"/>
      <w:szCs w:val="16"/>
    </w:rPr>
  </w:style>
  <w:style w:type="paragraph" w:styleId="FootnoteText">
    <w:name w:val="footnote text"/>
    <w:basedOn w:val="Normal"/>
    <w:link w:val="FootnoteTextChar"/>
    <w:uiPriority w:val="99"/>
    <w:semiHidden/>
    <w:rsid w:val="00836FCE"/>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836FCE"/>
    <w:rPr>
      <w:rFonts w:eastAsia="Times New Roman" w:cs="Times New Roman"/>
      <w:sz w:val="20"/>
      <w:szCs w:val="20"/>
      <w:lang w:eastAsia="en-US"/>
    </w:rPr>
  </w:style>
  <w:style w:type="character" w:styleId="FootnoteReference">
    <w:name w:val="footnote reference"/>
    <w:basedOn w:val="DefaultParagraphFont"/>
    <w:uiPriority w:val="99"/>
    <w:semiHidden/>
    <w:rsid w:val="00836FCE"/>
    <w:rPr>
      <w:rFonts w:cs="Times New Roman"/>
      <w:vertAlign w:val="superscript"/>
    </w:rPr>
  </w:style>
  <w:style w:type="character" w:styleId="CommentReference">
    <w:name w:val="annotation reference"/>
    <w:basedOn w:val="DefaultParagraphFont"/>
    <w:uiPriority w:val="99"/>
    <w:semiHidden/>
    <w:rsid w:val="00513661"/>
    <w:rPr>
      <w:rFonts w:cs="Times New Roman"/>
      <w:sz w:val="16"/>
      <w:szCs w:val="16"/>
    </w:rPr>
  </w:style>
  <w:style w:type="paragraph" w:styleId="CommentText">
    <w:name w:val="annotation text"/>
    <w:basedOn w:val="Normal"/>
    <w:link w:val="CommentTextChar"/>
    <w:uiPriority w:val="99"/>
    <w:semiHidden/>
    <w:rsid w:val="0051366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13661"/>
    <w:rPr>
      <w:rFonts w:cs="Times New Roman"/>
      <w:sz w:val="20"/>
      <w:szCs w:val="20"/>
    </w:rPr>
  </w:style>
  <w:style w:type="paragraph" w:styleId="CommentSubject">
    <w:name w:val="annotation subject"/>
    <w:basedOn w:val="CommentText"/>
    <w:next w:val="CommentText"/>
    <w:link w:val="CommentSubjectChar"/>
    <w:uiPriority w:val="99"/>
    <w:semiHidden/>
    <w:rsid w:val="00513661"/>
    <w:rPr>
      <w:b/>
      <w:bCs/>
    </w:rPr>
  </w:style>
  <w:style w:type="character" w:customStyle="1" w:styleId="CommentSubjectChar">
    <w:name w:val="Comment Subject Char"/>
    <w:basedOn w:val="CommentTextChar"/>
    <w:link w:val="CommentSubject"/>
    <w:uiPriority w:val="99"/>
    <w:semiHidden/>
    <w:locked/>
    <w:rsid w:val="00513661"/>
    <w:rPr>
      <w:b/>
      <w:bCs/>
    </w:rPr>
  </w:style>
  <w:style w:type="paragraph" w:customStyle="1" w:styleId="ATAHeading2">
    <w:name w:val="ATA Heading 2"/>
    <w:basedOn w:val="Normal"/>
    <w:link w:val="ATAHeading2Char"/>
    <w:uiPriority w:val="99"/>
    <w:rsid w:val="00EE2C91"/>
    <w:pPr>
      <w:spacing w:before="120" w:after="120"/>
      <w:ind w:left="851" w:hanging="851"/>
    </w:pPr>
    <w:rPr>
      <w:rFonts w:ascii="Arial" w:hAnsi="Arial" w:cs="Arial"/>
      <w:b/>
      <w:color w:val="000064"/>
      <w:sz w:val="26"/>
      <w:szCs w:val="26"/>
      <w:lang w:eastAsia="en-US"/>
    </w:rPr>
  </w:style>
  <w:style w:type="paragraph" w:customStyle="1" w:styleId="RecommendationStyle">
    <w:name w:val="Recommendation Style"/>
    <w:basedOn w:val="Normal"/>
    <w:link w:val="RecommendationStyleChar"/>
    <w:uiPriority w:val="99"/>
    <w:rsid w:val="00EE2C91"/>
    <w:pPr>
      <w:numPr>
        <w:numId w:val="14"/>
      </w:numPr>
      <w:tabs>
        <w:tab w:val="left" w:pos="2098"/>
      </w:tabs>
      <w:spacing w:before="240" w:after="120" w:line="240" w:lineRule="auto"/>
    </w:pPr>
    <w:rPr>
      <w:rFonts w:ascii="Arial" w:hAnsi="Arial" w:cs="Arial"/>
      <w:b/>
      <w:i/>
      <w:sz w:val="20"/>
      <w:szCs w:val="20"/>
      <w:lang w:eastAsia="en-US"/>
    </w:rPr>
  </w:style>
  <w:style w:type="character" w:customStyle="1" w:styleId="RecommendationStyleChar">
    <w:name w:val="Recommendation Style Char"/>
    <w:basedOn w:val="DefaultParagraphFont"/>
    <w:link w:val="RecommendationStyle"/>
    <w:uiPriority w:val="99"/>
    <w:locked/>
    <w:rsid w:val="00A56A02"/>
    <w:rPr>
      <w:rFonts w:ascii="Arial" w:eastAsia="Times New Roman" w:hAnsi="Arial" w:cs="Arial"/>
      <w:b/>
      <w:i/>
      <w:sz w:val="20"/>
      <w:szCs w:val="20"/>
      <w:lang w:eastAsia="en-US"/>
    </w:rPr>
  </w:style>
  <w:style w:type="paragraph" w:customStyle="1" w:styleId="RecommendationStyle2">
    <w:name w:val="Recommendation Style 2"/>
    <w:basedOn w:val="Normal"/>
    <w:uiPriority w:val="99"/>
    <w:rsid w:val="00A56A02"/>
    <w:pPr>
      <w:spacing w:after="0" w:line="240" w:lineRule="auto"/>
      <w:jc w:val="both"/>
    </w:pPr>
    <w:rPr>
      <w:rFonts w:ascii="Arial" w:hAnsi="Arial" w:cs="Arial"/>
      <w:b/>
      <w:sz w:val="20"/>
      <w:szCs w:val="20"/>
      <w:lang w:eastAsia="en-US"/>
    </w:rPr>
  </w:style>
  <w:style w:type="character" w:customStyle="1" w:styleId="ATAHeading2Char">
    <w:name w:val="ATA Heading 2 Char"/>
    <w:basedOn w:val="DefaultParagraphFont"/>
    <w:link w:val="ATAHeading2"/>
    <w:uiPriority w:val="99"/>
    <w:locked/>
    <w:rsid w:val="00831F36"/>
    <w:rPr>
      <w:rFonts w:ascii="Arial" w:eastAsia="Times New Roman" w:hAnsi="Arial" w:cs="Arial"/>
      <w:b/>
      <w:color w:val="000064"/>
      <w:sz w:val="26"/>
      <w:szCs w:val="26"/>
      <w:lang w:eastAsia="en-US"/>
    </w:rPr>
  </w:style>
  <w:style w:type="paragraph" w:customStyle="1" w:styleId="ATAHeading3">
    <w:name w:val="ATA Heading 3"/>
    <w:basedOn w:val="ATAHeading2"/>
    <w:uiPriority w:val="99"/>
    <w:rsid w:val="00831F36"/>
    <w:pPr>
      <w:numPr>
        <w:ilvl w:val="2"/>
        <w:numId w:val="1"/>
      </w:numPr>
      <w:tabs>
        <w:tab w:val="left" w:pos="992"/>
      </w:tabs>
      <w:ind w:left="992" w:hanging="992"/>
    </w:pPr>
    <w:rPr>
      <w:i/>
      <w:color w:val="0D0D0D"/>
      <w:sz w:val="22"/>
      <w:szCs w:val="22"/>
    </w:rPr>
  </w:style>
  <w:style w:type="paragraph" w:customStyle="1" w:styleId="ATAHeading2nofurtherlevels">
    <w:name w:val="ATA Heading 2 no further levels"/>
    <w:basedOn w:val="ATAHeading2"/>
    <w:link w:val="ATAHeading2nofurtherlevelsChar"/>
    <w:uiPriority w:val="99"/>
    <w:rsid w:val="00831F36"/>
    <w:pPr>
      <w:numPr>
        <w:ilvl w:val="1"/>
        <w:numId w:val="13"/>
      </w:numPr>
    </w:pPr>
    <w:rPr>
      <w:i/>
      <w:color w:val="000000"/>
      <w:sz w:val="22"/>
      <w:szCs w:val="22"/>
    </w:rPr>
  </w:style>
  <w:style w:type="paragraph" w:styleId="TOC1">
    <w:name w:val="toc 1"/>
    <w:basedOn w:val="Normal"/>
    <w:next w:val="Normal"/>
    <w:autoRedefine/>
    <w:uiPriority w:val="39"/>
    <w:rsid w:val="006A2C1C"/>
    <w:pPr>
      <w:tabs>
        <w:tab w:val="left" w:pos="442"/>
        <w:tab w:val="right" w:leader="dot" w:pos="9628"/>
      </w:tabs>
      <w:spacing w:before="360" w:after="100" w:line="240" w:lineRule="auto"/>
    </w:pPr>
    <w:rPr>
      <w:rFonts w:ascii="Arial" w:hAnsi="Arial" w:cs="Arial"/>
      <w:b/>
      <w:noProof/>
      <w:sz w:val="20"/>
      <w:szCs w:val="20"/>
      <w:lang w:eastAsia="en-US"/>
    </w:rPr>
  </w:style>
  <w:style w:type="character" w:customStyle="1" w:styleId="ATAHeading2nofurtherlevelsChar">
    <w:name w:val="ATA Heading 2 no further levels Char"/>
    <w:basedOn w:val="ATAHeading2Char"/>
    <w:link w:val="ATAHeading2nofurtherlevels"/>
    <w:uiPriority w:val="99"/>
    <w:locked/>
    <w:rsid w:val="00831F36"/>
    <w:rPr>
      <w:i/>
      <w:color w:val="000000"/>
    </w:rPr>
  </w:style>
  <w:style w:type="paragraph" w:styleId="TOC2">
    <w:name w:val="toc 2"/>
    <w:basedOn w:val="Normal"/>
    <w:next w:val="Normal"/>
    <w:autoRedefine/>
    <w:uiPriority w:val="99"/>
    <w:rsid w:val="006A2C1C"/>
    <w:pPr>
      <w:tabs>
        <w:tab w:val="left" w:pos="880"/>
        <w:tab w:val="right" w:leader="dot" w:pos="9639"/>
      </w:tabs>
      <w:spacing w:after="120" w:line="240" w:lineRule="auto"/>
      <w:ind w:left="221"/>
    </w:pPr>
    <w:rPr>
      <w:rFonts w:ascii="Arial" w:hAnsi="Arial"/>
      <w:sz w:val="20"/>
      <w:lang w:eastAsia="en-US"/>
    </w:rPr>
  </w:style>
  <w:style w:type="character" w:styleId="Hyperlink">
    <w:name w:val="Hyperlink"/>
    <w:basedOn w:val="DefaultParagraphFont"/>
    <w:uiPriority w:val="99"/>
    <w:rsid w:val="009A1D20"/>
    <w:rPr>
      <w:rFonts w:cs="Times New Roman"/>
      <w:color w:val="0000FF"/>
      <w:u w:val="single"/>
    </w:rPr>
  </w:style>
  <w:style w:type="paragraph" w:customStyle="1" w:styleId="Default">
    <w:name w:val="Default"/>
    <w:uiPriority w:val="99"/>
    <w:rsid w:val="00100F1F"/>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465517"/>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lang w:val="en-US"/>
    </w:rPr>
  </w:style>
</w:styles>
</file>

<file path=word/webSettings.xml><?xml version="1.0" encoding="utf-8"?>
<w:webSettings xmlns:r="http://schemas.openxmlformats.org/officeDocument/2006/relationships" xmlns:w="http://schemas.openxmlformats.org/wordprocessingml/2006/main">
  <w:divs>
    <w:div w:id="246772017">
      <w:bodyDiv w:val="1"/>
      <w:marLeft w:val="0"/>
      <w:marRight w:val="0"/>
      <w:marTop w:val="0"/>
      <w:marBottom w:val="0"/>
      <w:divBdr>
        <w:top w:val="none" w:sz="0" w:space="0" w:color="auto"/>
        <w:left w:val="none" w:sz="0" w:space="0" w:color="auto"/>
        <w:bottom w:val="none" w:sz="0" w:space="0" w:color="auto"/>
        <w:right w:val="none" w:sz="0" w:space="0" w:color="auto"/>
      </w:divBdr>
    </w:div>
    <w:div w:id="385418611">
      <w:bodyDiv w:val="1"/>
      <w:marLeft w:val="0"/>
      <w:marRight w:val="0"/>
      <w:marTop w:val="0"/>
      <w:marBottom w:val="0"/>
      <w:divBdr>
        <w:top w:val="none" w:sz="0" w:space="0" w:color="auto"/>
        <w:left w:val="none" w:sz="0" w:space="0" w:color="auto"/>
        <w:bottom w:val="none" w:sz="0" w:space="0" w:color="auto"/>
        <w:right w:val="none" w:sz="0" w:space="0" w:color="auto"/>
      </w:divBdr>
    </w:div>
    <w:div w:id="900750132">
      <w:bodyDiv w:val="1"/>
      <w:marLeft w:val="0"/>
      <w:marRight w:val="0"/>
      <w:marTop w:val="0"/>
      <w:marBottom w:val="0"/>
      <w:divBdr>
        <w:top w:val="none" w:sz="0" w:space="0" w:color="auto"/>
        <w:left w:val="none" w:sz="0" w:space="0" w:color="auto"/>
        <w:bottom w:val="none" w:sz="0" w:space="0" w:color="auto"/>
        <w:right w:val="none" w:sz="0" w:space="0" w:color="auto"/>
      </w:divBdr>
    </w:div>
    <w:div w:id="987171019">
      <w:marLeft w:val="0"/>
      <w:marRight w:val="0"/>
      <w:marTop w:val="0"/>
      <w:marBottom w:val="0"/>
      <w:divBdr>
        <w:top w:val="none" w:sz="0" w:space="0" w:color="auto"/>
        <w:left w:val="none" w:sz="0" w:space="0" w:color="auto"/>
        <w:bottom w:val="none" w:sz="0" w:space="0" w:color="auto"/>
        <w:right w:val="none" w:sz="0" w:space="0" w:color="auto"/>
      </w:divBdr>
    </w:div>
    <w:div w:id="987171020">
      <w:marLeft w:val="0"/>
      <w:marRight w:val="0"/>
      <w:marTop w:val="0"/>
      <w:marBottom w:val="0"/>
      <w:divBdr>
        <w:top w:val="none" w:sz="0" w:space="0" w:color="auto"/>
        <w:left w:val="none" w:sz="0" w:space="0" w:color="auto"/>
        <w:bottom w:val="none" w:sz="0" w:space="0" w:color="auto"/>
        <w:right w:val="none" w:sz="0" w:space="0" w:color="auto"/>
      </w:divBdr>
    </w:div>
    <w:div w:id="987171021">
      <w:marLeft w:val="0"/>
      <w:marRight w:val="0"/>
      <w:marTop w:val="0"/>
      <w:marBottom w:val="0"/>
      <w:divBdr>
        <w:top w:val="none" w:sz="0" w:space="0" w:color="auto"/>
        <w:left w:val="none" w:sz="0" w:space="0" w:color="auto"/>
        <w:bottom w:val="none" w:sz="0" w:space="0" w:color="auto"/>
        <w:right w:val="none" w:sz="0" w:space="0" w:color="auto"/>
      </w:divBdr>
    </w:div>
    <w:div w:id="987171022">
      <w:marLeft w:val="0"/>
      <w:marRight w:val="0"/>
      <w:marTop w:val="0"/>
      <w:marBottom w:val="0"/>
      <w:divBdr>
        <w:top w:val="none" w:sz="0" w:space="0" w:color="auto"/>
        <w:left w:val="none" w:sz="0" w:space="0" w:color="auto"/>
        <w:bottom w:val="none" w:sz="0" w:space="0" w:color="auto"/>
        <w:right w:val="none" w:sz="0" w:space="0" w:color="auto"/>
      </w:divBdr>
    </w:div>
    <w:div w:id="987171023">
      <w:marLeft w:val="0"/>
      <w:marRight w:val="0"/>
      <w:marTop w:val="0"/>
      <w:marBottom w:val="0"/>
      <w:divBdr>
        <w:top w:val="none" w:sz="0" w:space="0" w:color="auto"/>
        <w:left w:val="none" w:sz="0" w:space="0" w:color="auto"/>
        <w:bottom w:val="none" w:sz="0" w:space="0" w:color="auto"/>
        <w:right w:val="none" w:sz="0" w:space="0" w:color="auto"/>
      </w:divBdr>
    </w:div>
    <w:div w:id="987171024">
      <w:marLeft w:val="0"/>
      <w:marRight w:val="0"/>
      <w:marTop w:val="0"/>
      <w:marBottom w:val="0"/>
      <w:divBdr>
        <w:top w:val="none" w:sz="0" w:space="0" w:color="auto"/>
        <w:left w:val="none" w:sz="0" w:space="0" w:color="auto"/>
        <w:bottom w:val="none" w:sz="0" w:space="0" w:color="auto"/>
        <w:right w:val="none" w:sz="0" w:space="0" w:color="auto"/>
      </w:divBdr>
    </w:div>
    <w:div w:id="987171025">
      <w:marLeft w:val="0"/>
      <w:marRight w:val="0"/>
      <w:marTop w:val="0"/>
      <w:marBottom w:val="0"/>
      <w:divBdr>
        <w:top w:val="none" w:sz="0" w:space="0" w:color="auto"/>
        <w:left w:val="none" w:sz="0" w:space="0" w:color="auto"/>
        <w:bottom w:val="none" w:sz="0" w:space="0" w:color="auto"/>
        <w:right w:val="none" w:sz="0" w:space="0" w:color="auto"/>
      </w:divBdr>
    </w:div>
    <w:div w:id="987171026">
      <w:marLeft w:val="0"/>
      <w:marRight w:val="0"/>
      <w:marTop w:val="0"/>
      <w:marBottom w:val="0"/>
      <w:divBdr>
        <w:top w:val="none" w:sz="0" w:space="0" w:color="auto"/>
        <w:left w:val="none" w:sz="0" w:space="0" w:color="auto"/>
        <w:bottom w:val="none" w:sz="0" w:space="0" w:color="auto"/>
        <w:right w:val="none" w:sz="0" w:space="0" w:color="auto"/>
      </w:divBdr>
    </w:div>
    <w:div w:id="987171027">
      <w:marLeft w:val="0"/>
      <w:marRight w:val="0"/>
      <w:marTop w:val="0"/>
      <w:marBottom w:val="0"/>
      <w:divBdr>
        <w:top w:val="none" w:sz="0" w:space="0" w:color="auto"/>
        <w:left w:val="none" w:sz="0" w:space="0" w:color="auto"/>
        <w:bottom w:val="none" w:sz="0" w:space="0" w:color="auto"/>
        <w:right w:val="none" w:sz="0" w:space="0" w:color="auto"/>
      </w:divBdr>
    </w:div>
    <w:div w:id="987171028">
      <w:marLeft w:val="0"/>
      <w:marRight w:val="0"/>
      <w:marTop w:val="0"/>
      <w:marBottom w:val="0"/>
      <w:divBdr>
        <w:top w:val="none" w:sz="0" w:space="0" w:color="auto"/>
        <w:left w:val="none" w:sz="0" w:space="0" w:color="auto"/>
        <w:bottom w:val="none" w:sz="0" w:space="0" w:color="auto"/>
        <w:right w:val="none" w:sz="0" w:space="0" w:color="auto"/>
      </w:divBdr>
    </w:div>
    <w:div w:id="987171029">
      <w:marLeft w:val="0"/>
      <w:marRight w:val="0"/>
      <w:marTop w:val="0"/>
      <w:marBottom w:val="0"/>
      <w:divBdr>
        <w:top w:val="none" w:sz="0" w:space="0" w:color="auto"/>
        <w:left w:val="none" w:sz="0" w:space="0" w:color="auto"/>
        <w:bottom w:val="none" w:sz="0" w:space="0" w:color="auto"/>
        <w:right w:val="none" w:sz="0" w:space="0" w:color="auto"/>
      </w:divBdr>
    </w:div>
    <w:div w:id="987171030">
      <w:marLeft w:val="0"/>
      <w:marRight w:val="0"/>
      <w:marTop w:val="0"/>
      <w:marBottom w:val="0"/>
      <w:divBdr>
        <w:top w:val="none" w:sz="0" w:space="0" w:color="auto"/>
        <w:left w:val="none" w:sz="0" w:space="0" w:color="auto"/>
        <w:bottom w:val="none" w:sz="0" w:space="0" w:color="auto"/>
        <w:right w:val="none" w:sz="0" w:space="0" w:color="auto"/>
      </w:divBdr>
    </w:div>
    <w:div w:id="987171031">
      <w:marLeft w:val="0"/>
      <w:marRight w:val="0"/>
      <w:marTop w:val="0"/>
      <w:marBottom w:val="0"/>
      <w:divBdr>
        <w:top w:val="none" w:sz="0" w:space="0" w:color="auto"/>
        <w:left w:val="none" w:sz="0" w:space="0" w:color="auto"/>
        <w:bottom w:val="none" w:sz="0" w:space="0" w:color="auto"/>
        <w:right w:val="none" w:sz="0" w:space="0" w:color="auto"/>
      </w:divBdr>
    </w:div>
    <w:div w:id="987171032">
      <w:marLeft w:val="0"/>
      <w:marRight w:val="0"/>
      <w:marTop w:val="0"/>
      <w:marBottom w:val="0"/>
      <w:divBdr>
        <w:top w:val="none" w:sz="0" w:space="0" w:color="auto"/>
        <w:left w:val="none" w:sz="0" w:space="0" w:color="auto"/>
        <w:bottom w:val="none" w:sz="0" w:space="0" w:color="auto"/>
        <w:right w:val="none" w:sz="0" w:space="0" w:color="auto"/>
      </w:divBdr>
    </w:div>
    <w:div w:id="987171033">
      <w:marLeft w:val="0"/>
      <w:marRight w:val="0"/>
      <w:marTop w:val="0"/>
      <w:marBottom w:val="0"/>
      <w:divBdr>
        <w:top w:val="none" w:sz="0" w:space="0" w:color="auto"/>
        <w:left w:val="none" w:sz="0" w:space="0" w:color="auto"/>
        <w:bottom w:val="none" w:sz="0" w:space="0" w:color="auto"/>
        <w:right w:val="none" w:sz="0" w:space="0" w:color="auto"/>
      </w:divBdr>
    </w:div>
    <w:div w:id="987171034">
      <w:marLeft w:val="0"/>
      <w:marRight w:val="0"/>
      <w:marTop w:val="0"/>
      <w:marBottom w:val="0"/>
      <w:divBdr>
        <w:top w:val="none" w:sz="0" w:space="0" w:color="auto"/>
        <w:left w:val="none" w:sz="0" w:space="0" w:color="auto"/>
        <w:bottom w:val="none" w:sz="0" w:space="0" w:color="auto"/>
        <w:right w:val="none" w:sz="0" w:space="0" w:color="auto"/>
      </w:divBdr>
    </w:div>
    <w:div w:id="987171035">
      <w:marLeft w:val="0"/>
      <w:marRight w:val="0"/>
      <w:marTop w:val="0"/>
      <w:marBottom w:val="0"/>
      <w:divBdr>
        <w:top w:val="none" w:sz="0" w:space="0" w:color="auto"/>
        <w:left w:val="none" w:sz="0" w:space="0" w:color="auto"/>
        <w:bottom w:val="none" w:sz="0" w:space="0" w:color="auto"/>
        <w:right w:val="none" w:sz="0" w:space="0" w:color="auto"/>
      </w:divBdr>
    </w:div>
    <w:div w:id="987171036">
      <w:marLeft w:val="0"/>
      <w:marRight w:val="0"/>
      <w:marTop w:val="0"/>
      <w:marBottom w:val="0"/>
      <w:divBdr>
        <w:top w:val="none" w:sz="0" w:space="0" w:color="auto"/>
        <w:left w:val="none" w:sz="0" w:space="0" w:color="auto"/>
        <w:bottom w:val="none" w:sz="0" w:space="0" w:color="auto"/>
        <w:right w:val="none" w:sz="0" w:space="0" w:color="auto"/>
      </w:divBdr>
    </w:div>
    <w:div w:id="987171037">
      <w:marLeft w:val="0"/>
      <w:marRight w:val="0"/>
      <w:marTop w:val="0"/>
      <w:marBottom w:val="0"/>
      <w:divBdr>
        <w:top w:val="none" w:sz="0" w:space="0" w:color="auto"/>
        <w:left w:val="none" w:sz="0" w:space="0" w:color="auto"/>
        <w:bottom w:val="none" w:sz="0" w:space="0" w:color="auto"/>
        <w:right w:val="none" w:sz="0" w:space="0" w:color="auto"/>
      </w:divBdr>
    </w:div>
    <w:div w:id="987171038">
      <w:marLeft w:val="0"/>
      <w:marRight w:val="0"/>
      <w:marTop w:val="0"/>
      <w:marBottom w:val="0"/>
      <w:divBdr>
        <w:top w:val="none" w:sz="0" w:space="0" w:color="auto"/>
        <w:left w:val="none" w:sz="0" w:space="0" w:color="auto"/>
        <w:bottom w:val="none" w:sz="0" w:space="0" w:color="auto"/>
        <w:right w:val="none" w:sz="0" w:space="0" w:color="auto"/>
      </w:divBdr>
    </w:div>
    <w:div w:id="987171039">
      <w:marLeft w:val="0"/>
      <w:marRight w:val="0"/>
      <w:marTop w:val="0"/>
      <w:marBottom w:val="0"/>
      <w:divBdr>
        <w:top w:val="none" w:sz="0" w:space="0" w:color="auto"/>
        <w:left w:val="none" w:sz="0" w:space="0" w:color="auto"/>
        <w:bottom w:val="none" w:sz="0" w:space="0" w:color="auto"/>
        <w:right w:val="none" w:sz="0" w:space="0" w:color="auto"/>
      </w:divBdr>
    </w:div>
    <w:div w:id="987171040">
      <w:marLeft w:val="0"/>
      <w:marRight w:val="0"/>
      <w:marTop w:val="0"/>
      <w:marBottom w:val="0"/>
      <w:divBdr>
        <w:top w:val="none" w:sz="0" w:space="0" w:color="auto"/>
        <w:left w:val="none" w:sz="0" w:space="0" w:color="auto"/>
        <w:bottom w:val="none" w:sz="0" w:space="0" w:color="auto"/>
        <w:right w:val="none" w:sz="0" w:space="0" w:color="auto"/>
      </w:divBdr>
    </w:div>
    <w:div w:id="987171041">
      <w:marLeft w:val="0"/>
      <w:marRight w:val="0"/>
      <w:marTop w:val="0"/>
      <w:marBottom w:val="0"/>
      <w:divBdr>
        <w:top w:val="none" w:sz="0" w:space="0" w:color="auto"/>
        <w:left w:val="none" w:sz="0" w:space="0" w:color="auto"/>
        <w:bottom w:val="none" w:sz="0" w:space="0" w:color="auto"/>
        <w:right w:val="none" w:sz="0" w:space="0" w:color="auto"/>
      </w:divBdr>
    </w:div>
    <w:div w:id="987171042">
      <w:marLeft w:val="0"/>
      <w:marRight w:val="0"/>
      <w:marTop w:val="0"/>
      <w:marBottom w:val="0"/>
      <w:divBdr>
        <w:top w:val="none" w:sz="0" w:space="0" w:color="auto"/>
        <w:left w:val="none" w:sz="0" w:space="0" w:color="auto"/>
        <w:bottom w:val="none" w:sz="0" w:space="0" w:color="auto"/>
        <w:right w:val="none" w:sz="0" w:space="0" w:color="auto"/>
      </w:divBdr>
    </w:div>
    <w:div w:id="987171043">
      <w:marLeft w:val="0"/>
      <w:marRight w:val="0"/>
      <w:marTop w:val="0"/>
      <w:marBottom w:val="0"/>
      <w:divBdr>
        <w:top w:val="none" w:sz="0" w:space="0" w:color="auto"/>
        <w:left w:val="none" w:sz="0" w:space="0" w:color="auto"/>
        <w:bottom w:val="none" w:sz="0" w:space="0" w:color="auto"/>
        <w:right w:val="none" w:sz="0" w:space="0" w:color="auto"/>
      </w:divBdr>
    </w:div>
    <w:div w:id="987171044">
      <w:marLeft w:val="0"/>
      <w:marRight w:val="0"/>
      <w:marTop w:val="0"/>
      <w:marBottom w:val="0"/>
      <w:divBdr>
        <w:top w:val="none" w:sz="0" w:space="0" w:color="auto"/>
        <w:left w:val="none" w:sz="0" w:space="0" w:color="auto"/>
        <w:bottom w:val="none" w:sz="0" w:space="0" w:color="auto"/>
        <w:right w:val="none" w:sz="0" w:space="0" w:color="auto"/>
      </w:divBdr>
    </w:div>
    <w:div w:id="987171045">
      <w:marLeft w:val="0"/>
      <w:marRight w:val="0"/>
      <w:marTop w:val="0"/>
      <w:marBottom w:val="0"/>
      <w:divBdr>
        <w:top w:val="none" w:sz="0" w:space="0" w:color="auto"/>
        <w:left w:val="none" w:sz="0" w:space="0" w:color="auto"/>
        <w:bottom w:val="none" w:sz="0" w:space="0" w:color="auto"/>
        <w:right w:val="none" w:sz="0" w:space="0" w:color="auto"/>
      </w:divBdr>
    </w:div>
    <w:div w:id="987171046">
      <w:marLeft w:val="0"/>
      <w:marRight w:val="0"/>
      <w:marTop w:val="0"/>
      <w:marBottom w:val="0"/>
      <w:divBdr>
        <w:top w:val="none" w:sz="0" w:space="0" w:color="auto"/>
        <w:left w:val="none" w:sz="0" w:space="0" w:color="auto"/>
        <w:bottom w:val="none" w:sz="0" w:space="0" w:color="auto"/>
        <w:right w:val="none" w:sz="0" w:space="0" w:color="auto"/>
      </w:divBdr>
    </w:div>
    <w:div w:id="987171047">
      <w:marLeft w:val="0"/>
      <w:marRight w:val="0"/>
      <w:marTop w:val="0"/>
      <w:marBottom w:val="0"/>
      <w:divBdr>
        <w:top w:val="none" w:sz="0" w:space="0" w:color="auto"/>
        <w:left w:val="none" w:sz="0" w:space="0" w:color="auto"/>
        <w:bottom w:val="none" w:sz="0" w:space="0" w:color="auto"/>
        <w:right w:val="none" w:sz="0" w:space="0" w:color="auto"/>
      </w:divBdr>
    </w:div>
    <w:div w:id="1370302593">
      <w:bodyDiv w:val="1"/>
      <w:marLeft w:val="0"/>
      <w:marRight w:val="0"/>
      <w:marTop w:val="0"/>
      <w:marBottom w:val="0"/>
      <w:divBdr>
        <w:top w:val="none" w:sz="0" w:space="0" w:color="auto"/>
        <w:left w:val="none" w:sz="0" w:space="0" w:color="auto"/>
        <w:bottom w:val="none" w:sz="0" w:space="0" w:color="auto"/>
        <w:right w:val="none" w:sz="0" w:space="0" w:color="auto"/>
      </w:divBdr>
    </w:div>
    <w:div w:id="14070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7891C-DCD5-4C9C-82B2-A4A116A4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34</Pages>
  <Words>6034</Words>
  <Characters>32529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coonand</dc:creator>
  <cp:keywords/>
  <dc:description/>
  <cp:lastModifiedBy>broadbentj</cp:lastModifiedBy>
  <cp:revision>21</cp:revision>
  <cp:lastPrinted>2011-08-17T07:05:00Z</cp:lastPrinted>
  <dcterms:created xsi:type="dcterms:W3CDTF">2011-08-16T05:43:00Z</dcterms:created>
  <dcterms:modified xsi:type="dcterms:W3CDTF">2011-08-17T07:06:00Z</dcterms:modified>
</cp:coreProperties>
</file>